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附件1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常德市放射治疗类医疗服务项目价格表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textAlignment w:val="auto"/>
        <w:rPr>
          <w:rStyle w:val="8"/>
          <w:rFonts w:hint="eastAsia" w:ascii="宋体" w:hAnsi="宋体" w:eastAsia="宋体" w:cs="宋体"/>
          <w:sz w:val="20"/>
          <w:szCs w:val="20"/>
          <w:lang w:val="en-US" w:eastAsia="zh-CN" w:bidi="ar"/>
        </w:rPr>
      </w:pPr>
      <w:r>
        <w:rPr>
          <w:rStyle w:val="8"/>
          <w:rFonts w:hint="eastAsia" w:ascii="宋体" w:hAnsi="宋体" w:eastAsia="宋体" w:cs="宋体"/>
          <w:sz w:val="20"/>
          <w:szCs w:val="20"/>
          <w:lang w:val="en-US" w:eastAsia="zh-CN" w:bidi="ar"/>
        </w:rPr>
        <w:t>使用说明：</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8"/>
          <w:rFonts w:hint="eastAsia" w:ascii="宋体" w:hAnsi="宋体" w:eastAsia="宋体" w:cs="宋体"/>
          <w:sz w:val="20"/>
          <w:szCs w:val="20"/>
          <w:lang w:val="en-US" w:eastAsia="zh-CN" w:bidi="ar"/>
        </w:rPr>
        <w:sectPr>
          <w:pgSz w:w="11906" w:h="16838"/>
          <w:pgMar w:top="720" w:right="720" w:bottom="720" w:left="720" w:header="708" w:footer="708" w:gutter="0"/>
          <w:cols w:space="708" w:num="1"/>
          <w:docGrid w:linePitch="360" w:charSpace="0"/>
        </w:sectPr>
      </w:pPr>
      <w:r>
        <w:rPr>
          <w:rStyle w:val="8"/>
          <w:rFonts w:hint="eastAsia" w:ascii="宋体" w:hAnsi="宋体" w:eastAsia="宋体" w:cs="宋体"/>
          <w:sz w:val="20"/>
          <w:szCs w:val="20"/>
          <w:lang w:val="en-US" w:eastAsia="zh-CN" w:bidi="ar"/>
        </w:rPr>
        <w:t>1.本价格表以放射治疗为重点，按照放射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对目前常用的放射治疗类项目，在操作层面存在差异、但在价格项目和定价水平层面具备合并同类项条件的，进行合并。所定价格属于政府指导价为最高限价，下浮不限；同时，医疗机构、医务人员实施放射治疗过程中有关创新改良，</w:t>
      </w:r>
      <w:r>
        <w:rPr>
          <w:rStyle w:val="9"/>
          <w:rFonts w:hint="eastAsia" w:ascii="宋体" w:hAnsi="宋体" w:eastAsia="宋体" w:cs="宋体"/>
          <w:b/>
          <w:bCs w:val="0"/>
          <w:i w:val="0"/>
          <w:iCs/>
          <w:sz w:val="20"/>
          <w:szCs w:val="20"/>
          <w:lang w:val="en-US" w:eastAsia="zh-CN" w:bidi="ar"/>
        </w:rPr>
        <w:t>申报新增医疗服务价格项目的，采取“现有项目兼容”的方式简化处理，按照对应的立项指南项目执行。</w:t>
      </w:r>
      <w:r>
        <w:rPr>
          <w:rStyle w:val="8"/>
          <w:rFonts w:hint="eastAsia" w:ascii="宋体" w:hAnsi="宋体" w:eastAsia="宋体" w:cs="宋体"/>
          <w:b/>
          <w:bCs w:val="0"/>
          <w:i w:val="0"/>
          <w:iCs/>
          <w:sz w:val="20"/>
          <w:szCs w:val="20"/>
          <w:lang w:val="en-US" w:eastAsia="zh-CN" w:bidi="ar"/>
        </w:rPr>
        <w:br w:type="textWrapping"/>
      </w:r>
      <w:r>
        <w:rPr>
          <w:rStyle w:val="8"/>
          <w:rFonts w:hint="eastAsia" w:ascii="宋体" w:hAnsi="宋体" w:eastAsia="宋体" w:cs="宋体"/>
          <w:sz w:val="20"/>
          <w:szCs w:val="20"/>
          <w:lang w:val="en-US" w:eastAsia="zh-CN" w:bidi="ar"/>
        </w:rPr>
        <w:t>2.“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减收水平后，求和得出加/减收金额。同一序列的加收项，例如“11二维近距离治疗计划加收”和“12三维近距离治疗计划加收”不重复收费；不同序列的加收项，例如“01CT模拟定位加收”和“11二维近距离治疗计划加收”可以同时收取，加收项两位编码第1位相同的，视为同一序列。</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4.“扩展项”，指同一项目下以不同方式提供或在不同场景应用时，只扩展价格项目适用范围、不额外加价的一类子项，子项的价格按主项目执行。</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5.“基本物质资源消耗”，指原则上限于不应或不必要与医疗服务项目分割的易耗品，包括但不限于各类消杀用品、储存用品、清洁用品、个人防护用品、垃圾处理用品、润滑剂、棉球、棉签、纱布（垫）、护（尿）垫、治疗巾（单）、中单、护理盘(包）、治疗包、注射器、标签、无菌设备保护套、模具、挡板、铅板（模）、蜡模、凡士林、标记笔、可复用的操作器具、软件（版权、开发、购买）成本等。基本物质资源消耗成本计入项目价格，不另行收费。除基本物质资源消耗以外，</w:t>
      </w:r>
      <w:r>
        <w:rPr>
          <w:rStyle w:val="9"/>
          <w:rFonts w:hint="eastAsia" w:ascii="宋体" w:hAnsi="宋体" w:eastAsia="宋体" w:cs="宋体"/>
          <w:i w:val="0"/>
          <w:iCs/>
          <w:sz w:val="20"/>
          <w:szCs w:val="20"/>
          <w:lang w:val="en-US" w:eastAsia="zh-CN" w:bidi="ar"/>
        </w:rPr>
        <w:t>立项指南落地前价格项目除外内容的可收费医用耗材，</w:t>
      </w:r>
      <w:r>
        <w:rPr>
          <w:rStyle w:val="8"/>
          <w:rFonts w:hint="eastAsia" w:ascii="宋体" w:hAnsi="宋体" w:eastAsia="宋体" w:cs="宋体"/>
          <w:sz w:val="20"/>
          <w:szCs w:val="20"/>
          <w:lang w:val="en-US" w:eastAsia="zh-CN" w:bidi="ar"/>
        </w:rPr>
        <w:t>按照实际采购价格零差率销售。</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6.涉及“包括……”“……等”的，属于开放型表述，所指对象不仅局限于表述中列明的事项，也包括未列明的同类事项。</w:t>
      </w:r>
    </w:p>
    <w:tbl>
      <w:tblPr>
        <w:tblStyle w:val="6"/>
        <w:tblpPr w:leftFromText="180" w:rightFromText="180" w:vertAnchor="text" w:horzAnchor="page" w:tblpX="784" w:tblpY="222"/>
        <w:tblOverlap w:val="never"/>
        <w:tblW w:w="15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0"/>
        <w:gridCol w:w="1380"/>
        <w:gridCol w:w="1919"/>
        <w:gridCol w:w="1629"/>
        <w:gridCol w:w="2566"/>
        <w:gridCol w:w="587"/>
        <w:gridCol w:w="2270"/>
        <w:gridCol w:w="835"/>
        <w:gridCol w:w="869"/>
        <w:gridCol w:w="913"/>
        <w:gridCol w:w="875"/>
        <w:gridCol w:w="550"/>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放疗模拟定位</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0"/>
                <w:rFonts w:hint="eastAsia" w:ascii="仿宋_GB2312" w:hAnsi="仿宋_GB2312" w:eastAsia="仿宋_GB2312" w:cs="仿宋_GB2312"/>
                <w:sz w:val="18"/>
                <w:szCs w:val="18"/>
                <w:lang w:val="en-US" w:eastAsia="zh-CN" w:bidi="ar"/>
              </w:rPr>
              <w:t>应用</w:t>
            </w:r>
            <w:r>
              <w:rPr>
                <w:rStyle w:val="11"/>
                <w:rFonts w:hint="eastAsia" w:ascii="仿宋_GB2312" w:hAnsi="仿宋_GB2312" w:eastAsia="仿宋_GB2312" w:cs="仿宋_GB2312"/>
                <w:sz w:val="18"/>
                <w:szCs w:val="18"/>
                <w:lang w:val="en-US" w:eastAsia="zh-CN" w:bidi="ar"/>
              </w:rPr>
              <w:t>CT</w:t>
            </w:r>
            <w:r>
              <w:rPr>
                <w:rStyle w:val="10"/>
                <w:rFonts w:hint="eastAsia" w:ascii="仿宋_GB2312" w:hAnsi="仿宋_GB2312" w:eastAsia="仿宋_GB2312" w:cs="仿宋_GB2312"/>
                <w:sz w:val="18"/>
                <w:szCs w:val="18"/>
                <w:lang w:val="en-US" w:eastAsia="zh-CN" w:bidi="ar"/>
              </w:rPr>
              <w:t>影像技术，进行放疗模拟定位，确定靶区、危及器官，必要时确定射野。</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所定价格涵盖模具设计与制作、摆位、体位固定、图像扫描、标记、必要时静脉输注对比剂、定位、获取影像、传输、记录等过程中所需的人力资源、设备运转成本消耗与基本物耗。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模具设计与制作</w:t>
            </w: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包括但不限于体位固定器、射线挡块、剂量补偿物等放疗过程中涉及的各类模具制作步骤。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770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690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620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1"/>
                <w:rFonts w:hint="eastAsia" w:ascii="仿宋_GB2312" w:hAnsi="仿宋_GB2312" w:eastAsia="仿宋_GB2312" w:cs="仿宋_GB2312"/>
                <w:sz w:val="18"/>
                <w:szCs w:val="18"/>
                <w:lang w:val="en-US" w:eastAsia="zh-CN" w:bidi="ar"/>
              </w:rPr>
              <w:t>01</w:t>
            </w:r>
            <w:r>
              <w:rPr>
                <w:rStyle w:val="10"/>
                <w:rFonts w:hint="eastAsia" w:ascii="仿宋_GB2312" w:hAnsi="仿宋_GB2312" w:eastAsia="仿宋_GB2312" w:cs="仿宋_GB2312"/>
                <w:sz w:val="18"/>
                <w:szCs w:val="18"/>
                <w:lang w:val="en-US" w:eastAsia="zh-CN" w:bidi="ar"/>
              </w:rPr>
              <w:t>放疗模拟定位</w:t>
            </w: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特殊影像模拟定位（加收</w:t>
            </w:r>
            <w:r>
              <w:rPr>
                <w:rStyle w:val="11"/>
                <w:rFonts w:hint="eastAsia" w:ascii="仿宋_GB2312" w:hAnsi="仿宋_GB2312" w:eastAsia="仿宋_GB2312" w:cs="仿宋_GB2312"/>
                <w:sz w:val="18"/>
                <w:szCs w:val="18"/>
                <w:lang w:val="en-US" w:eastAsia="zh-CN" w:bidi="ar"/>
              </w:rPr>
              <w:t>50%</w:t>
            </w:r>
            <w:r>
              <w:rPr>
                <w:rStyle w:val="10"/>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特殊影像模拟定位</w:t>
            </w: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指使用磁共振（</w:t>
            </w:r>
            <w:r>
              <w:rPr>
                <w:rStyle w:val="11"/>
                <w:rFonts w:hint="eastAsia" w:ascii="仿宋_GB2312" w:hAnsi="仿宋_GB2312" w:eastAsia="仿宋_GB2312" w:cs="仿宋_GB2312"/>
                <w:sz w:val="18"/>
                <w:szCs w:val="18"/>
                <w:lang w:val="en-US" w:eastAsia="zh-CN" w:bidi="ar"/>
              </w:rPr>
              <w:t>MR</w:t>
            </w:r>
            <w:r>
              <w:rPr>
                <w:rStyle w:val="10"/>
                <w:rFonts w:hint="eastAsia" w:ascii="仿宋_GB2312" w:hAnsi="仿宋_GB2312" w:eastAsia="仿宋_GB2312" w:cs="仿宋_GB2312"/>
                <w:sz w:val="18"/>
                <w:szCs w:val="18"/>
                <w:lang w:val="en-US" w:eastAsia="zh-CN" w:bidi="ar"/>
              </w:rPr>
              <w:t>）、正电子发射计算机断层显像（</w:t>
            </w:r>
            <w:r>
              <w:rPr>
                <w:rStyle w:val="11"/>
                <w:rFonts w:hint="eastAsia" w:ascii="仿宋_GB2312" w:hAnsi="仿宋_GB2312" w:eastAsia="仿宋_GB2312" w:cs="仿宋_GB2312"/>
                <w:sz w:val="18"/>
                <w:szCs w:val="18"/>
                <w:lang w:val="en-US" w:eastAsia="zh-CN" w:bidi="ar"/>
              </w:rPr>
              <w:t>PET-CT</w:t>
            </w:r>
            <w:r>
              <w:rPr>
                <w:rStyle w:val="10"/>
                <w:rFonts w:hint="eastAsia" w:ascii="仿宋_GB2312" w:hAnsi="仿宋_GB2312" w:eastAsia="仿宋_GB2312" w:cs="仿宋_GB2312"/>
                <w:sz w:val="18"/>
                <w:szCs w:val="18"/>
                <w:lang w:val="en-US" w:eastAsia="zh-CN" w:bidi="ar"/>
              </w:rPr>
              <w:t>）等影像完成模拟定位。</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385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345</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013401020010002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1"/>
                <w:rFonts w:hint="eastAsia" w:ascii="仿宋_GB2312" w:hAnsi="仿宋_GB2312" w:eastAsia="仿宋_GB2312" w:cs="仿宋_GB2312"/>
                <w:sz w:val="18"/>
                <w:szCs w:val="18"/>
                <w:lang w:val="en-US" w:eastAsia="zh-CN" w:bidi="ar"/>
              </w:rPr>
              <w:t>02</w:t>
            </w:r>
            <w:r>
              <w:rPr>
                <w:rStyle w:val="10"/>
                <w:rFonts w:hint="eastAsia" w:ascii="仿宋_GB2312" w:hAnsi="仿宋_GB2312" w:eastAsia="仿宋_GB2312" w:cs="仿宋_GB2312"/>
                <w:sz w:val="18"/>
                <w:szCs w:val="18"/>
                <w:lang w:val="en-US" w:eastAsia="zh-CN" w:bidi="ar"/>
              </w:rPr>
              <w:t>放疗模拟定位</w:t>
            </w: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简易模拟定位（减收</w:t>
            </w:r>
            <w:r>
              <w:rPr>
                <w:rStyle w:val="11"/>
                <w:rFonts w:hint="eastAsia" w:ascii="仿宋_GB2312" w:hAnsi="仿宋_GB2312" w:eastAsia="仿宋_GB2312" w:cs="仿宋_GB2312"/>
                <w:sz w:val="18"/>
                <w:szCs w:val="18"/>
                <w:lang w:val="en-US" w:eastAsia="zh-CN" w:bidi="ar"/>
              </w:rPr>
              <w:t>40%</w:t>
            </w:r>
            <w:r>
              <w:rPr>
                <w:rStyle w:val="10"/>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0"/>
                <w:rFonts w:hint="eastAsia" w:ascii="仿宋_GB2312" w:hAnsi="仿宋_GB2312" w:eastAsia="仿宋_GB2312" w:cs="仿宋_GB2312"/>
                <w:sz w:val="18"/>
                <w:szCs w:val="18"/>
                <w:lang w:val="en-US" w:eastAsia="zh-CN" w:bidi="ar"/>
              </w:rPr>
              <w:t>简易模拟定位指使用</w:t>
            </w:r>
            <w:r>
              <w:rPr>
                <w:rStyle w:val="11"/>
                <w:rFonts w:hint="eastAsia" w:ascii="仿宋_GB2312" w:hAnsi="仿宋_GB2312" w:eastAsia="仿宋_GB2312" w:cs="仿宋_GB2312"/>
                <w:sz w:val="18"/>
                <w:szCs w:val="18"/>
                <w:lang w:val="en-US" w:eastAsia="zh-CN" w:bidi="ar"/>
              </w:rPr>
              <w:t>B</w:t>
            </w:r>
            <w:r>
              <w:rPr>
                <w:rStyle w:val="10"/>
                <w:rFonts w:hint="eastAsia" w:ascii="仿宋_GB2312" w:hAnsi="仿宋_GB2312" w:eastAsia="仿宋_GB2312" w:cs="仿宋_GB2312"/>
                <w:sz w:val="18"/>
                <w:szCs w:val="18"/>
                <w:lang w:val="en-US" w:eastAsia="zh-CN" w:bidi="ar"/>
              </w:rPr>
              <w:t>超、</w:t>
            </w:r>
            <w:r>
              <w:rPr>
                <w:rStyle w:val="11"/>
                <w:rFonts w:hint="eastAsia" w:ascii="仿宋_GB2312" w:hAnsi="仿宋_GB2312" w:eastAsia="仿宋_GB2312" w:cs="仿宋_GB2312"/>
                <w:sz w:val="18"/>
                <w:szCs w:val="18"/>
                <w:lang w:val="en-US" w:eastAsia="zh-CN" w:bidi="ar"/>
              </w:rPr>
              <w:t>X</w:t>
            </w:r>
            <w:r>
              <w:rPr>
                <w:rStyle w:val="10"/>
                <w:rFonts w:hint="eastAsia" w:ascii="仿宋_GB2312" w:hAnsi="仿宋_GB2312" w:eastAsia="仿宋_GB2312" w:cs="仿宋_GB2312"/>
                <w:sz w:val="18"/>
                <w:szCs w:val="18"/>
                <w:lang w:val="en-US" w:eastAsia="zh-CN" w:bidi="ar"/>
              </w:rPr>
              <w:t>线定位。</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460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370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370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1"/>
                <w:rFonts w:hint="eastAsia" w:ascii="仿宋_GB2312" w:hAnsi="仿宋_GB2312" w:eastAsia="仿宋_GB2312" w:cs="仿宋_GB2312"/>
                <w:sz w:val="18"/>
                <w:szCs w:val="18"/>
                <w:lang w:val="en-US" w:eastAsia="zh-CN" w:bidi="ar"/>
              </w:rPr>
              <w:t>11</w:t>
            </w:r>
            <w:r>
              <w:rPr>
                <w:rStyle w:val="10"/>
                <w:rFonts w:hint="eastAsia" w:ascii="仿宋_GB2312" w:hAnsi="仿宋_GB2312" w:eastAsia="仿宋_GB2312" w:cs="仿宋_GB2312"/>
                <w:sz w:val="18"/>
                <w:szCs w:val="18"/>
                <w:lang w:val="en-US" w:eastAsia="zh-CN" w:bidi="ar"/>
              </w:rPr>
              <w:t>放疗模拟定位</w:t>
            </w: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运动管理（加收</w:t>
            </w:r>
            <w:r>
              <w:rPr>
                <w:rStyle w:val="11"/>
                <w:rFonts w:hint="eastAsia" w:ascii="仿宋_GB2312" w:hAnsi="仿宋_GB2312" w:eastAsia="仿宋_GB2312" w:cs="仿宋_GB2312"/>
                <w:sz w:val="18"/>
                <w:szCs w:val="18"/>
                <w:lang w:val="en-US" w:eastAsia="zh-CN" w:bidi="ar"/>
              </w:rPr>
              <w:t>30%</w:t>
            </w:r>
            <w:r>
              <w:rPr>
                <w:rStyle w:val="10"/>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运动管理</w:t>
            </w: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，指基于植入金标、光学体表监测、呼吸控制等技术对周期性运动的肿瘤靶区进行限制、追踪照射或在周期性运动的特定时相控制机器出束照射。</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207</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186</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11"/>
                <w:rFonts w:hint="eastAsia" w:ascii="仿宋_GB2312" w:hAnsi="仿宋_GB2312" w:eastAsia="仿宋_GB2312" w:cs="仿宋_GB2312"/>
                <w:sz w:val="18"/>
                <w:szCs w:val="18"/>
                <w:lang w:val="en-US" w:eastAsia="zh-CN" w:bidi="ar"/>
              </w:rPr>
              <w:t>21</w:t>
            </w:r>
            <w:r>
              <w:rPr>
                <w:rStyle w:val="10"/>
                <w:rFonts w:hint="eastAsia" w:ascii="仿宋_GB2312" w:hAnsi="仿宋_GB2312" w:eastAsia="仿宋_GB2312" w:cs="仿宋_GB2312"/>
                <w:sz w:val="18"/>
                <w:szCs w:val="18"/>
                <w:lang w:val="en-US" w:eastAsia="zh-CN" w:bidi="ar"/>
              </w:rPr>
              <w:t>放疗模拟定位</w:t>
            </w:r>
            <w:r>
              <w:rPr>
                <w:rStyle w:val="11"/>
                <w:rFonts w:hint="eastAsia" w:ascii="仿宋_GB2312" w:hAnsi="仿宋_GB2312" w:eastAsia="仿宋_GB2312" w:cs="仿宋_GB2312"/>
                <w:sz w:val="18"/>
                <w:szCs w:val="18"/>
                <w:lang w:val="en-US" w:eastAsia="zh-CN" w:bidi="ar"/>
              </w:rPr>
              <w:t>-</w:t>
            </w:r>
            <w:r>
              <w:rPr>
                <w:rStyle w:val="10"/>
                <w:rFonts w:hint="eastAsia" w:ascii="仿宋_GB2312" w:hAnsi="仿宋_GB2312" w:eastAsia="仿宋_GB2312" w:cs="仿宋_GB2312"/>
                <w:sz w:val="18"/>
                <w:szCs w:val="18"/>
                <w:lang w:val="en-US" w:eastAsia="zh-CN" w:bidi="ar"/>
              </w:rPr>
              <w:t>立体定向放疗模拟定位（加收</w:t>
            </w:r>
            <w:r>
              <w:rPr>
                <w:rStyle w:val="11"/>
                <w:rFonts w:hint="eastAsia" w:ascii="仿宋_GB2312" w:hAnsi="仿宋_GB2312" w:eastAsia="仿宋_GB2312" w:cs="仿宋_GB2312"/>
                <w:sz w:val="18"/>
                <w:szCs w:val="18"/>
                <w:lang w:val="en-US" w:eastAsia="zh-CN" w:bidi="ar"/>
              </w:rPr>
              <w:t>50%</w:t>
            </w:r>
            <w:r>
              <w:rPr>
                <w:rStyle w:val="10"/>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385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345</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放疗计划制定</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依据模拟定位，勾画放疗靶区和危及器官，制定放疗剂量、危及器官限量，放疗次数和方式等放疗计划。</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所定价格涵盖勾画靶区、给定处方剂量、制定放疗计划等过程中所需的人力资源、设备运转成本消耗与基本物耗。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每个疗程限收2次。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1250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1130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1020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01放疗计划制定-调强计划制定（加收30%）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375</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339</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306</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306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11放疗计划制定-立体定向放疗计划制定（加收40%）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450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408</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408</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013401010020000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放疗计划验证</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依据靶区及计划制定的方案对放疗计划进行验证，必要时进行调整。</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所定价格涵盖固定、摆位、标记、扫描、获取影像、比较、校正、标记及剂量验证等过程中所需的人力资源、设备运转成本消耗与基本物耗。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840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760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680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680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外照射治疗（普通）</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使用医用电子直线加速器产生电子线和光子线，实施体外照射放射治疗。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所定价格涵盖摆位、体位固定、操作设备出束治疗、实时监控、必要时使用射线档块、剂量补偿物等过程中所需的人力资源、设备运转成本消耗与基本物耗。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530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01外照射治疗（普通）-超长靶区（加收20%）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“超长靶区”，指直线加速器电子线射野大于20×20cm，X线射野单边大于40cm。</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118</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96</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11外照射治疗（普通）-超高剂量率放疗（加收100%）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530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外照射治疗（光子线-适形）</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基于放疗计划，使用医用电子直线加速器或钴-60远距离治疗机等产生光子射线，实施外照射治疗。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所定价格涵盖治疗摆位、体位固定、操作设备、出束治疗、实时监控、必要时使用射线档块、剂量补偿物等过程中所需的人力资源、设备运转成本消耗与基本物耗。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1310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1180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01外照射治疗（光子线-适形）-超长靶区（加收）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“超长靶区”，指直线加速器电子线射野大于20×20cm，X线射野单边大于40cm。</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11外照射治疗（光子线-适形）-超高剂量率放疗（加收100%）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1310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1180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21外照射治疗（光子线-适形）-图像引导（加收10%）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118</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外照射治疗（光子线-调强）</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基于放疗计划，使用医用电子直线加速器等产生的光子线，根据肿瘤靶区和其周围危及器官的三维空间关系进行束流强度调节，实施外照射治疗。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所定价格涵盖治疗摆位、体位固定、操作设备、出束治疗、实时监控、必要时使用射线档块、剂量补偿物等过程中所需的人力资源、设备运转成本消耗与基本物耗。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1860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1670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01外照射治疗（光子线-调强）-超长靶区（加收）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“超长靶区”，指直线加速器电子线射野大于20×20cm，X线射野单边大于40cm。</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11外照射治疗（光子线-调强）-超高剂量率放疗（加收100%）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1860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1670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21外照射治疗（光子线-调强）-自适应放疗（加收60%）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“自适应放疗”，指在放疗过程中根据肿瘤退缩情况动态调整放疗计划的技术。</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1116</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1002</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013401030030031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31外照射治疗（光子线-调强）-运动管理（加收）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“运动管理”，指基于植入金标、光学体表监测、呼吸控制等技术对周期性运动的肿瘤靶区进行限制、追踪照射或在周期性运动的特定时相控制机器出束照射。</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190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190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013401030030041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41外照射治疗（光子线-调强）-图像引导（加收）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013401030030051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51外照射治疗（光子线-调强）-断层调强放疗（加收80%）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1490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1340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013401030030052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52外照射治疗（光子线-调强）-容积旋转调强放疗（加收30%）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558</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外照射治疗（光子线-立体定向）</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pacing w:line="220" w:lineRule="exact"/>
              <w:jc w:val="center"/>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基于放疗计划，使用医用直线加速器、伽玛刀等产生的光子线，对肿瘤靶区进行大分割、高剂量短疗程放疗模式，实施外照射治疗。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pacing w:line="220" w:lineRule="exact"/>
              <w:jc w:val="left"/>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所定价格涵盖治疗摆位、体位固定、图像引导、操作设备、高剂量出束治疗、实时监控等过程中所需的人力资源、设备运转成本消耗与基本物耗。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每疗程5次，不足一个疗程的，每次按20%计费。本计价说明同时适用于加收项。</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35000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31500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01外照射治疗（光子线-立体定向）-自适应放疗（加收60%）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“自适应放疗”，指在放疗过程中根据肿瘤退缩情况动态调整放疗计划的技术。</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21000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18900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17010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17010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7"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11外照射治疗（光子线-立体定向）-运动管理（加收）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“运动管理”，指基于植入金标、光学体表监测、呼吸控制等技术对周期性运动的肿瘤靶区进行限制、追踪照射或在周期性运动的特定时相控制机器出束照射。</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1150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1050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8"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21外照射治疗（光子线-立体定向）-超高剂量率放疗（加收100%）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35000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31500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013401030050000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外照射治疗（质子放疗）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基于放疗计划，使用医用粒子加速器产生的质子射线，对肿瘤靶区进行束流强度调节，实施外照射治疗。</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每增加一次加收15,000元，同一适应症每疗程最高不超过170,000元。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35000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013401030060000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外照射治疗（重离子放疗）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基于放疗计划，使用医用粒子加速器产生的重离子射线，对肿瘤靶区进行束流强度调节，实施外照射治疗。</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每增加一次加收16500元，同一适应症每疗程最高不超过198,000元。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val="0"/>
                <w:bCs/>
                <w:i w:val="0"/>
                <w:color w:val="000000"/>
                <w:kern w:val="0"/>
                <w:sz w:val="22"/>
                <w:szCs w:val="22"/>
                <w:u w:val="none"/>
                <w:lang w:val="en-US" w:eastAsia="zh-CN" w:bidi="ar"/>
              </w:rPr>
              <w:t>49500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013401030070000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外照射治疗（硼-中子俘获）</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通过中子与同位素硼发生核反应作用于局部，达到杀灭肿瘤细胞的作用。</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所定价格涵盖设备准备、摆位、影像引导、靶区勾画、治疗计划设计、注射、局部照射等过程中所需的人力资源、设备运转成本消耗与基本物耗。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每疗程设置封顶线。</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仿宋" w:hAnsi="仿宋" w:eastAsia="仿宋" w:cs="仿宋"/>
                <w:b/>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2"/>
                <w:szCs w:val="22"/>
                <w:u w:val="none"/>
                <w:lang w:val="en-US" w:eastAsia="zh-CN" w:bidi="ar"/>
              </w:rPr>
              <w:t>待医疗机构申报且省局定价后研究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18"/>
                <w:szCs w:val="1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近距离治疗（后装）</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通过在人体内置入施源器后导入放射源进行的治疗。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所定价格涵盖模拟定位、制定计划、剂量验证、置入施源器、组织人员插植、导入放射源、照射、环境辐射监测、必要时回收放射源、解除施源器等过程中所需的人力资源及设备运转成本消耗与基本物耗。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“近距离治疗”包括但不限于“后装放射治疗”等一次性放射治疗及永久性植入放射性粒子治疗。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1210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1090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980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980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01近距离治疗（后装）-CT模拟定位（加收15%）</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180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013401040010002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02近距离治疗（后装）-MR模拟定位（加收）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390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350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11近距离治疗（后装）-二维近距离治疗计划（加收15%）</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180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013401040010012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12近距离治疗（后装）-三维近距离治疗计划（加收）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390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350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7"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21近距离治疗（后装）-组织间插植/放射粒子植入（加收70%）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850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770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690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690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18"/>
                <w:szCs w:val="1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013402000010000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内照射治疗（核素常规）</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通过口服、注射植入放射性核素，达到治疗恶性肿瘤和其他疾病的目的。</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所定价格涵盖治疗计划制定、放射性药品的标记与分装、注射或口服给药、防护器材使用、放射性废弃物处理、环境监测等步骤所需的人力资源与基本物质资源消耗。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指60毫居及以下。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5"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433402000010001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01内照射治疗（核素常规）-大剂量核素药物（加收100%）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超过60毫居的加收100%，超过100毫居的加收2次100%，限加收2次。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013402000020000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内照射治疗（核素介入）</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通过组织间介入或血管介入方式植入放射性核素，辐射杀死病变细胞或缩小病灶，从而达到治疗癌症和其他疾病的目的。</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所定价格涵盖治疗计划制定、放射性药品的标记与分装、经皮穿刺或经血管介入给药、防护器材使用、放射性废弃物处理、环境监测等步骤所需的人力资源与基本物质资源消耗。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2020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1820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1640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1640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013402000030000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放射性核素敷贴治疗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通过放射性核素嵌入的敷贴，覆盖在病变区域，提供高剂量局部辐射，达到治疗浅表病变的目的。</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所定价格涵盖治疗计划制定、放射性药品的标记与分装、制备、敷贴、防护器材使用、放射性废弃物处理、环境监测等步骤所需的人力资源与基本物质资源消耗。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用敷贴器治疗时每照射野为一次。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61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55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013401030080000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术中放疗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在术中进行的放射治疗。</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所定价格涵盖暴露瘤床、确定照射区域、遮挡正常组织器官、机器操作、设备照射、阅单等步骤所需的人力资源与基本物质资源消耗。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不再收取耗材费用</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12410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11170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10050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10050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8"/>
          <w:rFonts w:hint="eastAsia" w:ascii="宋体" w:hAnsi="宋体" w:eastAsia="宋体" w:cs="宋体"/>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8"/>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8"/>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8"/>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8"/>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8"/>
          <w:rFonts w:hint="eastAsia" w:ascii="方正小标宋简体" w:hAnsi="方正小标宋简体" w:eastAsia="方正小标宋简体" w:cs="方正小标宋简体"/>
          <w:sz w:val="32"/>
          <w:szCs w:val="32"/>
          <w:lang w:val="en-US" w:eastAsia="zh-CN" w:bidi="ar"/>
        </w:rPr>
      </w:pPr>
      <w:bookmarkStart w:id="0" w:name="_GoBack"/>
      <w:bookmarkEnd w:id="0"/>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2E17D7C"/>
    <w:rsid w:val="117748C3"/>
    <w:rsid w:val="12B72CB3"/>
    <w:rsid w:val="19950284"/>
    <w:rsid w:val="20F17385"/>
    <w:rsid w:val="24AB5554"/>
    <w:rsid w:val="263243BA"/>
    <w:rsid w:val="403A3A53"/>
    <w:rsid w:val="413D0230"/>
    <w:rsid w:val="41EA3490"/>
    <w:rsid w:val="425E1C37"/>
    <w:rsid w:val="45DE3F48"/>
    <w:rsid w:val="4F880657"/>
    <w:rsid w:val="574216AB"/>
    <w:rsid w:val="68B46494"/>
    <w:rsid w:val="697A2199"/>
    <w:rsid w:val="6CC074A6"/>
    <w:rsid w:val="6F766F24"/>
    <w:rsid w:val="719C2A2E"/>
    <w:rsid w:val="73BB0404"/>
    <w:rsid w:val="7FDB8E02"/>
    <w:rsid w:val="BB7EABA3"/>
    <w:rsid w:val="C7B67D80"/>
    <w:rsid w:val="DB85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eastAsia="宋体" w:cs="宋体"/>
      <w:sz w:val="21"/>
      <w:szCs w:val="22"/>
    </w:rPr>
  </w:style>
  <w:style w:type="paragraph" w:styleId="3">
    <w:name w:val="Body Text"/>
    <w:basedOn w:val="1"/>
    <w:next w:val="4"/>
    <w:qFormat/>
    <w:uiPriority w:val="0"/>
    <w:pPr>
      <w:spacing w:after="120"/>
      <w:jc w:val="left"/>
    </w:pPr>
  </w:style>
  <w:style w:type="paragraph" w:styleId="4">
    <w:name w:val="toc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footer"/>
    <w:basedOn w:val="1"/>
    <w:next w:val="2"/>
    <w:qFormat/>
    <w:uiPriority w:val="0"/>
    <w:pPr>
      <w:snapToGrid w:val="0"/>
      <w:jc w:val="left"/>
    </w:pPr>
    <w:rPr>
      <w:sz w:val="18"/>
    </w:rPr>
  </w:style>
  <w:style w:type="character" w:customStyle="1" w:styleId="8">
    <w:name w:val="font61"/>
    <w:basedOn w:val="7"/>
    <w:qFormat/>
    <w:uiPriority w:val="0"/>
    <w:rPr>
      <w:rFonts w:hint="eastAsia" w:ascii="仿宋" w:hAnsi="仿宋" w:eastAsia="仿宋" w:cs="仿宋"/>
      <w:color w:val="000000"/>
      <w:sz w:val="20"/>
      <w:szCs w:val="20"/>
      <w:u w:val="none"/>
    </w:rPr>
  </w:style>
  <w:style w:type="character" w:customStyle="1" w:styleId="9">
    <w:name w:val="font71"/>
    <w:basedOn w:val="7"/>
    <w:qFormat/>
    <w:uiPriority w:val="0"/>
    <w:rPr>
      <w:rFonts w:hint="eastAsia" w:ascii="仿宋" w:hAnsi="仿宋" w:eastAsia="仿宋" w:cs="仿宋"/>
      <w:b/>
      <w:i/>
      <w:color w:val="000000"/>
      <w:sz w:val="20"/>
      <w:szCs w:val="20"/>
      <w:u w:val="none"/>
    </w:rPr>
  </w:style>
  <w:style w:type="character" w:customStyle="1" w:styleId="10">
    <w:name w:val="font21"/>
    <w:basedOn w:val="7"/>
    <w:qFormat/>
    <w:uiPriority w:val="0"/>
    <w:rPr>
      <w:rFonts w:hint="eastAsia" w:ascii="仿宋_GB2312" w:eastAsia="仿宋_GB2312" w:cs="仿宋_GB2312"/>
      <w:color w:val="000000"/>
      <w:sz w:val="24"/>
      <w:szCs w:val="24"/>
      <w:u w:val="none"/>
    </w:rPr>
  </w:style>
  <w:style w:type="character" w:customStyle="1" w:styleId="11">
    <w:name w:val="font11"/>
    <w:basedOn w:val="7"/>
    <w:qFormat/>
    <w:uiPriority w:val="0"/>
    <w:rPr>
      <w:rFonts w:hint="default" w:ascii="Times New Roman" w:hAnsi="Times New Roman" w:cs="Times New Roman"/>
      <w:color w:val="000000"/>
      <w:sz w:val="24"/>
      <w:szCs w:val="24"/>
      <w:u w:val="none"/>
    </w:rPr>
  </w:style>
  <w:style w:type="character" w:customStyle="1" w:styleId="12">
    <w:name w:val="font5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仿宋_GB2312" w:eastAsia="仿宋_GB2312" w:cs="仿宋_GB2312"/>
      <w:color w:val="000000"/>
      <w:sz w:val="20"/>
      <w:szCs w:val="20"/>
      <w:u w:val="none"/>
    </w:rPr>
  </w:style>
  <w:style w:type="character" w:customStyle="1" w:styleId="14">
    <w:name w:val="font41"/>
    <w:basedOn w:val="7"/>
    <w:qFormat/>
    <w:uiPriority w:val="0"/>
    <w:rPr>
      <w:rFonts w:hint="default" w:ascii="Times New Roman" w:hAnsi="Times New Roman" w:cs="Times New Roman"/>
      <w:color w:val="000000"/>
      <w:sz w:val="22"/>
      <w:szCs w:val="22"/>
      <w:u w:val="none"/>
    </w:rPr>
  </w:style>
  <w:style w:type="paragraph" w:customStyle="1" w:styleId="15">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Administrator</cp:lastModifiedBy>
  <cp:lastPrinted>2025-07-11T01:52:00Z</cp:lastPrinted>
  <dcterms:modified xsi:type="dcterms:W3CDTF">2025-07-28T07:14:06Z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