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i w:val="0"/>
          <w:iCs w:val="0"/>
          <w:color w:val="000000" w:themeColor="text1"/>
          <w:kern w:val="0"/>
          <w:sz w:val="32"/>
          <w:szCs w:val="32"/>
          <w:u w:val="none"/>
          <w:lang w:val="en-US" w:eastAsia="zh-CN" w:bidi="ar"/>
          <w14:textFill>
            <w14:solidFill>
              <w14:schemeClr w14:val="tx1"/>
            </w14:solidFill>
          </w14:textFill>
        </w:rPr>
      </w:pPr>
      <w:r>
        <w:rPr>
          <w:rFonts w:hint="eastAsia" w:ascii="黑体" w:hAnsi="黑体" w:eastAsia="黑体" w:cs="黑体"/>
          <w:b w:val="0"/>
          <w:bCs w:val="0"/>
          <w:i w:val="0"/>
          <w:iCs w:val="0"/>
          <w:color w:val="000000" w:themeColor="text1"/>
          <w:kern w:val="0"/>
          <w:sz w:val="32"/>
          <w:szCs w:val="32"/>
          <w:u w:val="none"/>
          <w:lang w:val="en-US" w:eastAsia="zh-CN" w:bidi="ar"/>
          <w14:textFill>
            <w14:solidFill>
              <w14:schemeClr w14:val="tx1"/>
            </w14:solidFill>
          </w14:textFill>
        </w:rPr>
        <w:t>附件3</w:t>
      </w:r>
    </w:p>
    <w:tbl>
      <w:tblPr>
        <w:tblStyle w:val="13"/>
        <w:tblW w:w="15750" w:type="dxa"/>
        <w:tblInd w:w="-129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5"/>
        <w:gridCol w:w="1605"/>
        <w:gridCol w:w="1440"/>
        <w:gridCol w:w="1995"/>
        <w:gridCol w:w="2955"/>
        <w:gridCol w:w="555"/>
        <w:gridCol w:w="630"/>
        <w:gridCol w:w="630"/>
        <w:gridCol w:w="675"/>
        <w:gridCol w:w="2895"/>
        <w:gridCol w:w="675"/>
        <w:gridCol w:w="645"/>
        <w:gridCol w:w="6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20" w:hRule="atLeast"/>
        </w:trPr>
        <w:tc>
          <w:tcPr>
            <w:tcW w:w="15750" w:type="dxa"/>
            <w:gridSpan w:val="13"/>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44"/>
                <w:szCs w:val="44"/>
                <w:u w:val="none"/>
              </w:rPr>
            </w:pPr>
            <w:r>
              <w:rPr>
                <w:rFonts w:hint="default" w:ascii="黑体" w:hAnsi="宋体" w:eastAsia="黑体" w:cs="黑体"/>
                <w:i w:val="0"/>
                <w:color w:val="000000"/>
                <w:kern w:val="0"/>
                <w:sz w:val="44"/>
                <w:szCs w:val="44"/>
                <w:u w:val="none"/>
                <w:lang w:val="en-US" w:eastAsia="zh-CN" w:bidi="ar"/>
              </w:rPr>
              <w:t>青岛市综合诊查类医疗服务价格项目表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435"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黑体" w:hAnsi="宋体" w:eastAsia="黑体" w:cs="黑体"/>
                <w:i w:val="0"/>
                <w:color w:val="000000"/>
                <w:sz w:val="18"/>
                <w:szCs w:val="18"/>
                <w:u w:val="none"/>
              </w:rPr>
            </w:pPr>
            <w:r>
              <w:rPr>
                <w:rFonts w:hint="default" w:ascii="黑体" w:hAnsi="宋体" w:eastAsia="黑体" w:cs="黑体"/>
                <w:i w:val="0"/>
                <w:color w:val="000000"/>
                <w:kern w:val="0"/>
                <w:sz w:val="18"/>
                <w:szCs w:val="18"/>
                <w:u w:val="none"/>
                <w:lang w:val="en-US" w:eastAsia="zh-CN" w:bidi="ar"/>
              </w:rPr>
              <w:t>序号</w:t>
            </w:r>
          </w:p>
        </w:tc>
        <w:tc>
          <w:tcPr>
            <w:tcW w:w="1605"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黑体" w:hAnsi="宋体" w:eastAsia="黑体" w:cs="黑体"/>
                <w:i w:val="0"/>
                <w:color w:val="000000"/>
                <w:sz w:val="18"/>
                <w:szCs w:val="18"/>
                <w:u w:val="none"/>
              </w:rPr>
            </w:pPr>
            <w:r>
              <w:rPr>
                <w:rFonts w:hint="default" w:ascii="黑体" w:hAnsi="宋体" w:eastAsia="黑体" w:cs="黑体"/>
                <w:i w:val="0"/>
                <w:color w:val="000000"/>
                <w:kern w:val="0"/>
                <w:sz w:val="18"/>
                <w:szCs w:val="18"/>
                <w:u w:val="none"/>
                <w:lang w:val="en-US" w:eastAsia="zh-CN" w:bidi="ar"/>
              </w:rPr>
              <w:t>项目编码</w:t>
            </w:r>
          </w:p>
        </w:tc>
        <w:tc>
          <w:tcPr>
            <w:tcW w:w="1440"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黑体" w:hAnsi="宋体" w:eastAsia="黑体" w:cs="黑体"/>
                <w:i w:val="0"/>
                <w:color w:val="000000"/>
                <w:sz w:val="18"/>
                <w:szCs w:val="18"/>
                <w:u w:val="none"/>
              </w:rPr>
            </w:pPr>
            <w:r>
              <w:rPr>
                <w:rFonts w:hint="default" w:ascii="黑体" w:hAnsi="宋体" w:eastAsia="黑体" w:cs="黑体"/>
                <w:i w:val="0"/>
                <w:color w:val="000000"/>
                <w:kern w:val="0"/>
                <w:sz w:val="18"/>
                <w:szCs w:val="18"/>
                <w:u w:val="none"/>
                <w:lang w:val="en-US" w:eastAsia="zh-CN" w:bidi="ar"/>
              </w:rPr>
              <w:t>项目名称</w:t>
            </w:r>
          </w:p>
        </w:tc>
        <w:tc>
          <w:tcPr>
            <w:tcW w:w="1995"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黑体" w:hAnsi="宋体" w:eastAsia="黑体" w:cs="黑体"/>
                <w:i w:val="0"/>
                <w:color w:val="000000"/>
                <w:sz w:val="18"/>
                <w:szCs w:val="18"/>
                <w:u w:val="none"/>
              </w:rPr>
            </w:pPr>
            <w:r>
              <w:rPr>
                <w:rFonts w:hint="default" w:ascii="黑体" w:hAnsi="宋体" w:eastAsia="黑体" w:cs="黑体"/>
                <w:i w:val="0"/>
                <w:color w:val="000000"/>
                <w:kern w:val="0"/>
                <w:sz w:val="18"/>
                <w:szCs w:val="18"/>
                <w:u w:val="none"/>
                <w:lang w:val="en-US" w:eastAsia="zh-CN" w:bidi="ar"/>
              </w:rPr>
              <w:t>服务产出</w:t>
            </w:r>
          </w:p>
        </w:tc>
        <w:tc>
          <w:tcPr>
            <w:tcW w:w="2955"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黑体" w:hAnsi="宋体" w:eastAsia="黑体" w:cs="黑体"/>
                <w:i w:val="0"/>
                <w:color w:val="000000"/>
                <w:sz w:val="18"/>
                <w:szCs w:val="18"/>
                <w:u w:val="none"/>
              </w:rPr>
            </w:pPr>
            <w:r>
              <w:rPr>
                <w:rFonts w:hint="default" w:ascii="黑体" w:hAnsi="宋体" w:eastAsia="黑体" w:cs="黑体"/>
                <w:i w:val="0"/>
                <w:color w:val="000000"/>
                <w:kern w:val="0"/>
                <w:sz w:val="18"/>
                <w:szCs w:val="18"/>
                <w:u w:val="none"/>
                <w:lang w:val="en-US" w:eastAsia="zh-CN" w:bidi="ar"/>
              </w:rPr>
              <w:t>价格构成</w:t>
            </w:r>
          </w:p>
        </w:tc>
        <w:tc>
          <w:tcPr>
            <w:tcW w:w="555" w:type="dxa"/>
            <w:vMerge w:val="restart"/>
            <w:tcBorders>
              <w:top w:val="single" w:color="auto"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黑体" w:hAnsi="宋体" w:eastAsia="黑体" w:cs="黑体"/>
                <w:i w:val="0"/>
                <w:color w:val="000000"/>
                <w:sz w:val="18"/>
                <w:szCs w:val="18"/>
                <w:u w:val="none"/>
              </w:rPr>
            </w:pPr>
            <w:r>
              <w:rPr>
                <w:rFonts w:hint="default" w:ascii="黑体" w:hAnsi="宋体" w:eastAsia="黑体" w:cs="黑体"/>
                <w:i w:val="0"/>
                <w:color w:val="000000"/>
                <w:kern w:val="0"/>
                <w:sz w:val="18"/>
                <w:szCs w:val="18"/>
                <w:u w:val="none"/>
                <w:lang w:val="en-US" w:eastAsia="zh-CN" w:bidi="ar"/>
              </w:rPr>
              <w:t>计价单位</w:t>
            </w:r>
          </w:p>
        </w:tc>
        <w:tc>
          <w:tcPr>
            <w:tcW w:w="1935" w:type="dxa"/>
            <w:gridSpan w:val="3"/>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黑体" w:hAnsi="宋体" w:eastAsia="黑体" w:cs="黑体"/>
                <w:i w:val="0"/>
                <w:color w:val="000000"/>
                <w:sz w:val="18"/>
                <w:szCs w:val="18"/>
                <w:u w:val="none"/>
              </w:rPr>
            </w:pPr>
            <w:r>
              <w:rPr>
                <w:rFonts w:hint="default" w:ascii="黑体" w:hAnsi="宋体" w:eastAsia="黑体" w:cs="黑体"/>
                <w:i w:val="0"/>
                <w:color w:val="000000"/>
                <w:kern w:val="0"/>
                <w:sz w:val="18"/>
                <w:szCs w:val="18"/>
                <w:u w:val="none"/>
                <w:lang w:val="en-US" w:eastAsia="zh-CN" w:bidi="ar"/>
              </w:rPr>
              <w:t>价格（元）</w:t>
            </w:r>
          </w:p>
        </w:tc>
        <w:tc>
          <w:tcPr>
            <w:tcW w:w="2895"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黑体" w:hAnsi="宋体" w:eastAsia="黑体" w:cs="黑体"/>
                <w:i w:val="0"/>
                <w:color w:val="000000"/>
                <w:sz w:val="18"/>
                <w:szCs w:val="18"/>
                <w:u w:val="none"/>
              </w:rPr>
            </w:pPr>
            <w:r>
              <w:rPr>
                <w:rFonts w:hint="default" w:ascii="黑体" w:hAnsi="宋体" w:eastAsia="黑体" w:cs="黑体"/>
                <w:i w:val="0"/>
                <w:color w:val="000000"/>
                <w:kern w:val="0"/>
                <w:sz w:val="18"/>
                <w:szCs w:val="18"/>
                <w:u w:val="none"/>
                <w:lang w:val="en-US" w:eastAsia="zh-CN" w:bidi="ar"/>
              </w:rPr>
              <w:t>计价说明</w:t>
            </w:r>
          </w:p>
        </w:tc>
        <w:tc>
          <w:tcPr>
            <w:tcW w:w="1935" w:type="dxa"/>
            <w:gridSpan w:val="3"/>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统筹金支付范围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40" w:hRule="atLeast"/>
        </w:trPr>
        <w:tc>
          <w:tcPr>
            <w:tcW w:w="43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default" w:ascii="黑体" w:hAnsi="宋体" w:eastAsia="黑体" w:cs="黑体"/>
                <w:i w:val="0"/>
                <w:color w:val="000000"/>
                <w:sz w:val="18"/>
                <w:szCs w:val="18"/>
                <w:u w:val="none"/>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default" w:ascii="黑体" w:hAnsi="宋体" w:eastAsia="黑体" w:cs="黑体"/>
                <w:i w:val="0"/>
                <w:color w:val="000000"/>
                <w:sz w:val="18"/>
                <w:szCs w:val="18"/>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default" w:ascii="黑体" w:hAnsi="宋体" w:eastAsia="黑体" w:cs="黑体"/>
                <w:i w:val="0"/>
                <w:color w:val="000000"/>
                <w:sz w:val="18"/>
                <w:szCs w:val="18"/>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default" w:ascii="黑体" w:hAnsi="宋体" w:eastAsia="黑体" w:cs="黑体"/>
                <w:i w:val="0"/>
                <w:color w:val="000000"/>
                <w:sz w:val="18"/>
                <w:szCs w:val="18"/>
                <w:u w:val="none"/>
              </w:rPr>
            </w:pPr>
          </w:p>
        </w:tc>
        <w:tc>
          <w:tcPr>
            <w:tcW w:w="2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default" w:ascii="黑体" w:hAnsi="宋体" w:eastAsia="黑体" w:cs="黑体"/>
                <w:i w:val="0"/>
                <w:color w:val="000000"/>
                <w:sz w:val="18"/>
                <w:szCs w:val="18"/>
                <w:u w:val="none"/>
              </w:rPr>
            </w:pPr>
          </w:p>
        </w:tc>
        <w:tc>
          <w:tcPr>
            <w:tcW w:w="555"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default" w:ascii="黑体" w:hAnsi="宋体" w:eastAsia="黑体" w:cs="黑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w:t>
            </w:r>
          </w:p>
        </w:tc>
        <w:tc>
          <w:tcPr>
            <w:tcW w:w="2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default" w:ascii="黑体" w:hAnsi="宋体" w:eastAsia="黑体" w:cs="黑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职工进统筹前自负比例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居民进统筹前自负比例</w:t>
            </w:r>
          </w:p>
        </w:tc>
        <w:tc>
          <w:tcPr>
            <w:tcW w:w="61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最高支付限额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20" w:hRule="atLeast"/>
        </w:trPr>
        <w:tc>
          <w:tcPr>
            <w:tcW w:w="435"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011102020010000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门诊诊查费（普通门诊）</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指主治及以下医师提供技术劳务的门诊诊查服务，包含为患者提供从建档、了解病情和患者基本情况、阅读检查检验结果、分析诊断、制定诊疗方案或提出下一步诊断建议的医疗服务。</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首诊建档、信息核实、询问病情、采集病史、查体、一般物理检查、阅读分析检查检验结果、评估病情、诊断、制定诊疗方案、向患者或家属告知、开具处方和治疗单、开具检查检验单、病历书写等所需的人力资源和基本物质资源消耗。</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90" w:hRule="atLeast"/>
        </w:trPr>
        <w:tc>
          <w:tcPr>
            <w:tcW w:w="43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011102020010001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门诊诊查费（普通门诊）-副主任医师（加收）</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1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3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011102020010002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门诊诊查费（普通门诊）-主任医师（加收）</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1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30" w:hRule="atLeast"/>
        </w:trPr>
        <w:tc>
          <w:tcPr>
            <w:tcW w:w="43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011102020010003</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门诊诊查费（普通门诊）-知名专家（加收）</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9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自主定价</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1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trPr>
        <w:tc>
          <w:tcPr>
            <w:tcW w:w="435" w:type="dxa"/>
            <w:vMerge w:val="continue"/>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160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371102020010001</w:t>
            </w:r>
          </w:p>
        </w:tc>
        <w:tc>
          <w:tcPr>
            <w:tcW w:w="144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门诊诊查费（普通门诊）-儿童（加收）</w:t>
            </w:r>
          </w:p>
        </w:tc>
        <w:tc>
          <w:tcPr>
            <w:tcW w:w="199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95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63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2</w:t>
            </w:r>
          </w:p>
        </w:tc>
        <w:tc>
          <w:tcPr>
            <w:tcW w:w="63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7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89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4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20" w:hRule="atLeast"/>
        </w:trPr>
        <w:tc>
          <w:tcPr>
            <w:tcW w:w="4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011102020020000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门诊诊查费（中医辨证论治）</w:t>
            </w:r>
          </w:p>
        </w:tc>
        <w:tc>
          <w:tcPr>
            <w:tcW w:w="1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指主治及以下医师通过望闻问切收集中医四诊信息，依据中医理论进行辨证，分析病因、病位、病性及病机转化，作出证候诊断，同时可结合现代医学，为门诊患者制定诊疗方案。</w:t>
            </w:r>
          </w:p>
        </w:tc>
        <w:tc>
          <w:tcPr>
            <w:tcW w:w="29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首诊建档、信息核实、询问病情、采集病史、望闻问切、查体、一般物理检查、阅读分析检查检验结果、评估病情、中医辨证分析、诊断、制定诊疗方案、向患者或家属告知、开具处方、开具检查检验单、病历书写等所需的人力资源和基本物质资源消耗。</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28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Style w:val="26"/>
                <w:lang w:val="en-US" w:eastAsia="zh-CN" w:bidi="ar"/>
              </w:rPr>
              <w:t>单次就诊不与</w:t>
            </w:r>
            <w:r>
              <w:rPr>
                <w:rFonts w:hint="default" w:ascii="Times New Roman" w:hAnsi="Times New Roman" w:eastAsia="宋体" w:cs="Times New Roman"/>
                <w:i w:val="0"/>
                <w:color w:val="000000"/>
                <w:kern w:val="0"/>
                <w:sz w:val="18"/>
                <w:szCs w:val="18"/>
                <w:u w:val="none"/>
                <w:lang w:val="en-US" w:eastAsia="zh-CN" w:bidi="ar"/>
              </w:rPr>
              <w:t>“</w:t>
            </w:r>
            <w:r>
              <w:rPr>
                <w:rStyle w:val="26"/>
                <w:lang w:val="en-US" w:eastAsia="zh-CN" w:bidi="ar"/>
              </w:rPr>
              <w:t>门诊诊查费（普通）</w:t>
            </w:r>
            <w:r>
              <w:rPr>
                <w:rFonts w:hint="default" w:ascii="Times New Roman" w:hAnsi="Times New Roman" w:eastAsia="宋体" w:cs="Times New Roman"/>
                <w:i w:val="0"/>
                <w:color w:val="000000"/>
                <w:kern w:val="0"/>
                <w:sz w:val="18"/>
                <w:szCs w:val="18"/>
                <w:u w:val="none"/>
                <w:lang w:val="en-US" w:eastAsia="zh-CN" w:bidi="ar"/>
              </w:rPr>
              <w:t>”</w:t>
            </w:r>
            <w:r>
              <w:rPr>
                <w:rStyle w:val="26"/>
                <w:lang w:val="en-US" w:eastAsia="zh-CN" w:bidi="ar"/>
              </w:rPr>
              <w:t>同时收费。</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1020" w:hRule="atLeast"/>
        </w:trPr>
        <w:tc>
          <w:tcPr>
            <w:tcW w:w="435"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160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011102020020001</w:t>
            </w:r>
          </w:p>
        </w:tc>
        <w:tc>
          <w:tcPr>
            <w:tcW w:w="144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门诊诊查费（中医辨证论治）-副主任医师（加收）</w:t>
            </w:r>
          </w:p>
        </w:tc>
        <w:tc>
          <w:tcPr>
            <w:tcW w:w="199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95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55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63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13</w:t>
            </w:r>
          </w:p>
        </w:tc>
        <w:tc>
          <w:tcPr>
            <w:tcW w:w="63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7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289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67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4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15"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trPr>
        <w:tc>
          <w:tcPr>
            <w:tcW w:w="43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011102020020002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门诊诊查费（中医辨证论治）-主任医师（加收）</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55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23</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1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trPr>
        <w:tc>
          <w:tcPr>
            <w:tcW w:w="43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011102020020003</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门诊诊查费（中医辨证论治）-知名专家（加收）</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55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9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自主定价</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1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435" w:type="dxa"/>
            <w:vMerge w:val="continue"/>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160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371102020020001</w:t>
            </w:r>
          </w:p>
        </w:tc>
        <w:tc>
          <w:tcPr>
            <w:tcW w:w="144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门诊诊查费（中医辨证论治）-儿童（加收）</w:t>
            </w:r>
          </w:p>
        </w:tc>
        <w:tc>
          <w:tcPr>
            <w:tcW w:w="199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95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555" w:type="dxa"/>
            <w:tcBorders>
              <w:top w:val="nil"/>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63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2</w:t>
            </w:r>
          </w:p>
        </w:tc>
        <w:tc>
          <w:tcPr>
            <w:tcW w:w="63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7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89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4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435"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60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011102020030000</w:t>
            </w:r>
          </w:p>
        </w:tc>
        <w:tc>
          <w:tcPr>
            <w:tcW w:w="14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门诊诊查费（药学门诊）</w:t>
            </w:r>
          </w:p>
        </w:tc>
        <w:tc>
          <w:tcPr>
            <w:tcW w:w="1995"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Style w:val="26"/>
                <w:lang w:val="en-US" w:eastAsia="zh-CN" w:bidi="ar"/>
              </w:rPr>
              <w:t>指卫生主管部门认定具有药学门诊资质的临床药师，提供技术劳务的门诊药学</w:t>
            </w:r>
            <w:r>
              <w:rPr>
                <w:rFonts w:hint="default" w:ascii="Times New Roman" w:hAnsi="Times New Roman" w:eastAsia="宋体" w:cs="Times New Roman"/>
                <w:i w:val="0"/>
                <w:color w:val="000000"/>
                <w:kern w:val="0"/>
                <w:sz w:val="18"/>
                <w:szCs w:val="18"/>
                <w:u w:val="none"/>
                <w:lang w:val="en-US" w:eastAsia="zh-CN" w:bidi="ar"/>
              </w:rPr>
              <w:t>/</w:t>
            </w:r>
            <w:r>
              <w:rPr>
                <w:rStyle w:val="26"/>
                <w:lang w:val="en-US" w:eastAsia="zh-CN" w:bidi="ar"/>
              </w:rPr>
              <w:t>中药学服务，包含为患者提供从药学</w:t>
            </w:r>
            <w:r>
              <w:rPr>
                <w:rFonts w:hint="default" w:ascii="Times New Roman" w:hAnsi="Times New Roman" w:eastAsia="宋体" w:cs="Times New Roman"/>
                <w:i w:val="0"/>
                <w:color w:val="000000"/>
                <w:kern w:val="0"/>
                <w:sz w:val="18"/>
                <w:szCs w:val="18"/>
                <w:u w:val="none"/>
                <w:lang w:val="en-US" w:eastAsia="zh-CN" w:bidi="ar"/>
              </w:rPr>
              <w:t>/</w:t>
            </w:r>
            <w:r>
              <w:rPr>
                <w:rStyle w:val="26"/>
                <w:lang w:val="en-US" w:eastAsia="zh-CN" w:bidi="ar"/>
              </w:rPr>
              <w:t>中药学咨询到用药指导，制定用药方案的药学服务。</w:t>
            </w:r>
          </w:p>
        </w:tc>
        <w:tc>
          <w:tcPr>
            <w:tcW w:w="2955"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所定价格涵盖核实信息、药学咨询、评估用药情况、开展药学指导、制定用药方案、干预或提出药物重整建议、建立药历等所需的人力资源和基本物质资源消耗。</w:t>
            </w:r>
          </w:p>
        </w:tc>
        <w:tc>
          <w:tcPr>
            <w:tcW w:w="55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63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8</w:t>
            </w:r>
          </w:p>
        </w:tc>
        <w:tc>
          <w:tcPr>
            <w:tcW w:w="63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75"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895"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本项目的药学服务涵盖西药、中药及民族药。</w:t>
            </w:r>
          </w:p>
        </w:tc>
        <w:tc>
          <w:tcPr>
            <w:tcW w:w="67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4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15"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1020" w:hRule="atLeast"/>
        </w:trPr>
        <w:tc>
          <w:tcPr>
            <w:tcW w:w="435"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160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011102020030001</w:t>
            </w:r>
          </w:p>
        </w:tc>
        <w:tc>
          <w:tcPr>
            <w:tcW w:w="144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门诊诊查费（药学门诊）-副主任（中）药师（加收）</w:t>
            </w:r>
          </w:p>
        </w:tc>
        <w:tc>
          <w:tcPr>
            <w:tcW w:w="199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95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55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63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10</w:t>
            </w:r>
          </w:p>
        </w:tc>
        <w:tc>
          <w:tcPr>
            <w:tcW w:w="63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7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289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67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4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15"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trPr>
        <w:tc>
          <w:tcPr>
            <w:tcW w:w="43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011102020030002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门诊诊查费（药学门诊）-主任（中）药师（加收）</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55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16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1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trPr>
        <w:tc>
          <w:tcPr>
            <w:tcW w:w="43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011102020040000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门诊诊查费（护理门诊）</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指主管护师及以上护理人员提供技术劳务的门诊护理服务，包含为患者提供从护理咨询到护理查体评估，制定护理方案的护理服务。</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所定价格涵盖核实信息，护理服务、护理咨询、护理查体评估、护理指导及制定护理方案、护理记录等所需的人力资源和基本物质资源消耗。</w:t>
            </w:r>
          </w:p>
        </w:tc>
        <w:tc>
          <w:tcPr>
            <w:tcW w:w="55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8</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收费范围限国家卫生健康主管部门准许开展的护理门诊。</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1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5" w:hRule="atLeast"/>
        </w:trPr>
        <w:tc>
          <w:tcPr>
            <w:tcW w:w="43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60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011102020050000</w:t>
            </w:r>
          </w:p>
        </w:tc>
        <w:tc>
          <w:tcPr>
            <w:tcW w:w="144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门诊诊查费（便民门诊）</w:t>
            </w:r>
          </w:p>
        </w:tc>
        <w:tc>
          <w:tcPr>
            <w:tcW w:w="199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指针对复诊患者，提供开具药品、耗材、检查检验处方接续的门诊服务。</w:t>
            </w:r>
          </w:p>
        </w:tc>
        <w:tc>
          <w:tcPr>
            <w:tcW w:w="295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所定价格涵盖信息核实、开单等所需的人力资源和基本物质资源消耗。</w:t>
            </w:r>
          </w:p>
        </w:tc>
        <w:tc>
          <w:tcPr>
            <w:tcW w:w="555" w:type="dxa"/>
            <w:tcBorders>
              <w:top w:val="nil"/>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63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1</w:t>
            </w:r>
          </w:p>
        </w:tc>
        <w:tc>
          <w:tcPr>
            <w:tcW w:w="63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1</w:t>
            </w:r>
          </w:p>
        </w:tc>
        <w:tc>
          <w:tcPr>
            <w:tcW w:w="67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305496"/>
                <w:sz w:val="18"/>
                <w:szCs w:val="18"/>
                <w:u w:val="none"/>
              </w:rPr>
            </w:pPr>
            <w:r>
              <w:rPr>
                <w:rFonts w:hint="eastAsia" w:ascii="宋体" w:hAnsi="宋体" w:eastAsia="宋体" w:cs="宋体"/>
                <w:i w:val="0"/>
                <w:color w:val="305496"/>
                <w:kern w:val="0"/>
                <w:sz w:val="18"/>
                <w:szCs w:val="18"/>
                <w:u w:val="none"/>
                <w:lang w:val="en-US" w:eastAsia="zh-CN" w:bidi="ar"/>
              </w:rPr>
              <w:t>1</w:t>
            </w:r>
          </w:p>
        </w:tc>
        <w:tc>
          <w:tcPr>
            <w:tcW w:w="289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4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15" w:type="dxa"/>
            <w:tcBorders>
              <w:top w:val="single" w:color="000000"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20" w:hRule="atLeast"/>
        </w:trPr>
        <w:tc>
          <w:tcPr>
            <w:tcW w:w="435"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605"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011101000010000</w:t>
            </w:r>
          </w:p>
        </w:tc>
        <w:tc>
          <w:tcPr>
            <w:tcW w:w="14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一般诊疗费</w:t>
            </w:r>
          </w:p>
        </w:tc>
        <w:tc>
          <w:tcPr>
            <w:tcW w:w="199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指基层医疗卫生机构医护人员为患者提供技术劳务的诊疗服务。</w:t>
            </w:r>
          </w:p>
        </w:tc>
        <w:tc>
          <w:tcPr>
            <w:tcW w:w="295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所定价格涵盖挂号、诊查、注射（包括采血、输液、输血，不含药品费）以及药事服务成本等所需的人力资源和基本物质资源消耗。</w:t>
            </w:r>
          </w:p>
        </w:tc>
        <w:tc>
          <w:tcPr>
            <w:tcW w:w="55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63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default" w:ascii="等线" w:hAnsi="等线" w:eastAsia="等线" w:cs="等线"/>
                <w:i w:val="0"/>
                <w:color w:val="000000"/>
                <w:sz w:val="18"/>
                <w:szCs w:val="18"/>
                <w:u w:val="none"/>
              </w:rPr>
            </w:pPr>
          </w:p>
        </w:tc>
        <w:tc>
          <w:tcPr>
            <w:tcW w:w="63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default" w:ascii="等线" w:hAnsi="等线" w:eastAsia="等线" w:cs="等线"/>
                <w:i w:val="0"/>
                <w:color w:val="000000"/>
                <w:sz w:val="18"/>
                <w:szCs w:val="18"/>
                <w:u w:val="none"/>
              </w:rPr>
            </w:pPr>
          </w:p>
        </w:tc>
        <w:tc>
          <w:tcPr>
            <w:tcW w:w="67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89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1.在政府办基层医疗卫生机构（包括镇卫生院、城市社区卫生服务机构等）、实施一体化管理的村卫生室就诊的，执行一般诊疗费。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2.对门诊注射（输液）、换药、针灸、理疗、推拿等按疗程收费的项目，疗程内（每疗程按三天算）收取一次一般诊疗费。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3.患者一天内在同一科别重复就诊的，收取一次一般诊疗费。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4.患者单纯到门诊取药的，按照便民门诊收取1元。</w:t>
            </w:r>
          </w:p>
        </w:tc>
        <w:tc>
          <w:tcPr>
            <w:tcW w:w="1320"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医保定额支付9元。纳入个人支付限额。</w:t>
            </w:r>
          </w:p>
        </w:tc>
        <w:tc>
          <w:tcPr>
            <w:tcW w:w="6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90" w:hRule="atLeast"/>
        </w:trPr>
        <w:tc>
          <w:tcPr>
            <w:tcW w:w="435"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60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011102020060000</w:t>
            </w:r>
          </w:p>
        </w:tc>
        <w:tc>
          <w:tcPr>
            <w:tcW w:w="144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急诊诊查费（普通）</w:t>
            </w:r>
          </w:p>
        </w:tc>
        <w:tc>
          <w:tcPr>
            <w:tcW w:w="199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指在急诊区域内，包含为患者提供从建档、了解病情和患者基本情况、分析诊断、制定诊疗方案或提出下一步诊断建议的医疗服务。</w:t>
            </w:r>
          </w:p>
        </w:tc>
        <w:tc>
          <w:tcPr>
            <w:tcW w:w="295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急诊建档、信息核实、询问病情、采集病史、查体、一般物理检查、阅读分析检查检验结果、评估病情、诊断、制定诊疗方案、及时向患者或家属告知、开具处方和治疗单、开具检查检验单、病历书写等所需的人力资源和基本物质资源消耗。</w:t>
            </w:r>
          </w:p>
        </w:tc>
        <w:tc>
          <w:tcPr>
            <w:tcW w:w="55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63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20</w:t>
            </w:r>
          </w:p>
        </w:tc>
        <w:tc>
          <w:tcPr>
            <w:tcW w:w="63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16</w:t>
            </w:r>
          </w:p>
        </w:tc>
        <w:tc>
          <w:tcPr>
            <w:tcW w:w="67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13</w:t>
            </w:r>
            <w:r>
              <w:rPr>
                <w:rFonts w:hint="eastAsia" w:ascii="宋体" w:hAnsi="宋体" w:cs="宋体"/>
                <w:i w:val="0"/>
                <w:color w:val="000000"/>
                <w:kern w:val="0"/>
                <w:sz w:val="18"/>
                <w:szCs w:val="18"/>
                <w:u w:val="none"/>
                <w:lang w:val="en-US" w:eastAsia="zh-CN" w:bidi="ar"/>
              </w:rPr>
              <w:t xml:space="preserve"> </w:t>
            </w:r>
          </w:p>
        </w:tc>
        <w:tc>
          <w:tcPr>
            <w:tcW w:w="289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67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4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三级8元，二级6元，一级5元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43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371102020060001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急诊诊查费（普通）-儿童（加收）</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90" w:hRule="atLeast"/>
        </w:trPr>
        <w:tc>
          <w:tcPr>
            <w:tcW w:w="435"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011102020070000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急诊诊查费（留观）</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指医师对急诊留观患者进行的诊查服务，并根据病情制定诊疗方案。</w:t>
            </w:r>
          </w:p>
        </w:tc>
        <w:tc>
          <w:tcPr>
            <w:tcW w:w="295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留观建档、巡视患者、密切观察患者病情及生命体征变化、病史采集、查体、一般物理检查、阅读分析检查检验结果、评估病情、诊断、制定诊疗方案、开立医嘱、病历书写、病情告知等所需的人力资源和基本物质资源消耗。</w:t>
            </w:r>
          </w:p>
        </w:tc>
        <w:tc>
          <w:tcPr>
            <w:tcW w:w="55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63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35</w:t>
            </w:r>
          </w:p>
        </w:tc>
        <w:tc>
          <w:tcPr>
            <w:tcW w:w="63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67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289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1.针对未满足住院条件或因各种原因无法办理住院的急诊留观患者收费。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2.当天转住院的，急诊诊查费（留观）与住院诊查费用（普通）不得同时收取。</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1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0" w:hRule="atLeast"/>
        </w:trPr>
        <w:tc>
          <w:tcPr>
            <w:tcW w:w="43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011102020070001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急诊诊查费（留观）-急诊抢救室（加收）</w:t>
            </w:r>
          </w:p>
        </w:tc>
        <w:tc>
          <w:tcPr>
            <w:tcW w:w="199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955"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55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630"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17.5</w:t>
            </w:r>
          </w:p>
        </w:tc>
        <w:tc>
          <w:tcPr>
            <w:tcW w:w="630"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67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2895"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在主项目价格基础上加收50%。</w:t>
            </w:r>
          </w:p>
        </w:tc>
        <w:tc>
          <w:tcPr>
            <w:tcW w:w="67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1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trPr>
        <w:tc>
          <w:tcPr>
            <w:tcW w:w="43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011102030010000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住院诊查费（普通）</w:t>
            </w:r>
          </w:p>
        </w:tc>
        <w:tc>
          <w:tcPr>
            <w:tcW w:w="199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指医师对住院患者进行每日的诊查服务，根据病情变化制定及调整诊疗方案。</w:t>
            </w:r>
          </w:p>
        </w:tc>
        <w:tc>
          <w:tcPr>
            <w:tcW w:w="2955"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住院建档、查房、观察患者病情及生命体征变化、病史采集、查体、一般物理检查、阅读分析检查检验结果、评估病情、诊断、制定诊疗方案、病历书写、开立医嘱、病情告知等所需的人力资源和基本物质资源消耗。</w:t>
            </w:r>
          </w:p>
        </w:tc>
        <w:tc>
          <w:tcPr>
            <w:tcW w:w="55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63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28</w:t>
            </w:r>
          </w:p>
        </w:tc>
        <w:tc>
          <w:tcPr>
            <w:tcW w:w="63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67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2895"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67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1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1480" w:hRule="atLeast"/>
        </w:trPr>
        <w:tc>
          <w:tcPr>
            <w:tcW w:w="43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60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011102030020000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住院诊查费（临床药学）</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指临床药师结合患者病情和用药情况，参与临床医师住院巡诊，协同制定个体化药物治疗方案，并进行用药监护和用药安全指导的药学服务。</w:t>
            </w:r>
          </w:p>
        </w:tc>
        <w:tc>
          <w:tcPr>
            <w:tcW w:w="295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所定价格涵盖参与住院巡诊、协同制定个体化药物治疗方案、疗效观察、药物不良反应监测、安全用药指导、干预或提出药物重整等建议、建立药历等所需的人力资源和基本物质资源消耗。</w:t>
            </w:r>
          </w:p>
        </w:tc>
        <w:tc>
          <w:tcPr>
            <w:tcW w:w="55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63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14</w:t>
            </w:r>
          </w:p>
        </w:tc>
        <w:tc>
          <w:tcPr>
            <w:tcW w:w="63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67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289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符合规定资质的临床药师参与临床医师住院巡诊，每日加收14元；住院天数≤30天的，加收费用最高不超过42元；住院天数＞30天的，每30天（含）加收不超过42元，加收费用最高不超过140元。</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1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60" w:hRule="atLeast"/>
        </w:trPr>
        <w:tc>
          <w:tcPr>
            <w:tcW w:w="43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011106000010000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多学科诊疗费</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征询患者同意，在门诊及住院期间，针对疑难复杂疾病，由两个及以上相关临床学科，具备副主任（中）医师及以上资质的专家组成工作组，共同对患者病情进行问诊、综合评估、分析及诊断，制定全面诊疗方案的医疗服务。</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病史采集、查体、一般物理检查、阅读分析检查检验结果、综合评估、讨论分析病情、诊断、制定综合诊疗方案、开具处方医嘱（治疗单、检查检验单）、病历书写、病情告知等所需的人力资源和基本物质资源消耗。</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500</w:t>
            </w:r>
          </w:p>
        </w:tc>
        <w:tc>
          <w:tcPr>
            <w:tcW w:w="63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400</w:t>
            </w:r>
          </w:p>
        </w:tc>
        <w:tc>
          <w:tcPr>
            <w:tcW w:w="67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320</w:t>
            </w:r>
          </w:p>
        </w:tc>
        <w:tc>
          <w:tcPr>
            <w:tcW w:w="289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1.不与各类门诊诊查费同时收取。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2.收费范围限国家卫生健康主管部门准许开展的多学科诊疗服务。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3.计算学科数量时，药学、护理不作为单独学科计算。</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4.门诊诊查时间每次不少于20分钟，住院诊查时间每次不少于30分钟。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5.护理、药学不作为单独临床学科计价。</w:t>
            </w:r>
          </w:p>
        </w:tc>
        <w:tc>
          <w:tcPr>
            <w:tcW w:w="67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61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trPr>
        <w:tc>
          <w:tcPr>
            <w:tcW w:w="435"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011106000020000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会诊费（院内）</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指因患者病情需要，在科室间进行的临床多学科参与会诊制定诊疗方案。</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所定价格涵盖病史采集、查体、一般物理检查、阅读分析检查检验结果、病情分析、提供诊疗方案、开具处方医嘱（治疗单、检查检验单）等所需的人力资源和基本物质资源消耗。</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学科·次</w:t>
            </w:r>
          </w:p>
        </w:tc>
        <w:tc>
          <w:tcPr>
            <w:tcW w:w="6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20</w:t>
            </w:r>
          </w:p>
        </w:tc>
        <w:tc>
          <w:tcPr>
            <w:tcW w:w="630"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16</w:t>
            </w:r>
          </w:p>
        </w:tc>
        <w:tc>
          <w:tcPr>
            <w:tcW w:w="67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2895" w:type="dxa"/>
            <w:tcBorders>
              <w:top w:val="single" w:color="auto"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护理、药学不作为单独临床学科计价。</w:t>
            </w:r>
          </w:p>
        </w:tc>
        <w:tc>
          <w:tcPr>
            <w:tcW w:w="675"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4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5" w:hRule="atLeast"/>
        </w:trPr>
        <w:tc>
          <w:tcPr>
            <w:tcW w:w="43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011106000020001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会诊费（院内）-副主任医师（加收）</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学科·次</w:t>
            </w:r>
          </w:p>
        </w:tc>
        <w:tc>
          <w:tcPr>
            <w:tcW w:w="6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40</w:t>
            </w:r>
          </w:p>
        </w:tc>
        <w:tc>
          <w:tcPr>
            <w:tcW w:w="63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32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4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75" w:hRule="atLeast"/>
        </w:trPr>
        <w:tc>
          <w:tcPr>
            <w:tcW w:w="43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011106000020002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会诊费（院内）-主任医师（加收）</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学科·次</w:t>
            </w:r>
          </w:p>
        </w:tc>
        <w:tc>
          <w:tcPr>
            <w:tcW w:w="6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60</w:t>
            </w:r>
          </w:p>
        </w:tc>
        <w:tc>
          <w:tcPr>
            <w:tcW w:w="630"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48</w:t>
            </w:r>
          </w:p>
        </w:tc>
        <w:tc>
          <w:tcPr>
            <w:tcW w:w="67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w:t>
            </w:r>
          </w:p>
        </w:tc>
        <w:tc>
          <w:tcPr>
            <w:tcW w:w="289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4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1020" w:hRule="atLeast"/>
        </w:trPr>
        <w:tc>
          <w:tcPr>
            <w:tcW w:w="435"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011106000030000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会诊费（院外）</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指因患者病情需要，在医院间进行的临床多学科参与会诊制定诊疗方案。</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所定价格涵盖病史采集、查体、一般物理检查、阅读分析检查检验结果、病情分析、提供诊疗方案等所需的人力资源和基本物质资源消耗。（不含通勤、住宿等非医疗成本）</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学科·次</w:t>
            </w:r>
          </w:p>
        </w:tc>
        <w:tc>
          <w:tcPr>
            <w:tcW w:w="19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自主定价</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1.院外会诊按照“上门服务费+会诊费（院外）”的方式收费。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2.护理、药学不作为单独临床学科计价。</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1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3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011106000030001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会诊费（院外）-副主任医师（加收）</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学科·次</w:t>
            </w:r>
          </w:p>
        </w:tc>
        <w:tc>
          <w:tcPr>
            <w:tcW w:w="19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自主定价</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1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5" w:hRule="atLeast"/>
        </w:trPr>
        <w:tc>
          <w:tcPr>
            <w:tcW w:w="435" w:type="dxa"/>
            <w:vMerge w:val="continue"/>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160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011106000030002</w:t>
            </w:r>
          </w:p>
        </w:tc>
        <w:tc>
          <w:tcPr>
            <w:tcW w:w="144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会诊费（院外）-主任医师（加收）</w:t>
            </w:r>
          </w:p>
        </w:tc>
        <w:tc>
          <w:tcPr>
            <w:tcW w:w="199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学科·次</w:t>
            </w:r>
          </w:p>
        </w:tc>
        <w:tc>
          <w:tcPr>
            <w:tcW w:w="19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自主定价</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1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95" w:hRule="atLeast"/>
        </w:trPr>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011106000040000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会诊费（远程会诊）</w:t>
            </w:r>
          </w:p>
        </w:tc>
        <w:tc>
          <w:tcPr>
            <w:tcW w:w="1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指因患者病情需要，邀请方和受邀方医疗机构通过可视视频实时、同步交互的方式开展的远程会诊。</w:t>
            </w:r>
          </w:p>
        </w:tc>
        <w:tc>
          <w:tcPr>
            <w:tcW w:w="295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通过互联网远程医疗网络系统搭建、维护、邀约、应邀、可视视频实时同步交互、资料上传、问诊、阅读分析检查检验结果、在线讨论病情、提供诊疗方案、出具诊疗意见报告等所需的人力资源和基本物质资源消耗。</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1935"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自主定价</w:t>
            </w:r>
          </w:p>
        </w:tc>
        <w:tc>
          <w:tcPr>
            <w:tcW w:w="289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1.按照受邀方医疗机构标准收费。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2.收费范围限国卫医发〔2018〕25号《互联网诊疗管理办法（试行）》、《互联网医院管理办法（试行）》、《互联网医院基本标准（试行）》准许开展的诊疗服务。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3.护理、药学不作为单独临床学科计价。</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1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60" w:hRule="atLeast"/>
        </w:trPr>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011102040020000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互联网诊查费（复诊）</w:t>
            </w:r>
          </w:p>
        </w:tc>
        <w:tc>
          <w:tcPr>
            <w:tcW w:w="1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指医务人员通过互联网医疗服务平台提供技术劳务的复诊诊疗服务，包含为患者提供从问诊到诊断，制定诊疗方案或提出下一步诊疗建议。</w:t>
            </w:r>
          </w:p>
        </w:tc>
        <w:tc>
          <w:tcPr>
            <w:tcW w:w="295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所定价格涵盖信息核实、在线问诊、查阅既往病历及检查报告、记录分析、制定诊疗方案或建议，必要时在线开具处方等所需的人力资源和基本物质资源消耗。</w:t>
            </w:r>
          </w:p>
        </w:tc>
        <w:tc>
          <w:tcPr>
            <w:tcW w:w="55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630"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8</w:t>
            </w:r>
          </w:p>
        </w:tc>
        <w:tc>
          <w:tcPr>
            <w:tcW w:w="63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7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895"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1.收费范围限国家卫生健康主管部门准许通过互联网方式开展的复诊服务。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2.公立医疗机构开展互联网复诊，由不同级别医务人员提供服务，均按普通门诊诊查类项目价格收费。</w:t>
            </w:r>
          </w:p>
        </w:tc>
        <w:tc>
          <w:tcPr>
            <w:tcW w:w="67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340" w:hRule="atLeast"/>
        </w:trPr>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011108000010000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远程监测费</w:t>
            </w:r>
          </w:p>
        </w:tc>
        <w:tc>
          <w:tcPr>
            <w:tcW w:w="1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指医技人员为院外患者提供的远程实时监测服务。</w:t>
            </w:r>
          </w:p>
        </w:tc>
        <w:tc>
          <w:tcPr>
            <w:tcW w:w="295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所定价格涵盖信息核实、检查设备功能、安置远程监测设备、指导使用、程控打开远程监测设备、数据信息采集、分析判断、结果反馈、提供建议，指导随访等所需的人力资源和基本物质资源消耗。</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63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80</w:t>
            </w:r>
          </w:p>
        </w:tc>
        <w:tc>
          <w:tcPr>
            <w:tcW w:w="63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c>
          <w:tcPr>
            <w:tcW w:w="67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w:t>
            </w:r>
          </w:p>
        </w:tc>
        <w:tc>
          <w:tcPr>
            <w:tcW w:w="289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1.具备远程实时监测功能，且实时传输数据至医院端供医生了解病情的装置使用时可收取该项费用。仅具有数据存储功能，不能实时传输数据的设备不得收取此费用。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2.远程监测范围仅限国家卫生健康主管部门准许开展的心电监护、除颤器监护、起搏器监护等项目。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3.超过半日不足24小时按一日计算，不足半日按半日计算。</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00" w:hRule="atLeast"/>
        </w:trPr>
        <w:tc>
          <w:tcPr>
            <w:tcW w:w="435"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160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011105000010000</w:t>
            </w:r>
          </w:p>
        </w:tc>
        <w:tc>
          <w:tcPr>
            <w:tcW w:w="144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床位费（单人间）</w:t>
            </w:r>
          </w:p>
        </w:tc>
        <w:tc>
          <w:tcPr>
            <w:tcW w:w="199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指住院期间为患者提供的单人病房及相关设施，可提供用于家属陪护、独立卫浴等需求的相关设施。</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所定价格涵盖床单位必备设施，包括但不限于腕带、病人服装、文档资料及管理、床单位设备及布草、独立卫浴、能源消耗、医疗垃圾及污水处理、病房控温设施及维护等所需的人力资源和基本物质资源消耗。</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床位·日</w:t>
            </w:r>
          </w:p>
        </w:tc>
        <w:tc>
          <w:tcPr>
            <w:tcW w:w="19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自主定价</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单人间床位费实行市场调节价，由医院自主制定收费标准，未达到本条所列服务产出要求的单人间，收取床位费从严把握，或暂时按原政府指导价。</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15"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三级45元，二级36元，一级29元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43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011105000020000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床位费（二人间）</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指住院期间为患者提供的双人病房床位及相关设施。</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所定价格涵盖床单位必备设施，包括但不限于腕带、病人服装、文档资料及管理、床单位设备及布草、独立卫生间、能源消耗、医疗垃圾及污水处理、病房控温设施及维护等所需的人力资源和基本物质资源消耗。</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床位·日</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80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64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不满足价格构成必备设施要求的，每少一项减收10%。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15"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trPr>
        <w:tc>
          <w:tcPr>
            <w:tcW w:w="43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011105000030000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床位费（三人间）</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指住院期间为患者提供的三人病房床位及相关设施。</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所定价格涵盖床单位必备设施，包括但不限于腕带、病人服装、文档资料及管理、床单位设备及布草、独立卫生间、能源消耗、医疗垃圾及污水处理、病房控温设施及维护等所需的人力资源和基本物质资源消耗。</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床位·日</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60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48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不满足价格构成必备设施要求的，每少一项减收10%。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15"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trPr>
        <w:tc>
          <w:tcPr>
            <w:tcW w:w="435"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011105000040000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床位费（多人间）</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指住院期间为患者提供的多人间（四人及以上）病房床位及相关设施。</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所定价格涵盖床单位必备设施，包括但不限于腕带、病人服装、文档资料及管理、床单位设备及布草、能源消耗、医疗垃圾及污水处理、病房控温设施及维护等所需的人力资源和基本物质资源消耗。</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床位·日</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45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36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不满足价格构成必备设施要求的，每少一项减收10%。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15"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770" w:hRule="atLeast"/>
        </w:trPr>
        <w:tc>
          <w:tcPr>
            <w:tcW w:w="43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011105000040100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床位费（多人间）-临时床位酌减（扩展）</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床位·日</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在主项目价格基础上酌减。</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80" w:hRule="atLeast"/>
        </w:trPr>
        <w:tc>
          <w:tcPr>
            <w:tcW w:w="435"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011105000050000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床位费（急诊留观）</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指医疗机构对急诊留观患者提供的留观床及相关设施。</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所定价格涵盖床单位必备设施，包括但不限于文档资料及管理、能源消耗、医疗垃圾及污水处理、病房控温设施及维护等所需的人力资源和基本物质资源消耗。</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16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1.针对未满足住院条件或因各种原因无法办理住院的急诊留观患者收费。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2.办理住院后的患者按相应床位费标准收取。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3.不与其他床位费同时收取。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4.符合病房条件和管理标准的急诊观察床，按病房有关标准计价，床位费以日计算，不足半日按半日计价。</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1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5" w:hRule="atLeast"/>
        </w:trPr>
        <w:tc>
          <w:tcPr>
            <w:tcW w:w="435" w:type="dxa"/>
            <w:vMerge w:val="continue"/>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160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011105000050001</w:t>
            </w:r>
          </w:p>
        </w:tc>
        <w:tc>
          <w:tcPr>
            <w:tcW w:w="144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床位费（急诊留观）-急诊抢救室（加收）</w:t>
            </w:r>
          </w:p>
        </w:tc>
        <w:tc>
          <w:tcPr>
            <w:tcW w:w="199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在主项目价格基础上加收50%。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1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trPr>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011105000060000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床位费（重症监护）</w:t>
            </w:r>
          </w:p>
        </w:tc>
        <w:tc>
          <w:tcPr>
            <w:tcW w:w="1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指治疗期间根据病情需要，为患者提供的重症监护病区床位及相关设施。</w:t>
            </w:r>
          </w:p>
        </w:tc>
        <w:tc>
          <w:tcPr>
            <w:tcW w:w="295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床单位必备设施，包括但不限于腕带、病人服装、文档资料及管理、床单位设备及布草、病房控温设施、中心监护台，监护设备及其他监护抢救设施、空气净化设施、能源消耗、医疗垃圾及污水处理及维护等所需的人力资源和基本物质资源消耗。</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65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52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不与其他床位费同时收取。</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80" w:hRule="atLeast"/>
        </w:trPr>
        <w:tc>
          <w:tcPr>
            <w:tcW w:w="435"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160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011105000070000</w:t>
            </w:r>
          </w:p>
        </w:tc>
        <w:tc>
          <w:tcPr>
            <w:tcW w:w="144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床位费（层流洁净）</w:t>
            </w:r>
          </w:p>
        </w:tc>
        <w:tc>
          <w:tcPr>
            <w:tcW w:w="199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指住院期间根据病情需要，为患者提供达到层流标准的洁净床位及相关设施。</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床单位必备设施，包括但不限于腕带、病人服装、文档资料及管理、床单位设备及布草、能源消耗、医疗垃圾及污水处理、病房控温设施、全封闭式层流洁净间设施及维护等所需的人力资源和基本物质资源消耗。</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150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150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1.按照中华人民共和国住房和城乡建设部《GB51039-2014综合医院建筑设计规范》，层流洁净床位需满足I 级洁净用房相关要求。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2.不与其他床位费同时收取。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3.不满足I 级洁净用房的相关要求的，按照普通床位费收取。</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1020" w:hRule="atLeast"/>
        </w:trPr>
        <w:tc>
          <w:tcPr>
            <w:tcW w:w="43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1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011105000080000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床位费（特殊防护）</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指住院期间根据病情需要，为患者提供的放射性物质照射治疗或负压病房床位及相关设施。</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床单位必备设施，包括但不限于腕带、病人服装、文档资料及管理、床单位设备及布草、能源消耗、放射性医疗垃圾及污水处理、病房控温设施、放射性物质防护设施及维护（含放射性污染职业监测或环境监测）等所需的人力资源和基本物质资源消耗。</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19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自主定价</w:t>
            </w:r>
          </w:p>
        </w:tc>
        <w:tc>
          <w:tcPr>
            <w:tcW w:w="28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不与其他床位费同时收取。</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15" w:type="dxa"/>
            <w:tcBorders>
              <w:top w:val="single" w:color="000000" w:sz="4" w:space="0"/>
              <w:left w:val="single" w:color="000000" w:sz="4" w:space="0"/>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限额支付60元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40" w:hRule="atLeast"/>
        </w:trPr>
        <w:tc>
          <w:tcPr>
            <w:tcW w:w="435"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011105000090000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床位费（新生儿）</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指医疗机构对新生儿提供的床位及相关设施。</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所定价格涵盖床单位必备设施，包括但不限于腕带、服装、文档资料及管理、床单位设备及布草、能源消耗、医疗垃圾及污水处理、病房控温设施及维护等所需的人力资源和基本物质资源消耗。</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16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1.早产儿按照纠正胎龄计算出生天数。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2.可与产妇床位费同时收取。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3.指产科使用。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4.新生儿科按普通床位收取。</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5" w:hRule="atLeast"/>
        </w:trPr>
        <w:tc>
          <w:tcPr>
            <w:tcW w:w="435" w:type="dxa"/>
            <w:vMerge w:val="continue"/>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160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011105000090001</w:t>
            </w:r>
          </w:p>
        </w:tc>
        <w:tc>
          <w:tcPr>
            <w:tcW w:w="144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床位费（新生儿）-母婴同室新生儿（减收）</w:t>
            </w:r>
          </w:p>
        </w:tc>
        <w:tc>
          <w:tcPr>
            <w:tcW w:w="199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等线" w:hAnsi="等线" w:eastAsia="等线" w:cs="等线"/>
                <w:i w:val="0"/>
                <w:color w:val="000000"/>
                <w:kern w:val="0"/>
                <w:sz w:val="18"/>
                <w:szCs w:val="18"/>
                <w:u w:val="none"/>
                <w:lang w:val="en-US" w:eastAsia="zh-CN" w:bidi="ar"/>
              </w:rPr>
            </w:pPr>
            <w:r>
              <w:rPr>
                <w:rFonts w:hint="default" w:ascii="等线" w:hAnsi="等线" w:eastAsia="等线" w:cs="等线"/>
                <w:i w:val="0"/>
                <w:color w:val="000000"/>
                <w:kern w:val="0"/>
                <w:sz w:val="18"/>
                <w:szCs w:val="18"/>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等线" w:hAnsi="等线" w:eastAsia="等线" w:cs="等线"/>
                <w:i w:val="0"/>
                <w:color w:val="000000"/>
                <w:kern w:val="0"/>
                <w:sz w:val="18"/>
                <w:szCs w:val="18"/>
                <w:u w:val="none"/>
                <w:lang w:val="en-US" w:eastAsia="zh-CN" w:bidi="ar"/>
              </w:rPr>
            </w:pPr>
            <w:r>
              <w:rPr>
                <w:rFonts w:hint="default" w:ascii="等线" w:hAnsi="等线" w:eastAsia="等线" w:cs="等线"/>
                <w:i w:val="0"/>
                <w:color w:val="000000"/>
                <w:kern w:val="0"/>
                <w:sz w:val="18"/>
                <w:szCs w:val="18"/>
                <w:u w:val="none"/>
                <w:lang w:val="en-US" w:eastAsia="zh-CN" w:bidi="ar"/>
              </w:rPr>
              <w:t>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等线" w:hAnsi="等线" w:eastAsia="等线" w:cs="等线"/>
                <w:i w:val="0"/>
                <w:color w:val="000000"/>
                <w:kern w:val="0"/>
                <w:sz w:val="18"/>
                <w:szCs w:val="18"/>
                <w:u w:val="none"/>
                <w:lang w:val="en-US" w:eastAsia="zh-CN" w:bidi="ar"/>
              </w:rPr>
            </w:pPr>
            <w:r>
              <w:rPr>
                <w:rFonts w:hint="eastAsia" w:ascii="等线" w:hAnsi="等线" w:eastAsia="等线" w:cs="等线"/>
                <w:i w:val="0"/>
                <w:color w:val="000000"/>
                <w:kern w:val="0"/>
                <w:sz w:val="18"/>
                <w:szCs w:val="18"/>
                <w:u w:val="none"/>
                <w:lang w:val="en-US" w:eastAsia="zh-CN" w:bidi="ar"/>
              </w:rPr>
              <w:t>6</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trPr>
        <w:tc>
          <w:tcPr>
            <w:tcW w:w="435"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160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011105000100000</w:t>
            </w:r>
          </w:p>
        </w:tc>
        <w:tc>
          <w:tcPr>
            <w:tcW w:w="144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新生儿暖箱费</w:t>
            </w:r>
          </w:p>
        </w:tc>
        <w:tc>
          <w:tcPr>
            <w:tcW w:w="1995"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通过各种不同功能的暖箱，保持温度、湿度恒定，达到维持新生儿、早产儿或婴儿基本生命需求的目的。</w:t>
            </w:r>
          </w:p>
        </w:tc>
        <w:tc>
          <w:tcPr>
            <w:tcW w:w="295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所定价格涵盖新生儿床位相关设施、暖箱调节、加湿、皮肤温度监测、秤体重、兼备暖箱与辐射台功能、定期清洁消毒、处理用物等所需的人力资源和基本物质资源消耗。</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72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58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1.不与新生儿床位费同时收取。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2.超过半日不足24小时按一日计算，不足半日按半日计算。</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1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20" w:hRule="atLeast"/>
        </w:trPr>
        <w:tc>
          <w:tcPr>
            <w:tcW w:w="435"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160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011105000110000</w:t>
            </w:r>
          </w:p>
        </w:tc>
        <w:tc>
          <w:tcPr>
            <w:tcW w:w="144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家庭病床建床费</w:t>
            </w:r>
          </w:p>
        </w:tc>
        <w:tc>
          <w:tcPr>
            <w:tcW w:w="1995"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根据患者需求，医疗机构派出医务人员改造或指导患者改造床位，使患者部分家庭空间具备作为检查治疗护理场所的各项条件。</w:t>
            </w:r>
          </w:p>
        </w:tc>
        <w:tc>
          <w:tcPr>
            <w:tcW w:w="295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所定价格涵盖医疗机构完成家庭病床建床建档（含建立病历）的人力资源和基本物质资源消耗。</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9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自主定价</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费范围限国家卫生健康主管部门准许提供的家庭病床建床服务。建床后，医疗机构继续上门提供巡诊、护理等各类医疗服务的，按照“上门服务费+医疗服务价格”的方式收费即可，不再以“家庭病床+某服务”的方式设立医疗服务价格项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1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360" w:hRule="atLeast"/>
        </w:trPr>
        <w:tc>
          <w:tcPr>
            <w:tcW w:w="435"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160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011107000010000</w:t>
            </w:r>
          </w:p>
        </w:tc>
        <w:tc>
          <w:tcPr>
            <w:tcW w:w="144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上门服务费</w:t>
            </w:r>
          </w:p>
        </w:tc>
        <w:tc>
          <w:tcPr>
            <w:tcW w:w="199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根据患者需求，医疗机构派出医务人员，前往患者指定地点为其提供合法合规的医疗服务。</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所定价格涵盖医疗机构派出医务人员的交通成本、人力资源和基本物质资源消耗。</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次·人</w:t>
            </w:r>
          </w:p>
        </w:tc>
        <w:tc>
          <w:tcPr>
            <w:tcW w:w="19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自主定价</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1.上门服务费可由公立医疗机构自主确定。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2.计价单位“次·人”中的“人”是指每名专业人员。例如由1名医师、1名护理人员同时提供上门服务的，收费为“上门服务费”价格×2。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上门服务”是指医疗机构以质量安全为前提，为各类群体上门提供医疗服务，收费采取“上门服务费+医疗服务价格”的方式，即上门提供服务本身收取一次“上门服务费”，提供的医疗服务、药品、医用耗材等，收费适用本医疗服务执行的医药价格政策。不再以“上门+某服务”的方式设立医疗服务价格项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4.对于医疗机构上门提供的医疗服务，已通过基本公共卫生服务家庭医生签约、长期护理保险等方式提供经费保障渠道的，不得额外收取上门服务费。</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1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trPr>
        <w:tc>
          <w:tcPr>
            <w:tcW w:w="43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011104000010000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院内抢救费（常规）</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针对急危重症患者，由单临床学科医务人员制定抢救方案，在院内组织开展现场紧急救治，不含心肺复苏术。</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所定价格涵盖组织人员、观察、实施抢救、记录、制定方案等所需的人力资源和基本物质资源消耗。</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140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112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1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trPr>
        <w:tc>
          <w:tcPr>
            <w:tcW w:w="43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011104000020000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院内抢救费（复杂）</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针对急危重症患者，由两个及以上临床学科医务人员联合制定抢救方案，在院内组织开展现场紧急救治，不含心肺复苏术。</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所定价格涵盖组织人员、观察、实施抢救、记录、制定方案等所需的人力资源和基本物质资源消耗。</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280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224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护理、药学不作为单独临床学科计价。</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1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trPr>
        <w:tc>
          <w:tcPr>
            <w:tcW w:w="43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011104000030000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心肺复苏术</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指手术室内外所有行心肺复苏的治疗，使患者恢复自主循环和呼吸。</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所定价格涵盖组织人员、观察、实施心肺复苏等所需的人力资源和基本物质资源消耗。</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300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240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192</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1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trPr>
        <w:tc>
          <w:tcPr>
            <w:tcW w:w="43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160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011103000010000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院前急救费</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针对急危重症患者，医护人员制定抢救方案，在院前组织开展现场紧急救治。</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所定价格涵盖组织人员、观察、实施抢救、监测生命体征、记录、制定方案等所需的人力资源和基本物质资源消耗。</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“院前”指以物理空间为分界标准。</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1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1280" w:hRule="atLeast"/>
        </w:trPr>
        <w:tc>
          <w:tcPr>
            <w:tcW w:w="43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011109000010000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安宁疗护费</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指为疾病终末期或老年患者在临终前提供身体、心理、精神等方面的诊查、护理、照料和人文关怀等服务，控制痛苦和不适症状，提高生命质量，帮助患者舒适、安详、有尊严地离世。</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所定价格涵盖患者病情评估、诊查、分级护理、各类评估工具使用、心理及精神疏导、情绪安抚、沟通陪伴、临终关怀、个性化支持等所需的人力资源和基本物质资源消耗。</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260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208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166</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不与各类“住院诊查费”和“分级护理”同时收费。</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1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00" w:hRule="atLeast"/>
        </w:trPr>
        <w:tc>
          <w:tcPr>
            <w:tcW w:w="435"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011109000020000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救护车转运费</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指医疗机构（含120急救中心）利用救护车转运患者的使用费用。</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所定价格涵盖含救护车交通往返相关管理费、折旧费、消毒费、油耗、司机劳务等所需的人力资源和基本物质资源消耗。</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公里</w:t>
            </w:r>
          </w:p>
        </w:tc>
        <w:tc>
          <w:tcPr>
            <w:tcW w:w="19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基价40元</w:t>
            </w:r>
          </w:p>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/车次，</w:t>
            </w:r>
          </w:p>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里程费5</w:t>
            </w:r>
          </w:p>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元/公里</w:t>
            </w:r>
          </w:p>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（往返）</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1.本项目按照基础费用和里程费用相结合的计价方式收费。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2.急危重症需要使用ECMO、有创呼吸机等生命维持系统带机转运的，按照“救护车转运费+相应设备治疗价格项目”计费。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3.非急救转运参照本项目收费。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4.高层无电梯的人力转运，医疗机构可自主定价。</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1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5" w:hRule="atLeast"/>
        </w:trPr>
        <w:tc>
          <w:tcPr>
            <w:tcW w:w="43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011109000020001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救护车转运费-高层（三楼及以上）人力转运（加收）</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19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自主定价</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1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trPr>
        <w:tc>
          <w:tcPr>
            <w:tcW w:w="43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011109000030000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航空医疗转运</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指医疗机构（含120急救中心）利用各类航空器转运患者的使用费用。</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所定价格涵盖航空器交通往返相关管理费、折旧费、消毒费、油耗、司机劳务等所需的人力资源和基本物质资源消耗。</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9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自主定价</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航空医疗转运实行市场调节价，由医院自主制定收费标准。</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1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40" w:hRule="atLeast"/>
        </w:trPr>
        <w:tc>
          <w:tcPr>
            <w:tcW w:w="15750" w:type="dxa"/>
            <w:gridSpan w:val="13"/>
            <w:tcBorders>
              <w:top w:val="single" w:color="000000"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使用说明：</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所定价格属于政府指导价为最高限价，下浮不限；同时，医疗机构、医务人员实施综合诊查过程中有关创新改良，采取“现有项目兼容”的方式简化处理，无需申报新增医疗服务价格项目，直接按照对应的整合项目执行即可。地方价格政策与《全国医疗服务价格规范》不一致时，医疗机构收费依据应以当地价格政策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价格构成”指项目价格应涵盖的各类资源消耗，用于确定计价单元的边界，不应作为临床技术标准理解，不是实际操作方式、路径、步骤、程序的强制性要求，价格构成中包含，但个别临床实践中非必要、未发生的，无需强制要求公立医疗机构减计费用。所列“设备投入”包括但不限于操作设备、器具及固定资产投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加收项”指同一项目以不同方式提供或在不同场景应用时，确有必要制定差异化收费标准而细分的一类子项，包括在原项目价格基础上增加或减少收费的情况；实际应用中，同时涉及多个加收项的，以项目单价为基础计算各项加/减收水平后，求和得出加/减收金额。上门服务费、家庭病床建床等居家服务类医疗服务价格项目，原则上不设加收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4.“扩展项”指同一项目下以不同方式提供或在不同场景应用时，只扩展价格项目适用范围、不额外加价的一类子项，子项的价格按主项目执行。</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基本物质资源消耗”指原则上限于不应或不必要与医疗服务项目分割的易耗品，包括但不限于各类消毒用品、储存用品、清洁用品、个人防护用品、标签、垃圾处理用品、腕带、病历纸张、冲洗液、润滑剂、压舌板、滑石粉、一般物理检查器具、治疗巾（单）、棉球、棉签、纱布（垫）、普通绷带、固定带、治疗护理盘(包）、普通注射器、护（尿）垫、中单、冲洗工具、备皮工具、灌注器、输液贴、牙垫、一次性冰袋、新生儿洗浴用品、导尿管、包裹单（袋）、软件的版权、开发、购买等。基本物质资源消耗成本计入项目价格，不另行收费。除基本物质资源消耗以外的其他耗材，按照实际采购价格零差率销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6.“计价单位”中的“学科”划分以医院内部实际设置科室为准；按“日”和“小时”收取的各项综合诊查费用，按各地现行政策施行。</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知名专家”与医师技术水平高度关联，参照国家统一评选认定的头衔或省级及以上卫生健康主管部门相关规定，如“享受国务院特殊津贴、两院院士、国医大师、国家名中医”等；不以“医学会专科分会主委、医师协会专科医师分会主委、省级卫生健康突出贡献中青年专家”等社团职务、荣誉称号作为知名专家的认定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床位费”指计入不计出，即入院当天按一天计算收费,出院当天不计算收费。满足群众个性化需求的单人间病房床位费由医院自主制定收费标准；满足群众基本需求的二人间、三人间及多人间病房床位费坚持公益性定位。另外，日间病房床位费的收费标准同“床位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9.“儿童”指6周岁及以下。周岁的计算方法以法律的相关规定为准。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10.涉及“包括……”“……等”的，属于开放型表述，所指对象不仅局限于表述中列明的事项，也包括未列明的同类事项。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11.“安宁疗护”中所含具体服务事项，以国家卫生行业主管部门文件为准。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12.使用人工智能辅助诊断提高诊疗效率的，按主项收费。</w:t>
            </w:r>
          </w:p>
        </w:tc>
      </w:tr>
    </w:tbl>
    <w:p>
      <w:pPr>
        <w:pStyle w:val="3"/>
        <w:keepNext w:val="0"/>
        <w:keepLines w:val="0"/>
        <w:pageBreakBefore w:val="0"/>
        <w:kinsoku/>
        <w:wordWrap/>
        <w:overflowPunct/>
        <w:topLinePunct w:val="0"/>
        <w:autoSpaceDE/>
        <w:autoSpaceDN/>
        <w:bidi w:val="0"/>
        <w:adjustRightInd/>
        <w:snapToGrid/>
        <w:spacing w:before="0" w:after="0" w:line="230" w:lineRule="exact"/>
      </w:pPr>
    </w:p>
    <w:p>
      <w:pPr>
        <w:keepNext w:val="0"/>
        <w:keepLines w:val="0"/>
        <w:pageBreakBefore w:val="0"/>
        <w:kinsoku/>
        <w:wordWrap/>
        <w:overflowPunct/>
        <w:topLinePunct w:val="0"/>
        <w:autoSpaceDE/>
        <w:autoSpaceDN/>
        <w:bidi w:val="0"/>
        <w:adjustRightInd/>
        <w:snapToGrid/>
        <w:spacing w:line="230" w:lineRule="exact"/>
      </w:pPr>
    </w:p>
    <w:p>
      <w:pPr>
        <w:pStyle w:val="2"/>
        <w:keepNext w:val="0"/>
        <w:keepLines w:val="0"/>
        <w:pageBreakBefore w:val="0"/>
        <w:kinsoku/>
        <w:wordWrap/>
        <w:overflowPunct/>
        <w:topLinePunct w:val="0"/>
        <w:autoSpaceDE/>
        <w:autoSpaceDN/>
        <w:bidi w:val="0"/>
        <w:adjustRightInd/>
        <w:snapToGrid/>
        <w:spacing w:after="0" w:line="230" w:lineRule="exact"/>
      </w:pPr>
    </w:p>
    <w:p>
      <w:pPr>
        <w:pStyle w:val="3"/>
        <w:keepNext w:val="0"/>
        <w:keepLines w:val="0"/>
        <w:pageBreakBefore w:val="0"/>
        <w:kinsoku/>
        <w:wordWrap/>
        <w:overflowPunct/>
        <w:topLinePunct w:val="0"/>
        <w:autoSpaceDE/>
        <w:autoSpaceDN/>
        <w:bidi w:val="0"/>
        <w:adjustRightInd/>
        <w:snapToGrid/>
        <w:spacing w:before="0" w:after="0" w:line="230" w:lineRule="exact"/>
      </w:pPr>
    </w:p>
    <w:p>
      <w:pPr>
        <w:keepNext w:val="0"/>
        <w:keepLines w:val="0"/>
        <w:pageBreakBefore w:val="0"/>
        <w:kinsoku/>
        <w:wordWrap/>
        <w:overflowPunct/>
        <w:topLinePunct w:val="0"/>
        <w:autoSpaceDE/>
        <w:autoSpaceDN/>
        <w:bidi w:val="0"/>
        <w:adjustRightInd/>
        <w:snapToGrid/>
        <w:spacing w:line="240" w:lineRule="exact"/>
      </w:pPr>
    </w:p>
    <w:p>
      <w:pPr>
        <w:pStyle w:val="2"/>
        <w:keepNext w:val="0"/>
        <w:keepLines w:val="0"/>
        <w:pageBreakBefore w:val="0"/>
        <w:kinsoku/>
        <w:wordWrap/>
        <w:overflowPunct/>
        <w:topLinePunct w:val="0"/>
        <w:autoSpaceDE/>
        <w:autoSpaceDN/>
        <w:bidi w:val="0"/>
        <w:adjustRightInd/>
        <w:snapToGrid/>
        <w:spacing w:after="0" w:line="240" w:lineRule="exact"/>
      </w:pPr>
    </w:p>
    <w:p>
      <w:pPr>
        <w:pStyle w:val="3"/>
      </w:pPr>
    </w:p>
    <w:p/>
    <w:p>
      <w:pPr>
        <w:pStyle w:val="3"/>
        <w:keepNext w:val="0"/>
        <w:keepLines w:val="0"/>
        <w:pageBreakBefore w:val="0"/>
        <w:kinsoku/>
        <w:wordWrap/>
        <w:overflowPunct/>
        <w:topLinePunct w:val="0"/>
        <w:autoSpaceDE/>
        <w:autoSpaceDN/>
        <w:bidi w:val="0"/>
        <w:adjustRightInd/>
        <w:snapToGrid/>
        <w:spacing w:before="0" w:after="0" w:line="240" w:lineRule="exact"/>
      </w:pPr>
    </w:p>
    <w:p>
      <w:pPr>
        <w:spacing w:line="540" w:lineRule="exact"/>
        <w:ind w:firstLine="280" w:firstLineChars="100"/>
        <w:rPr>
          <w:rFonts w:hint="eastAsia" w:ascii="仿宋_GB2312" w:hAnsi="宋体" w:eastAsia="仿宋_GB2312" w:cs="仿宋_GB2312"/>
          <w:color w:val="000000"/>
          <w:sz w:val="28"/>
          <w:szCs w:val="28"/>
          <w:highlight w:val="none"/>
          <w:lang w:eastAsia="zh-CN"/>
        </w:rPr>
      </w:pPr>
      <w:bookmarkStart w:id="0" w:name="_GoBack"/>
      <w:bookmarkEnd w:id="0"/>
    </w:p>
    <w:sectPr>
      <w:footerReference r:id="rId3" w:type="default"/>
      <w:pgSz w:w="16838" w:h="11906" w:orient="landscape"/>
      <w:pgMar w:top="1587" w:right="1701" w:bottom="1474" w:left="1984" w:header="851" w:footer="992" w:gutter="0"/>
      <w:pgNumType w:fmt="numberInDash"/>
      <w:cols w:space="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altName w:val="方正宋体S-超大字符集"/>
    <w:panose1 w:val="02000000000000000000"/>
    <w:charset w:val="86"/>
    <w:family w:val="auto"/>
    <w:pitch w:val="default"/>
    <w:sig w:usb0="00000001" w:usb1="08000000" w:usb2="00000000" w:usb3="00000000" w:csb0="00040000" w:csb1="00000000"/>
  </w:font>
  <w:font w:name="方正黑体_GBK">
    <w:altName w:val="思源黑体 CN"/>
    <w:panose1 w:val="02000000000000000000"/>
    <w:charset w:val="00"/>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方正宋体S-超大字符集">
    <w:panose1 w:val="02000000000000000000"/>
    <w:charset w:val="86"/>
    <w:family w:val="auto"/>
    <w:pitch w:val="default"/>
    <w:sig w:usb0="00000001" w:usb1="08000000" w:usb2="00000000" w:usb3="00000000" w:csb0="00040000" w:csb1="00000000"/>
  </w:font>
  <w:font w:name="思源黑体 CN">
    <w:panose1 w:val="020B0600000000000000"/>
    <w:charset w:val="86"/>
    <w:family w:val="auto"/>
    <w:pitch w:val="default"/>
    <w:sig w:usb0="20000003" w:usb1="2ADF3C10" w:usb2="00000016" w:usb3="00000000" w:csb0="60060107" w:csb1="00000000"/>
  </w:font>
  <w:font w:name="Cambria">
    <w:altName w:val="FreeSerif"/>
    <w:panose1 w:val="02040503050406030204"/>
    <w:charset w:val="00"/>
    <w:family w:val="roman"/>
    <w:pitch w:val="default"/>
    <w:sig w:usb0="00000000" w:usb1="00000000" w:usb2="02000000" w:usb3="00000000" w:csb0="2000019F" w:csb1="00000000"/>
  </w:font>
  <w:font w:name="Verdana">
    <w:altName w:val="DejaVu Sans"/>
    <w:panose1 w:val="020B0604030504040204"/>
    <w:charset w:val="00"/>
    <w:family w:val="swiss"/>
    <w:pitch w:val="default"/>
    <w:sig w:usb0="00000000" w:usb1="00000000" w:usb2="00000010" w:usb3="00000000" w:csb0="0000019F" w:csb1="00000000"/>
  </w:font>
  <w:font w:name="方正细等线简体">
    <w:altName w:val="华文仿宋"/>
    <w:panose1 w:val="00000000000000000000"/>
    <w:charset w:val="00"/>
    <w:family w:val="auto"/>
    <w:pitch w:val="default"/>
    <w:sig w:usb0="00000000" w:usb1="00000000" w:usb2="00000000" w:usb3="00000000" w:csb0="00040001" w:csb1="00000000"/>
  </w:font>
  <w:font w:name="黑体">
    <w:panose1 w:val="02010609060101010101"/>
    <w:charset w:val="86"/>
    <w:family w:val="auto"/>
    <w:pitch w:val="default"/>
    <w:sig w:usb0="800002BF" w:usb1="38CF7CFA" w:usb2="00000016" w:usb3="00000000" w:csb0="00040001" w:csb1="00000000"/>
  </w:font>
  <w:font w:name="等线">
    <w:altName w:val="华文仿宋"/>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2000000000000"/>
    <w:charset w:val="86"/>
    <w:family w:val="script"/>
    <w:pitch w:val="default"/>
    <w:sig w:usb0="00000001" w:usb1="080E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247650"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47650" cy="131445"/>
                      </a:xfrm>
                      <a:prstGeom prst="rect">
                        <a:avLst/>
                      </a:prstGeom>
                      <a:noFill/>
                      <a:ln>
                        <a:noFill/>
                      </a:ln>
                    </wps:spPr>
                    <wps:txbx>
                      <w:txbxContent>
                        <w:p>
                          <w:pPr>
                            <w:pStyle w:val="6"/>
                            <w:rPr>
                              <w:rFonts w:ascii="仿宋_GB2312" w:eastAsia="仿宋_GB2312"/>
                              <w:sz w:val="28"/>
                              <w:szCs w:val="28"/>
                            </w:rPr>
                          </w:pPr>
                          <w:r>
                            <w:rPr>
                              <w:rFonts w:hint="eastAsia" w:ascii="仿宋_GB2312" w:hAnsi="宋体" w:eastAsia="仿宋_GB2312" w:cs="宋体"/>
                              <w:sz w:val="28"/>
                              <w:szCs w:val="28"/>
                            </w:rPr>
                            <w:fldChar w:fldCharType="begin"/>
                          </w:r>
                          <w:r>
                            <w:rPr>
                              <w:rFonts w:hint="eastAsia" w:ascii="仿宋_GB2312" w:hAnsi="宋体" w:eastAsia="仿宋_GB2312" w:cs="宋体"/>
                              <w:sz w:val="28"/>
                              <w:szCs w:val="28"/>
                            </w:rPr>
                            <w:instrText xml:space="preserve"> PAGE  \* MERGEFORMAT </w:instrText>
                          </w:r>
                          <w:r>
                            <w:rPr>
                              <w:rFonts w:hint="eastAsia" w:ascii="仿宋_GB2312" w:hAnsi="宋体" w:eastAsia="仿宋_GB2312" w:cs="宋体"/>
                              <w:sz w:val="28"/>
                              <w:szCs w:val="28"/>
                            </w:rPr>
                            <w:fldChar w:fldCharType="separate"/>
                          </w:r>
                          <w:r>
                            <w:rPr>
                              <w:rFonts w:ascii="仿宋_GB2312" w:eastAsia="仿宋_GB2312"/>
                              <w:sz w:val="28"/>
                              <w:szCs w:val="28"/>
                            </w:rPr>
                            <w:t>- 2 -</w:t>
                          </w:r>
                          <w:r>
                            <w:rPr>
                              <w:rFonts w:hint="eastAsia" w:ascii="仿宋_GB2312" w:hAnsi="宋体" w:eastAsia="仿宋_GB2312" w:cs="宋体"/>
                              <w:sz w:val="28"/>
                              <w:szCs w:val="2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19.5pt;mso-position-horizontal:outside;mso-position-horizontal-relative:margin;mso-wrap-style:none;z-index:251659264;mso-width-relative:page;mso-height-relative:page;" filled="f" stroked="f" coordsize="21600,21600" o:gfxdata="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BXsUjg0AAAAAMBAAAPAAAAAAAAAAEAIAAAADgAAABkcnMvZG93bnJldi54&#10;bWxQSwECFAAUAAAACACHTuJAqqxVKewBAAC0AwAADgAAAAAAAAABACAAAAA1AQAAZHJzL2Uyb0Rv&#10;Yy54bWxQSwUGAAAAAAYABgBZAQAAkwUAAAAA&#10;">
              <v:fill on="f" focussize="0,0"/>
              <v:stroke on="f"/>
              <v:imagedata o:title=""/>
              <o:lock v:ext="edit" aspectratio="f"/>
              <v:textbox inset="0mm,0mm,0mm,0mm" style="mso-fit-shape-to-text:t;">
                <w:txbxContent>
                  <w:p>
                    <w:pPr>
                      <w:pStyle w:val="6"/>
                      <w:rPr>
                        <w:rFonts w:ascii="仿宋_GB2312" w:eastAsia="仿宋_GB2312"/>
                        <w:sz w:val="28"/>
                        <w:szCs w:val="28"/>
                      </w:rPr>
                    </w:pPr>
                    <w:r>
                      <w:rPr>
                        <w:rFonts w:hint="eastAsia" w:ascii="仿宋_GB2312" w:hAnsi="宋体" w:eastAsia="仿宋_GB2312" w:cs="宋体"/>
                        <w:sz w:val="28"/>
                        <w:szCs w:val="28"/>
                      </w:rPr>
                      <w:fldChar w:fldCharType="begin"/>
                    </w:r>
                    <w:r>
                      <w:rPr>
                        <w:rFonts w:hint="eastAsia" w:ascii="仿宋_GB2312" w:hAnsi="宋体" w:eastAsia="仿宋_GB2312" w:cs="宋体"/>
                        <w:sz w:val="28"/>
                        <w:szCs w:val="28"/>
                      </w:rPr>
                      <w:instrText xml:space="preserve"> PAGE  \* MERGEFORMAT </w:instrText>
                    </w:r>
                    <w:r>
                      <w:rPr>
                        <w:rFonts w:hint="eastAsia" w:ascii="仿宋_GB2312" w:hAnsi="宋体" w:eastAsia="仿宋_GB2312" w:cs="宋体"/>
                        <w:sz w:val="28"/>
                        <w:szCs w:val="28"/>
                      </w:rPr>
                      <w:fldChar w:fldCharType="separate"/>
                    </w:r>
                    <w:r>
                      <w:rPr>
                        <w:rFonts w:ascii="仿宋_GB2312" w:eastAsia="仿宋_GB2312"/>
                        <w:sz w:val="28"/>
                        <w:szCs w:val="28"/>
                      </w:rPr>
                      <w:t>- 2 -</w:t>
                    </w:r>
                    <w:r>
                      <w:rPr>
                        <w:rFonts w:hint="eastAsia" w:ascii="仿宋_GB2312" w:hAnsi="宋体" w:eastAsia="仿宋_GB2312"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22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4D0"/>
    <w:rsid w:val="00007EFA"/>
    <w:rsid w:val="00010A4E"/>
    <w:rsid w:val="00040580"/>
    <w:rsid w:val="000427D3"/>
    <w:rsid w:val="000559F3"/>
    <w:rsid w:val="00061947"/>
    <w:rsid w:val="00071836"/>
    <w:rsid w:val="00077C10"/>
    <w:rsid w:val="000850E2"/>
    <w:rsid w:val="000856C0"/>
    <w:rsid w:val="00092629"/>
    <w:rsid w:val="000931D2"/>
    <w:rsid w:val="000A0A55"/>
    <w:rsid w:val="000A18CF"/>
    <w:rsid w:val="000A4A99"/>
    <w:rsid w:val="000C0844"/>
    <w:rsid w:val="000C2B7B"/>
    <w:rsid w:val="000C2C74"/>
    <w:rsid w:val="000D7DBA"/>
    <w:rsid w:val="000F2518"/>
    <w:rsid w:val="001001F1"/>
    <w:rsid w:val="001019FF"/>
    <w:rsid w:val="00105AE5"/>
    <w:rsid w:val="00105FB6"/>
    <w:rsid w:val="00107E58"/>
    <w:rsid w:val="00126845"/>
    <w:rsid w:val="00127C1F"/>
    <w:rsid w:val="00156CCD"/>
    <w:rsid w:val="0016080E"/>
    <w:rsid w:val="00161607"/>
    <w:rsid w:val="001617BB"/>
    <w:rsid w:val="001625DD"/>
    <w:rsid w:val="00166F68"/>
    <w:rsid w:val="00171A28"/>
    <w:rsid w:val="00172A27"/>
    <w:rsid w:val="00181967"/>
    <w:rsid w:val="00181D34"/>
    <w:rsid w:val="0018772B"/>
    <w:rsid w:val="00191F41"/>
    <w:rsid w:val="001A3E60"/>
    <w:rsid w:val="001A6579"/>
    <w:rsid w:val="001B351B"/>
    <w:rsid w:val="001D16BB"/>
    <w:rsid w:val="001E073A"/>
    <w:rsid w:val="001F3379"/>
    <w:rsid w:val="001F446E"/>
    <w:rsid w:val="00211936"/>
    <w:rsid w:val="002120F3"/>
    <w:rsid w:val="00213300"/>
    <w:rsid w:val="00216921"/>
    <w:rsid w:val="00223501"/>
    <w:rsid w:val="00237407"/>
    <w:rsid w:val="0024552F"/>
    <w:rsid w:val="00254A0C"/>
    <w:rsid w:val="002611E1"/>
    <w:rsid w:val="0026762D"/>
    <w:rsid w:val="00282C60"/>
    <w:rsid w:val="00283B52"/>
    <w:rsid w:val="00284E0A"/>
    <w:rsid w:val="002A3BC1"/>
    <w:rsid w:val="002C6402"/>
    <w:rsid w:val="002D3B44"/>
    <w:rsid w:val="002D6CE7"/>
    <w:rsid w:val="002E20B2"/>
    <w:rsid w:val="002E3A09"/>
    <w:rsid w:val="00301A8F"/>
    <w:rsid w:val="0032082C"/>
    <w:rsid w:val="00321384"/>
    <w:rsid w:val="0032640F"/>
    <w:rsid w:val="00343FE1"/>
    <w:rsid w:val="00355082"/>
    <w:rsid w:val="00373BE2"/>
    <w:rsid w:val="003759C9"/>
    <w:rsid w:val="00381D08"/>
    <w:rsid w:val="0038343E"/>
    <w:rsid w:val="00384C0C"/>
    <w:rsid w:val="00386584"/>
    <w:rsid w:val="0039283D"/>
    <w:rsid w:val="003938B0"/>
    <w:rsid w:val="003939F5"/>
    <w:rsid w:val="003A51EF"/>
    <w:rsid w:val="003B290F"/>
    <w:rsid w:val="003C563B"/>
    <w:rsid w:val="003F1DDD"/>
    <w:rsid w:val="003F22AD"/>
    <w:rsid w:val="004156CD"/>
    <w:rsid w:val="00435B59"/>
    <w:rsid w:val="00450021"/>
    <w:rsid w:val="00473560"/>
    <w:rsid w:val="00477B62"/>
    <w:rsid w:val="004826FC"/>
    <w:rsid w:val="00483407"/>
    <w:rsid w:val="00494EA8"/>
    <w:rsid w:val="004A14D6"/>
    <w:rsid w:val="004B44F3"/>
    <w:rsid w:val="004B6F55"/>
    <w:rsid w:val="004B7C72"/>
    <w:rsid w:val="004C46E3"/>
    <w:rsid w:val="004E61BA"/>
    <w:rsid w:val="004F1225"/>
    <w:rsid w:val="0050727A"/>
    <w:rsid w:val="005101C4"/>
    <w:rsid w:val="00513712"/>
    <w:rsid w:val="00516A73"/>
    <w:rsid w:val="00522184"/>
    <w:rsid w:val="005244EA"/>
    <w:rsid w:val="00545EC2"/>
    <w:rsid w:val="00551FCA"/>
    <w:rsid w:val="00552DE5"/>
    <w:rsid w:val="005628AA"/>
    <w:rsid w:val="0057645E"/>
    <w:rsid w:val="00593189"/>
    <w:rsid w:val="00597A36"/>
    <w:rsid w:val="005A6AC6"/>
    <w:rsid w:val="005C2F79"/>
    <w:rsid w:val="005D77BC"/>
    <w:rsid w:val="005F5F53"/>
    <w:rsid w:val="00605FA4"/>
    <w:rsid w:val="006060ED"/>
    <w:rsid w:val="00624F75"/>
    <w:rsid w:val="006250A3"/>
    <w:rsid w:val="00625DC3"/>
    <w:rsid w:val="006276CD"/>
    <w:rsid w:val="00634D8F"/>
    <w:rsid w:val="0064721F"/>
    <w:rsid w:val="006634BA"/>
    <w:rsid w:val="00673CC0"/>
    <w:rsid w:val="0067601D"/>
    <w:rsid w:val="00677DF9"/>
    <w:rsid w:val="0068269D"/>
    <w:rsid w:val="00685DA8"/>
    <w:rsid w:val="00687084"/>
    <w:rsid w:val="006A10E4"/>
    <w:rsid w:val="006B49C3"/>
    <w:rsid w:val="006B6D12"/>
    <w:rsid w:val="006B792D"/>
    <w:rsid w:val="006C1191"/>
    <w:rsid w:val="006D206C"/>
    <w:rsid w:val="006E0017"/>
    <w:rsid w:val="00710756"/>
    <w:rsid w:val="007328E3"/>
    <w:rsid w:val="007341DB"/>
    <w:rsid w:val="00735ECA"/>
    <w:rsid w:val="00740494"/>
    <w:rsid w:val="007411DF"/>
    <w:rsid w:val="0074180D"/>
    <w:rsid w:val="00742264"/>
    <w:rsid w:val="007466EB"/>
    <w:rsid w:val="007512FF"/>
    <w:rsid w:val="00786047"/>
    <w:rsid w:val="007B7B96"/>
    <w:rsid w:val="007C4B72"/>
    <w:rsid w:val="007D76CE"/>
    <w:rsid w:val="007E2D7C"/>
    <w:rsid w:val="007E6800"/>
    <w:rsid w:val="007E6887"/>
    <w:rsid w:val="007F4DDD"/>
    <w:rsid w:val="0080267C"/>
    <w:rsid w:val="00813C84"/>
    <w:rsid w:val="0081497C"/>
    <w:rsid w:val="00816596"/>
    <w:rsid w:val="0084312A"/>
    <w:rsid w:val="00855110"/>
    <w:rsid w:val="0087059B"/>
    <w:rsid w:val="00876E9C"/>
    <w:rsid w:val="00897D64"/>
    <w:rsid w:val="008A3BB7"/>
    <w:rsid w:val="008A506C"/>
    <w:rsid w:val="008B25E8"/>
    <w:rsid w:val="008B5B7C"/>
    <w:rsid w:val="008C0E20"/>
    <w:rsid w:val="008D2994"/>
    <w:rsid w:val="008E7D43"/>
    <w:rsid w:val="008F0382"/>
    <w:rsid w:val="008F31C3"/>
    <w:rsid w:val="00904367"/>
    <w:rsid w:val="0091387A"/>
    <w:rsid w:val="00933976"/>
    <w:rsid w:val="00937CFA"/>
    <w:rsid w:val="00945295"/>
    <w:rsid w:val="00950932"/>
    <w:rsid w:val="009526E7"/>
    <w:rsid w:val="00962815"/>
    <w:rsid w:val="00962FD2"/>
    <w:rsid w:val="009C0027"/>
    <w:rsid w:val="009C35CE"/>
    <w:rsid w:val="009C3DAE"/>
    <w:rsid w:val="009D22AA"/>
    <w:rsid w:val="009D28B5"/>
    <w:rsid w:val="009D7518"/>
    <w:rsid w:val="009E4E89"/>
    <w:rsid w:val="009E5A5F"/>
    <w:rsid w:val="009F2344"/>
    <w:rsid w:val="009F4ECE"/>
    <w:rsid w:val="00A061A8"/>
    <w:rsid w:val="00A07088"/>
    <w:rsid w:val="00A07B14"/>
    <w:rsid w:val="00A16E85"/>
    <w:rsid w:val="00A308B9"/>
    <w:rsid w:val="00A53246"/>
    <w:rsid w:val="00A62BB4"/>
    <w:rsid w:val="00A77DBB"/>
    <w:rsid w:val="00A85376"/>
    <w:rsid w:val="00A968BC"/>
    <w:rsid w:val="00AC0559"/>
    <w:rsid w:val="00AC1B35"/>
    <w:rsid w:val="00AC6644"/>
    <w:rsid w:val="00AE095A"/>
    <w:rsid w:val="00AE3B82"/>
    <w:rsid w:val="00B03891"/>
    <w:rsid w:val="00B073B5"/>
    <w:rsid w:val="00B15E2B"/>
    <w:rsid w:val="00B239AF"/>
    <w:rsid w:val="00B35CFA"/>
    <w:rsid w:val="00B559D2"/>
    <w:rsid w:val="00B75ECF"/>
    <w:rsid w:val="00B95DE6"/>
    <w:rsid w:val="00BA3124"/>
    <w:rsid w:val="00BA38C4"/>
    <w:rsid w:val="00BA655B"/>
    <w:rsid w:val="00BB60C5"/>
    <w:rsid w:val="00BC66FF"/>
    <w:rsid w:val="00BE0C9F"/>
    <w:rsid w:val="00BE69EA"/>
    <w:rsid w:val="00BF5E57"/>
    <w:rsid w:val="00C04F1D"/>
    <w:rsid w:val="00C143F5"/>
    <w:rsid w:val="00C15792"/>
    <w:rsid w:val="00C215E8"/>
    <w:rsid w:val="00C21AEC"/>
    <w:rsid w:val="00C53661"/>
    <w:rsid w:val="00C565A5"/>
    <w:rsid w:val="00C64CE5"/>
    <w:rsid w:val="00C8165A"/>
    <w:rsid w:val="00C91F63"/>
    <w:rsid w:val="00CA65DC"/>
    <w:rsid w:val="00CD7AF7"/>
    <w:rsid w:val="00D0197D"/>
    <w:rsid w:val="00D0311A"/>
    <w:rsid w:val="00D167FA"/>
    <w:rsid w:val="00D60EA4"/>
    <w:rsid w:val="00D701F3"/>
    <w:rsid w:val="00D749BD"/>
    <w:rsid w:val="00D76E06"/>
    <w:rsid w:val="00D80F15"/>
    <w:rsid w:val="00D97162"/>
    <w:rsid w:val="00DB0472"/>
    <w:rsid w:val="00DC1F2B"/>
    <w:rsid w:val="00DC4A82"/>
    <w:rsid w:val="00DC4BE2"/>
    <w:rsid w:val="00DD0167"/>
    <w:rsid w:val="00DD59B1"/>
    <w:rsid w:val="00DF0786"/>
    <w:rsid w:val="00DF6EC0"/>
    <w:rsid w:val="00E01A56"/>
    <w:rsid w:val="00E03476"/>
    <w:rsid w:val="00E11C38"/>
    <w:rsid w:val="00E12C97"/>
    <w:rsid w:val="00E2272E"/>
    <w:rsid w:val="00E2625A"/>
    <w:rsid w:val="00E352C2"/>
    <w:rsid w:val="00E3792E"/>
    <w:rsid w:val="00E408F4"/>
    <w:rsid w:val="00E4165D"/>
    <w:rsid w:val="00E44827"/>
    <w:rsid w:val="00E613CA"/>
    <w:rsid w:val="00E6300C"/>
    <w:rsid w:val="00E65123"/>
    <w:rsid w:val="00E6697D"/>
    <w:rsid w:val="00E75CAA"/>
    <w:rsid w:val="00E97E85"/>
    <w:rsid w:val="00EA497C"/>
    <w:rsid w:val="00EB1B89"/>
    <w:rsid w:val="00EB60ED"/>
    <w:rsid w:val="00EB68C7"/>
    <w:rsid w:val="00EB72E6"/>
    <w:rsid w:val="00EC3615"/>
    <w:rsid w:val="00EC5D02"/>
    <w:rsid w:val="00EC65CF"/>
    <w:rsid w:val="00ED7EDE"/>
    <w:rsid w:val="00EE102F"/>
    <w:rsid w:val="00EE4E0A"/>
    <w:rsid w:val="00EF2783"/>
    <w:rsid w:val="00EF58D3"/>
    <w:rsid w:val="00F0190C"/>
    <w:rsid w:val="00F109D6"/>
    <w:rsid w:val="00F16023"/>
    <w:rsid w:val="00F255D9"/>
    <w:rsid w:val="00F300AC"/>
    <w:rsid w:val="00F462D6"/>
    <w:rsid w:val="00F75940"/>
    <w:rsid w:val="00FA3356"/>
    <w:rsid w:val="00FB2F67"/>
    <w:rsid w:val="00FC6CB4"/>
    <w:rsid w:val="00FD1133"/>
    <w:rsid w:val="00FD2FA3"/>
    <w:rsid w:val="00FE7155"/>
    <w:rsid w:val="01282572"/>
    <w:rsid w:val="01DF5A2E"/>
    <w:rsid w:val="03E7802D"/>
    <w:rsid w:val="04A3127F"/>
    <w:rsid w:val="05EF3CD0"/>
    <w:rsid w:val="073354CD"/>
    <w:rsid w:val="07473F5D"/>
    <w:rsid w:val="075767EB"/>
    <w:rsid w:val="09CB5A40"/>
    <w:rsid w:val="09D7E02A"/>
    <w:rsid w:val="0C1248C0"/>
    <w:rsid w:val="0C157FF1"/>
    <w:rsid w:val="0C5A010F"/>
    <w:rsid w:val="0D31124A"/>
    <w:rsid w:val="0DA74622"/>
    <w:rsid w:val="0DBD3488"/>
    <w:rsid w:val="0E146315"/>
    <w:rsid w:val="0EE345C5"/>
    <w:rsid w:val="0EF7F6A0"/>
    <w:rsid w:val="0EF9F9B2"/>
    <w:rsid w:val="0EFBC038"/>
    <w:rsid w:val="0FE806D9"/>
    <w:rsid w:val="10456B18"/>
    <w:rsid w:val="10A93CD1"/>
    <w:rsid w:val="12036320"/>
    <w:rsid w:val="13570462"/>
    <w:rsid w:val="14722ED8"/>
    <w:rsid w:val="14FA0A8E"/>
    <w:rsid w:val="1774881D"/>
    <w:rsid w:val="179E48AA"/>
    <w:rsid w:val="17DF404F"/>
    <w:rsid w:val="17F37C6A"/>
    <w:rsid w:val="17F96DE1"/>
    <w:rsid w:val="197B2179"/>
    <w:rsid w:val="197C77F3"/>
    <w:rsid w:val="19BFC35E"/>
    <w:rsid w:val="19DA0B32"/>
    <w:rsid w:val="1A5F50F6"/>
    <w:rsid w:val="1A686BC7"/>
    <w:rsid w:val="1B5F16A4"/>
    <w:rsid w:val="1BB7AD30"/>
    <w:rsid w:val="1D4BF0EB"/>
    <w:rsid w:val="1DD6BB92"/>
    <w:rsid w:val="1DEEF102"/>
    <w:rsid w:val="1EAD72C7"/>
    <w:rsid w:val="1EDBDCB4"/>
    <w:rsid w:val="1EEF9809"/>
    <w:rsid w:val="1EF48F49"/>
    <w:rsid w:val="1EF6AFE8"/>
    <w:rsid w:val="1EF90599"/>
    <w:rsid w:val="1EFEF12D"/>
    <w:rsid w:val="1F694C87"/>
    <w:rsid w:val="1F760602"/>
    <w:rsid w:val="1F8CDE15"/>
    <w:rsid w:val="1F913B73"/>
    <w:rsid w:val="1FBFE700"/>
    <w:rsid w:val="1FEF6991"/>
    <w:rsid w:val="1FFB2177"/>
    <w:rsid w:val="20D2137B"/>
    <w:rsid w:val="2133323D"/>
    <w:rsid w:val="21375F55"/>
    <w:rsid w:val="2191658F"/>
    <w:rsid w:val="21F42C42"/>
    <w:rsid w:val="228E16E9"/>
    <w:rsid w:val="22C1038A"/>
    <w:rsid w:val="22D22E25"/>
    <w:rsid w:val="22FA382B"/>
    <w:rsid w:val="23B74CC9"/>
    <w:rsid w:val="23F62D14"/>
    <w:rsid w:val="2546495F"/>
    <w:rsid w:val="2559413F"/>
    <w:rsid w:val="259E4167"/>
    <w:rsid w:val="26113C3E"/>
    <w:rsid w:val="265EFEB2"/>
    <w:rsid w:val="2697468D"/>
    <w:rsid w:val="276F1567"/>
    <w:rsid w:val="279925B8"/>
    <w:rsid w:val="27B87745"/>
    <w:rsid w:val="28A42B85"/>
    <w:rsid w:val="28F72C98"/>
    <w:rsid w:val="29534396"/>
    <w:rsid w:val="29F17C85"/>
    <w:rsid w:val="2A0B5929"/>
    <w:rsid w:val="2A4B00C9"/>
    <w:rsid w:val="2AD8DF9D"/>
    <w:rsid w:val="2B3E6C19"/>
    <w:rsid w:val="2B763D68"/>
    <w:rsid w:val="2B9D3086"/>
    <w:rsid w:val="2BB54815"/>
    <w:rsid w:val="2BFF312F"/>
    <w:rsid w:val="2C2516DC"/>
    <w:rsid w:val="2C6C4CC1"/>
    <w:rsid w:val="2CB40D31"/>
    <w:rsid w:val="2CC226E0"/>
    <w:rsid w:val="2CEF789D"/>
    <w:rsid w:val="2D863506"/>
    <w:rsid w:val="2DAA3B42"/>
    <w:rsid w:val="2DCEB1C4"/>
    <w:rsid w:val="2DEEE4AB"/>
    <w:rsid w:val="2F337E7D"/>
    <w:rsid w:val="2F5533DF"/>
    <w:rsid w:val="2F778098"/>
    <w:rsid w:val="2F7C36B3"/>
    <w:rsid w:val="2F8F4F5F"/>
    <w:rsid w:val="2FB65FA6"/>
    <w:rsid w:val="2FBFD99B"/>
    <w:rsid w:val="2FDA4495"/>
    <w:rsid w:val="2FDD804E"/>
    <w:rsid w:val="2FF99316"/>
    <w:rsid w:val="2FFF7E17"/>
    <w:rsid w:val="31670FB2"/>
    <w:rsid w:val="3194092C"/>
    <w:rsid w:val="31FBD154"/>
    <w:rsid w:val="32AA7096"/>
    <w:rsid w:val="32F3A906"/>
    <w:rsid w:val="33A73EED"/>
    <w:rsid w:val="33B7F827"/>
    <w:rsid w:val="33E5EEF4"/>
    <w:rsid w:val="33FB90AB"/>
    <w:rsid w:val="34FDEC99"/>
    <w:rsid w:val="357A5B3A"/>
    <w:rsid w:val="35D843A3"/>
    <w:rsid w:val="35FA89F6"/>
    <w:rsid w:val="36B97CF2"/>
    <w:rsid w:val="36CD750F"/>
    <w:rsid w:val="3700709C"/>
    <w:rsid w:val="372ACE5D"/>
    <w:rsid w:val="374A2D07"/>
    <w:rsid w:val="3756EA5B"/>
    <w:rsid w:val="377F08FF"/>
    <w:rsid w:val="377FBB7C"/>
    <w:rsid w:val="378FDD5C"/>
    <w:rsid w:val="379EB374"/>
    <w:rsid w:val="37B51C26"/>
    <w:rsid w:val="37BE99DC"/>
    <w:rsid w:val="37BF4C09"/>
    <w:rsid w:val="37BF91FC"/>
    <w:rsid w:val="37D3F884"/>
    <w:rsid w:val="37EE807E"/>
    <w:rsid w:val="37F9E47C"/>
    <w:rsid w:val="37FB041A"/>
    <w:rsid w:val="37FF4A02"/>
    <w:rsid w:val="37FF9D6B"/>
    <w:rsid w:val="388A4F70"/>
    <w:rsid w:val="38BBE0FA"/>
    <w:rsid w:val="38E2DA01"/>
    <w:rsid w:val="38FF7FAD"/>
    <w:rsid w:val="3939640E"/>
    <w:rsid w:val="397FB1DC"/>
    <w:rsid w:val="399A7BB5"/>
    <w:rsid w:val="39A20F4B"/>
    <w:rsid w:val="39FD6A8C"/>
    <w:rsid w:val="3A358B53"/>
    <w:rsid w:val="3A8A4F42"/>
    <w:rsid w:val="3A8F28FA"/>
    <w:rsid w:val="3AF35F4A"/>
    <w:rsid w:val="3AFFC2A4"/>
    <w:rsid w:val="3B6EEE43"/>
    <w:rsid w:val="3B77EA63"/>
    <w:rsid w:val="3B7FB45E"/>
    <w:rsid w:val="3BAF4ED5"/>
    <w:rsid w:val="3BC77647"/>
    <w:rsid w:val="3BEF0BC8"/>
    <w:rsid w:val="3BEFCFE3"/>
    <w:rsid w:val="3BFF38D3"/>
    <w:rsid w:val="3BFFEE08"/>
    <w:rsid w:val="3C193C83"/>
    <w:rsid w:val="3CBED2D2"/>
    <w:rsid w:val="3CFA6418"/>
    <w:rsid w:val="3D093D18"/>
    <w:rsid w:val="3D0AED59"/>
    <w:rsid w:val="3D1A5651"/>
    <w:rsid w:val="3D5FAB8B"/>
    <w:rsid w:val="3D6EF083"/>
    <w:rsid w:val="3D7347E4"/>
    <w:rsid w:val="3DB13E56"/>
    <w:rsid w:val="3DBF59A8"/>
    <w:rsid w:val="3DD7A86E"/>
    <w:rsid w:val="3DDF7FC2"/>
    <w:rsid w:val="3DF3B23C"/>
    <w:rsid w:val="3DFA218B"/>
    <w:rsid w:val="3DFD5073"/>
    <w:rsid w:val="3DFF1DC9"/>
    <w:rsid w:val="3EB3A795"/>
    <w:rsid w:val="3EBF11D8"/>
    <w:rsid w:val="3ECE71DD"/>
    <w:rsid w:val="3EDF0A2B"/>
    <w:rsid w:val="3EDFD1D0"/>
    <w:rsid w:val="3EF9C894"/>
    <w:rsid w:val="3EFBCBB0"/>
    <w:rsid w:val="3EFF92E2"/>
    <w:rsid w:val="3F2EA850"/>
    <w:rsid w:val="3F2F4621"/>
    <w:rsid w:val="3F3DEEED"/>
    <w:rsid w:val="3F3FA305"/>
    <w:rsid w:val="3F45EFD5"/>
    <w:rsid w:val="3F4C0207"/>
    <w:rsid w:val="3F6F4373"/>
    <w:rsid w:val="3F79EE8D"/>
    <w:rsid w:val="3FB7E68D"/>
    <w:rsid w:val="3FBF092F"/>
    <w:rsid w:val="3FBF19B2"/>
    <w:rsid w:val="3FDB5178"/>
    <w:rsid w:val="3FDED90E"/>
    <w:rsid w:val="3FDF3A73"/>
    <w:rsid w:val="3FDFC494"/>
    <w:rsid w:val="3FE95B75"/>
    <w:rsid w:val="3FEBAB9B"/>
    <w:rsid w:val="3FEF3137"/>
    <w:rsid w:val="3FF3D9CA"/>
    <w:rsid w:val="3FF70219"/>
    <w:rsid w:val="3FFA4C49"/>
    <w:rsid w:val="3FFBE76A"/>
    <w:rsid w:val="3FFC9EFA"/>
    <w:rsid w:val="3FFEE964"/>
    <w:rsid w:val="3FFF1C89"/>
    <w:rsid w:val="3FFF1D10"/>
    <w:rsid w:val="3FFF9285"/>
    <w:rsid w:val="40F92307"/>
    <w:rsid w:val="42D06AA0"/>
    <w:rsid w:val="4396049F"/>
    <w:rsid w:val="43B647A2"/>
    <w:rsid w:val="45525E68"/>
    <w:rsid w:val="45FB7C78"/>
    <w:rsid w:val="467F52F9"/>
    <w:rsid w:val="46BDD3F1"/>
    <w:rsid w:val="46C69D34"/>
    <w:rsid w:val="46D75FE5"/>
    <w:rsid w:val="477F6483"/>
    <w:rsid w:val="47CC6068"/>
    <w:rsid w:val="47DF4730"/>
    <w:rsid w:val="47E7F8B4"/>
    <w:rsid w:val="485F97DE"/>
    <w:rsid w:val="487F1A5D"/>
    <w:rsid w:val="49421DFA"/>
    <w:rsid w:val="496B19AD"/>
    <w:rsid w:val="49BD75CA"/>
    <w:rsid w:val="4A7F11BE"/>
    <w:rsid w:val="4ABDB90B"/>
    <w:rsid w:val="4B4D1082"/>
    <w:rsid w:val="4BA7C2F7"/>
    <w:rsid w:val="4BF7F09B"/>
    <w:rsid w:val="4C555D96"/>
    <w:rsid w:val="4D31591D"/>
    <w:rsid w:val="4D6E5CA6"/>
    <w:rsid w:val="4D811F42"/>
    <w:rsid w:val="4DD231F6"/>
    <w:rsid w:val="4DFFC288"/>
    <w:rsid w:val="4E24703C"/>
    <w:rsid w:val="4EBA63AE"/>
    <w:rsid w:val="4EBFA63C"/>
    <w:rsid w:val="4ED55A11"/>
    <w:rsid w:val="4EDE657E"/>
    <w:rsid w:val="4F7C08BE"/>
    <w:rsid w:val="4F7F0672"/>
    <w:rsid w:val="4FDCCB3D"/>
    <w:rsid w:val="4FE7F702"/>
    <w:rsid w:val="4FEDC29E"/>
    <w:rsid w:val="4FF83F92"/>
    <w:rsid w:val="5053D2D8"/>
    <w:rsid w:val="50553A2D"/>
    <w:rsid w:val="507B40DE"/>
    <w:rsid w:val="50FB5AD7"/>
    <w:rsid w:val="51FED7AB"/>
    <w:rsid w:val="51FFD4EE"/>
    <w:rsid w:val="523F7EC3"/>
    <w:rsid w:val="52426AE5"/>
    <w:rsid w:val="526E7A8F"/>
    <w:rsid w:val="527F6D61"/>
    <w:rsid w:val="52B956E9"/>
    <w:rsid w:val="53DBDB60"/>
    <w:rsid w:val="55036598"/>
    <w:rsid w:val="559FD5DD"/>
    <w:rsid w:val="55AB2BA8"/>
    <w:rsid w:val="55B6E1D3"/>
    <w:rsid w:val="55CFB11A"/>
    <w:rsid w:val="55FF11F3"/>
    <w:rsid w:val="55FF3A38"/>
    <w:rsid w:val="55FF845A"/>
    <w:rsid w:val="5642140F"/>
    <w:rsid w:val="566BE687"/>
    <w:rsid w:val="56A58BC1"/>
    <w:rsid w:val="56DBC721"/>
    <w:rsid w:val="57141C6D"/>
    <w:rsid w:val="572BB23B"/>
    <w:rsid w:val="57AF71B5"/>
    <w:rsid w:val="57BFFBCD"/>
    <w:rsid w:val="57F74CB6"/>
    <w:rsid w:val="57FBFDCF"/>
    <w:rsid w:val="586FF708"/>
    <w:rsid w:val="589EF828"/>
    <w:rsid w:val="5936527B"/>
    <w:rsid w:val="595FF7AD"/>
    <w:rsid w:val="59725C82"/>
    <w:rsid w:val="59975CD2"/>
    <w:rsid w:val="59D7379E"/>
    <w:rsid w:val="5A9F50A9"/>
    <w:rsid w:val="5AE7ED3F"/>
    <w:rsid w:val="5AFFC7AA"/>
    <w:rsid w:val="5B37BF31"/>
    <w:rsid w:val="5B5DDCEB"/>
    <w:rsid w:val="5B5E7AF9"/>
    <w:rsid w:val="5B6FE07D"/>
    <w:rsid w:val="5B793372"/>
    <w:rsid w:val="5B7D3D37"/>
    <w:rsid w:val="5BBDD368"/>
    <w:rsid w:val="5BCAA72A"/>
    <w:rsid w:val="5BCD6649"/>
    <w:rsid w:val="5BD462C2"/>
    <w:rsid w:val="5BDE21DD"/>
    <w:rsid w:val="5BFA0F3C"/>
    <w:rsid w:val="5BFF3BF7"/>
    <w:rsid w:val="5C3D2425"/>
    <w:rsid w:val="5C720997"/>
    <w:rsid w:val="5CA278AC"/>
    <w:rsid w:val="5CAB73AB"/>
    <w:rsid w:val="5D679615"/>
    <w:rsid w:val="5D7C7329"/>
    <w:rsid w:val="5D7EA438"/>
    <w:rsid w:val="5D7F42EF"/>
    <w:rsid w:val="5DBB7C3E"/>
    <w:rsid w:val="5DBBDDE6"/>
    <w:rsid w:val="5DBEB35E"/>
    <w:rsid w:val="5DCB895F"/>
    <w:rsid w:val="5DE5577C"/>
    <w:rsid w:val="5DEBCC91"/>
    <w:rsid w:val="5E0E7D47"/>
    <w:rsid w:val="5E116B87"/>
    <w:rsid w:val="5E3D28BE"/>
    <w:rsid w:val="5E7F4E53"/>
    <w:rsid w:val="5E7FB30F"/>
    <w:rsid w:val="5EA72958"/>
    <w:rsid w:val="5ECD513B"/>
    <w:rsid w:val="5EDA340F"/>
    <w:rsid w:val="5EE768E3"/>
    <w:rsid w:val="5EFA7CCD"/>
    <w:rsid w:val="5EFE87D7"/>
    <w:rsid w:val="5EFFFEAD"/>
    <w:rsid w:val="5F0E2B71"/>
    <w:rsid w:val="5F264690"/>
    <w:rsid w:val="5F2A5003"/>
    <w:rsid w:val="5F373641"/>
    <w:rsid w:val="5F647CE3"/>
    <w:rsid w:val="5F65065C"/>
    <w:rsid w:val="5F6D7FA1"/>
    <w:rsid w:val="5F776558"/>
    <w:rsid w:val="5F7E20A6"/>
    <w:rsid w:val="5F7FB117"/>
    <w:rsid w:val="5F9F8F45"/>
    <w:rsid w:val="5FAA5BCF"/>
    <w:rsid w:val="5FAB9B26"/>
    <w:rsid w:val="5FAFF066"/>
    <w:rsid w:val="5FBF250D"/>
    <w:rsid w:val="5FD3414B"/>
    <w:rsid w:val="5FD3F8C0"/>
    <w:rsid w:val="5FDF52C0"/>
    <w:rsid w:val="5FDFD367"/>
    <w:rsid w:val="5FDFF77F"/>
    <w:rsid w:val="5FE989C2"/>
    <w:rsid w:val="5FEB15B1"/>
    <w:rsid w:val="5FF8A1EE"/>
    <w:rsid w:val="5FFA10B3"/>
    <w:rsid w:val="5FFDF593"/>
    <w:rsid w:val="5FFECC68"/>
    <w:rsid w:val="5FFFD77A"/>
    <w:rsid w:val="60265A01"/>
    <w:rsid w:val="61D727BB"/>
    <w:rsid w:val="62086249"/>
    <w:rsid w:val="62EBAEDD"/>
    <w:rsid w:val="634DA9A8"/>
    <w:rsid w:val="63B674D4"/>
    <w:rsid w:val="63BFD95A"/>
    <w:rsid w:val="63FECE29"/>
    <w:rsid w:val="63FF666F"/>
    <w:rsid w:val="64DE6A36"/>
    <w:rsid w:val="65764EF1"/>
    <w:rsid w:val="657EF9D2"/>
    <w:rsid w:val="657FAFD2"/>
    <w:rsid w:val="65BF404B"/>
    <w:rsid w:val="65FD58FB"/>
    <w:rsid w:val="65FE0244"/>
    <w:rsid w:val="662B4FFE"/>
    <w:rsid w:val="6636DC66"/>
    <w:rsid w:val="66FE5F43"/>
    <w:rsid w:val="66FE6219"/>
    <w:rsid w:val="674D6AB9"/>
    <w:rsid w:val="676F13A9"/>
    <w:rsid w:val="676F690C"/>
    <w:rsid w:val="6770D31F"/>
    <w:rsid w:val="677A5FD4"/>
    <w:rsid w:val="679FCA90"/>
    <w:rsid w:val="67DFCF48"/>
    <w:rsid w:val="67EF7C2B"/>
    <w:rsid w:val="67F16D74"/>
    <w:rsid w:val="67FB3183"/>
    <w:rsid w:val="6874679F"/>
    <w:rsid w:val="68A42524"/>
    <w:rsid w:val="68E8B0BB"/>
    <w:rsid w:val="68F3389B"/>
    <w:rsid w:val="696F9827"/>
    <w:rsid w:val="6976A026"/>
    <w:rsid w:val="699E1ABF"/>
    <w:rsid w:val="69B81B73"/>
    <w:rsid w:val="69C436BC"/>
    <w:rsid w:val="69DDA79C"/>
    <w:rsid w:val="69DED524"/>
    <w:rsid w:val="69FE52EE"/>
    <w:rsid w:val="6AEF698F"/>
    <w:rsid w:val="6B2F1E1D"/>
    <w:rsid w:val="6B97CC3C"/>
    <w:rsid w:val="6BDFE73C"/>
    <w:rsid w:val="6BF7808E"/>
    <w:rsid w:val="6BF7D8DC"/>
    <w:rsid w:val="6BFB983A"/>
    <w:rsid w:val="6BFFBA34"/>
    <w:rsid w:val="6C9F45BC"/>
    <w:rsid w:val="6C9FD33F"/>
    <w:rsid w:val="6CE1F3DB"/>
    <w:rsid w:val="6D9DC6A2"/>
    <w:rsid w:val="6DB373E5"/>
    <w:rsid w:val="6DB50D10"/>
    <w:rsid w:val="6DBF920D"/>
    <w:rsid w:val="6DBFD3A6"/>
    <w:rsid w:val="6DDEF00E"/>
    <w:rsid w:val="6DEE4606"/>
    <w:rsid w:val="6DF7646B"/>
    <w:rsid w:val="6DF7EBBE"/>
    <w:rsid w:val="6DF8B089"/>
    <w:rsid w:val="6DFF63B0"/>
    <w:rsid w:val="6DFF926D"/>
    <w:rsid w:val="6DFFA431"/>
    <w:rsid w:val="6E3FEE03"/>
    <w:rsid w:val="6E7FAD69"/>
    <w:rsid w:val="6EAF68B1"/>
    <w:rsid w:val="6EAFCE73"/>
    <w:rsid w:val="6EAFDB76"/>
    <w:rsid w:val="6ED7A558"/>
    <w:rsid w:val="6EEB13ED"/>
    <w:rsid w:val="6EECF975"/>
    <w:rsid w:val="6EEF95C1"/>
    <w:rsid w:val="6EF9F2D2"/>
    <w:rsid w:val="6EFD12B8"/>
    <w:rsid w:val="6EFE688E"/>
    <w:rsid w:val="6EFED913"/>
    <w:rsid w:val="6F1DA484"/>
    <w:rsid w:val="6F3E11CA"/>
    <w:rsid w:val="6F3F91E2"/>
    <w:rsid w:val="6F5EA343"/>
    <w:rsid w:val="6F6F7BB4"/>
    <w:rsid w:val="6F7ED55D"/>
    <w:rsid w:val="6F7F06DD"/>
    <w:rsid w:val="6F7F1C13"/>
    <w:rsid w:val="6F7F80B4"/>
    <w:rsid w:val="6F9007F7"/>
    <w:rsid w:val="6F9FF4B4"/>
    <w:rsid w:val="6FA57DB9"/>
    <w:rsid w:val="6FB2A508"/>
    <w:rsid w:val="6FBB27F8"/>
    <w:rsid w:val="6FBFD97A"/>
    <w:rsid w:val="6FC637EA"/>
    <w:rsid w:val="6FCF5A61"/>
    <w:rsid w:val="6FD798F2"/>
    <w:rsid w:val="6FD95F5A"/>
    <w:rsid w:val="6FDA009D"/>
    <w:rsid w:val="6FE132DC"/>
    <w:rsid w:val="6FE7440C"/>
    <w:rsid w:val="6FEC076E"/>
    <w:rsid w:val="6FEEA3D0"/>
    <w:rsid w:val="6FF469D0"/>
    <w:rsid w:val="6FF70387"/>
    <w:rsid w:val="6FF728CE"/>
    <w:rsid w:val="6FF7DDD2"/>
    <w:rsid w:val="6FF9AE12"/>
    <w:rsid w:val="6FFB00D9"/>
    <w:rsid w:val="6FFB0341"/>
    <w:rsid w:val="6FFC60CB"/>
    <w:rsid w:val="6FFCA952"/>
    <w:rsid w:val="6FFE49A9"/>
    <w:rsid w:val="6FFF0957"/>
    <w:rsid w:val="6FFF438D"/>
    <w:rsid w:val="6FFF5C83"/>
    <w:rsid w:val="6FFF682D"/>
    <w:rsid w:val="6FFFA86F"/>
    <w:rsid w:val="6FFFC5B3"/>
    <w:rsid w:val="703F78F7"/>
    <w:rsid w:val="703FC90F"/>
    <w:rsid w:val="70DE0B3A"/>
    <w:rsid w:val="713E69A1"/>
    <w:rsid w:val="713EB934"/>
    <w:rsid w:val="71F780DF"/>
    <w:rsid w:val="71FF6E60"/>
    <w:rsid w:val="72AF0A39"/>
    <w:rsid w:val="72BF3368"/>
    <w:rsid w:val="72C5C38D"/>
    <w:rsid w:val="72EE4E2A"/>
    <w:rsid w:val="72FB09E1"/>
    <w:rsid w:val="72FF5590"/>
    <w:rsid w:val="72FFC9AF"/>
    <w:rsid w:val="733DEA71"/>
    <w:rsid w:val="736DD7A8"/>
    <w:rsid w:val="73BF5E6D"/>
    <w:rsid w:val="73C12712"/>
    <w:rsid w:val="73CCFC08"/>
    <w:rsid w:val="73EB3226"/>
    <w:rsid w:val="73EFC61E"/>
    <w:rsid w:val="73F58B83"/>
    <w:rsid w:val="73FBE637"/>
    <w:rsid w:val="73FF3B08"/>
    <w:rsid w:val="74E54113"/>
    <w:rsid w:val="74E8A1DF"/>
    <w:rsid w:val="74F49EB4"/>
    <w:rsid w:val="74F72666"/>
    <w:rsid w:val="74FBBB43"/>
    <w:rsid w:val="74FE5262"/>
    <w:rsid w:val="751478A3"/>
    <w:rsid w:val="75267237"/>
    <w:rsid w:val="757DE146"/>
    <w:rsid w:val="75C7A694"/>
    <w:rsid w:val="75EAFD49"/>
    <w:rsid w:val="75EBD3D4"/>
    <w:rsid w:val="75ED5D32"/>
    <w:rsid w:val="75EDD706"/>
    <w:rsid w:val="75FD0112"/>
    <w:rsid w:val="763FB021"/>
    <w:rsid w:val="767F7A3E"/>
    <w:rsid w:val="76D5A9AB"/>
    <w:rsid w:val="76D70B59"/>
    <w:rsid w:val="76DC1546"/>
    <w:rsid w:val="76EFCC5E"/>
    <w:rsid w:val="76F9DDDB"/>
    <w:rsid w:val="76FC684D"/>
    <w:rsid w:val="76FEBE5F"/>
    <w:rsid w:val="773FF688"/>
    <w:rsid w:val="774EF875"/>
    <w:rsid w:val="7757CF6D"/>
    <w:rsid w:val="775F9FDF"/>
    <w:rsid w:val="7767E43C"/>
    <w:rsid w:val="77750F32"/>
    <w:rsid w:val="77772EBF"/>
    <w:rsid w:val="777C69B4"/>
    <w:rsid w:val="777D1E83"/>
    <w:rsid w:val="777F41E5"/>
    <w:rsid w:val="777F9E40"/>
    <w:rsid w:val="777FC6BE"/>
    <w:rsid w:val="777FD507"/>
    <w:rsid w:val="77A7E7C8"/>
    <w:rsid w:val="77AE7126"/>
    <w:rsid w:val="77BBBF51"/>
    <w:rsid w:val="77BDC07A"/>
    <w:rsid w:val="77BF504D"/>
    <w:rsid w:val="77C72023"/>
    <w:rsid w:val="77CFB321"/>
    <w:rsid w:val="77D22069"/>
    <w:rsid w:val="77DA6B01"/>
    <w:rsid w:val="77DB3A25"/>
    <w:rsid w:val="77DFD42F"/>
    <w:rsid w:val="77EEEEF3"/>
    <w:rsid w:val="77F71B16"/>
    <w:rsid w:val="77F7DFC2"/>
    <w:rsid w:val="77FBA0A3"/>
    <w:rsid w:val="77FBB500"/>
    <w:rsid w:val="77FBDFA8"/>
    <w:rsid w:val="77FDD2FC"/>
    <w:rsid w:val="77FE2EBD"/>
    <w:rsid w:val="77FE39C6"/>
    <w:rsid w:val="77FE45C7"/>
    <w:rsid w:val="77FE702C"/>
    <w:rsid w:val="77FF7390"/>
    <w:rsid w:val="78507153"/>
    <w:rsid w:val="789C859B"/>
    <w:rsid w:val="78BE4166"/>
    <w:rsid w:val="78C34F0A"/>
    <w:rsid w:val="78CAE481"/>
    <w:rsid w:val="78FCC030"/>
    <w:rsid w:val="78FE481A"/>
    <w:rsid w:val="7960D488"/>
    <w:rsid w:val="797F17F1"/>
    <w:rsid w:val="7993A609"/>
    <w:rsid w:val="79969A69"/>
    <w:rsid w:val="79AF1868"/>
    <w:rsid w:val="79DB5BAC"/>
    <w:rsid w:val="79DE3447"/>
    <w:rsid w:val="79EF0314"/>
    <w:rsid w:val="79EFE329"/>
    <w:rsid w:val="7A3667F4"/>
    <w:rsid w:val="7A7E8A58"/>
    <w:rsid w:val="7A7FDBF6"/>
    <w:rsid w:val="7AAEA7FD"/>
    <w:rsid w:val="7ABB7EE5"/>
    <w:rsid w:val="7ABB9968"/>
    <w:rsid w:val="7ABE5C61"/>
    <w:rsid w:val="7ABF7435"/>
    <w:rsid w:val="7ACD13C7"/>
    <w:rsid w:val="7ACDF84C"/>
    <w:rsid w:val="7AE2BB43"/>
    <w:rsid w:val="7AE9A8AF"/>
    <w:rsid w:val="7AEBBC29"/>
    <w:rsid w:val="7AF77C0C"/>
    <w:rsid w:val="7AF78E1A"/>
    <w:rsid w:val="7AFAE4EF"/>
    <w:rsid w:val="7AFB855F"/>
    <w:rsid w:val="7AFF67AC"/>
    <w:rsid w:val="7AFFA509"/>
    <w:rsid w:val="7AFFA8F0"/>
    <w:rsid w:val="7AFFBA92"/>
    <w:rsid w:val="7AFFC79A"/>
    <w:rsid w:val="7B370352"/>
    <w:rsid w:val="7B3F459D"/>
    <w:rsid w:val="7B3FC04B"/>
    <w:rsid w:val="7B78506C"/>
    <w:rsid w:val="7B7EA09D"/>
    <w:rsid w:val="7B7F201C"/>
    <w:rsid w:val="7B7F52E5"/>
    <w:rsid w:val="7B9E73B2"/>
    <w:rsid w:val="7BAE22C3"/>
    <w:rsid w:val="7BB3536A"/>
    <w:rsid w:val="7BB6C5F2"/>
    <w:rsid w:val="7BBF66D3"/>
    <w:rsid w:val="7BBF92C5"/>
    <w:rsid w:val="7BCE5CE6"/>
    <w:rsid w:val="7BCF0FAC"/>
    <w:rsid w:val="7BDD8BFC"/>
    <w:rsid w:val="7BEB0EFB"/>
    <w:rsid w:val="7BEF0DDF"/>
    <w:rsid w:val="7BEFCCAF"/>
    <w:rsid w:val="7BF19C09"/>
    <w:rsid w:val="7BF2BFC5"/>
    <w:rsid w:val="7BF54FBC"/>
    <w:rsid w:val="7BF73074"/>
    <w:rsid w:val="7BF995C2"/>
    <w:rsid w:val="7BFA04FB"/>
    <w:rsid w:val="7BFBA7C6"/>
    <w:rsid w:val="7BFD05C1"/>
    <w:rsid w:val="7BFE3993"/>
    <w:rsid w:val="7BFED74E"/>
    <w:rsid w:val="7BFF0223"/>
    <w:rsid w:val="7C3DAE0D"/>
    <w:rsid w:val="7C6868F6"/>
    <w:rsid w:val="7C7F72B8"/>
    <w:rsid w:val="7CA3E458"/>
    <w:rsid w:val="7CF1D035"/>
    <w:rsid w:val="7CF3BA54"/>
    <w:rsid w:val="7CF5FA5B"/>
    <w:rsid w:val="7D1B611F"/>
    <w:rsid w:val="7D1B75C7"/>
    <w:rsid w:val="7D29F298"/>
    <w:rsid w:val="7D37582A"/>
    <w:rsid w:val="7D4717C2"/>
    <w:rsid w:val="7D53B43D"/>
    <w:rsid w:val="7D5A4585"/>
    <w:rsid w:val="7D63F463"/>
    <w:rsid w:val="7D6B5FD8"/>
    <w:rsid w:val="7D7B4B72"/>
    <w:rsid w:val="7D7F1782"/>
    <w:rsid w:val="7D7F2F51"/>
    <w:rsid w:val="7D7FCA1B"/>
    <w:rsid w:val="7DA50BDA"/>
    <w:rsid w:val="7DAD73BF"/>
    <w:rsid w:val="7DAFF29D"/>
    <w:rsid w:val="7DB739B3"/>
    <w:rsid w:val="7DBB6E62"/>
    <w:rsid w:val="7DBD398D"/>
    <w:rsid w:val="7DBEF04C"/>
    <w:rsid w:val="7DBFE3A7"/>
    <w:rsid w:val="7DD6D786"/>
    <w:rsid w:val="7DDF7FD0"/>
    <w:rsid w:val="7DDFB26E"/>
    <w:rsid w:val="7DE121C0"/>
    <w:rsid w:val="7DE1414C"/>
    <w:rsid w:val="7DE71DA6"/>
    <w:rsid w:val="7DE7812E"/>
    <w:rsid w:val="7DE79F1A"/>
    <w:rsid w:val="7DEFB4B9"/>
    <w:rsid w:val="7DF51EC8"/>
    <w:rsid w:val="7DF52AFC"/>
    <w:rsid w:val="7DF6882E"/>
    <w:rsid w:val="7DF75D19"/>
    <w:rsid w:val="7DFD75E8"/>
    <w:rsid w:val="7DFE1F5C"/>
    <w:rsid w:val="7DFE209F"/>
    <w:rsid w:val="7DFF016C"/>
    <w:rsid w:val="7DFF27ED"/>
    <w:rsid w:val="7DFF6E22"/>
    <w:rsid w:val="7DFF95A5"/>
    <w:rsid w:val="7DFF9ECD"/>
    <w:rsid w:val="7DFFCF97"/>
    <w:rsid w:val="7E3FD534"/>
    <w:rsid w:val="7E5EBA0E"/>
    <w:rsid w:val="7E60C3F7"/>
    <w:rsid w:val="7E6587D2"/>
    <w:rsid w:val="7E770D3E"/>
    <w:rsid w:val="7E7BFDB0"/>
    <w:rsid w:val="7E7C81D1"/>
    <w:rsid w:val="7E7D9C34"/>
    <w:rsid w:val="7E7F22CA"/>
    <w:rsid w:val="7EA56C0A"/>
    <w:rsid w:val="7EAF235D"/>
    <w:rsid w:val="7EB7343C"/>
    <w:rsid w:val="7EB899B7"/>
    <w:rsid w:val="7EB8BF83"/>
    <w:rsid w:val="7EBD658E"/>
    <w:rsid w:val="7EC7E849"/>
    <w:rsid w:val="7ECB6E9A"/>
    <w:rsid w:val="7ECF3E4C"/>
    <w:rsid w:val="7EDB7742"/>
    <w:rsid w:val="7EDDA93F"/>
    <w:rsid w:val="7EDFA246"/>
    <w:rsid w:val="7EE71FD8"/>
    <w:rsid w:val="7EEA8FE0"/>
    <w:rsid w:val="7EEDFEF8"/>
    <w:rsid w:val="7EEFF907"/>
    <w:rsid w:val="7EF7322D"/>
    <w:rsid w:val="7EF7F774"/>
    <w:rsid w:val="7EFA0E38"/>
    <w:rsid w:val="7EFAF087"/>
    <w:rsid w:val="7EFB0096"/>
    <w:rsid w:val="7EFBD631"/>
    <w:rsid w:val="7EFCCF1C"/>
    <w:rsid w:val="7EFD789C"/>
    <w:rsid w:val="7EFE6739"/>
    <w:rsid w:val="7EFEF447"/>
    <w:rsid w:val="7EFFC3AC"/>
    <w:rsid w:val="7F37B82D"/>
    <w:rsid w:val="7F3B41FF"/>
    <w:rsid w:val="7F3E1064"/>
    <w:rsid w:val="7F5F1B20"/>
    <w:rsid w:val="7F665016"/>
    <w:rsid w:val="7F6BC0EB"/>
    <w:rsid w:val="7F6F0D4B"/>
    <w:rsid w:val="7F71F2E2"/>
    <w:rsid w:val="7F74AF7E"/>
    <w:rsid w:val="7F7798A9"/>
    <w:rsid w:val="7F7A001D"/>
    <w:rsid w:val="7F7D58EC"/>
    <w:rsid w:val="7F7E1EF8"/>
    <w:rsid w:val="7F7F8F86"/>
    <w:rsid w:val="7F9BA6DA"/>
    <w:rsid w:val="7F9BE0C6"/>
    <w:rsid w:val="7FA2374C"/>
    <w:rsid w:val="7FA78C96"/>
    <w:rsid w:val="7FABB4F4"/>
    <w:rsid w:val="7FADB2F2"/>
    <w:rsid w:val="7FAF7805"/>
    <w:rsid w:val="7FB1066C"/>
    <w:rsid w:val="7FB1788D"/>
    <w:rsid w:val="7FBD528D"/>
    <w:rsid w:val="7FBF2851"/>
    <w:rsid w:val="7FBF4C88"/>
    <w:rsid w:val="7FBF7305"/>
    <w:rsid w:val="7FCE1B22"/>
    <w:rsid w:val="7FCF2749"/>
    <w:rsid w:val="7FD7F2C3"/>
    <w:rsid w:val="7FD97125"/>
    <w:rsid w:val="7FDACA75"/>
    <w:rsid w:val="7FDDF82D"/>
    <w:rsid w:val="7FDE5C95"/>
    <w:rsid w:val="7FDF88C8"/>
    <w:rsid w:val="7FDF975A"/>
    <w:rsid w:val="7FDF9E75"/>
    <w:rsid w:val="7FDFE743"/>
    <w:rsid w:val="7FE60A48"/>
    <w:rsid w:val="7FE6610A"/>
    <w:rsid w:val="7FE967AC"/>
    <w:rsid w:val="7FE96AEB"/>
    <w:rsid w:val="7FED1ABE"/>
    <w:rsid w:val="7FED2AA0"/>
    <w:rsid w:val="7FED58F0"/>
    <w:rsid w:val="7FEFCB9D"/>
    <w:rsid w:val="7FF1CCFD"/>
    <w:rsid w:val="7FF466F8"/>
    <w:rsid w:val="7FF502E6"/>
    <w:rsid w:val="7FF6785F"/>
    <w:rsid w:val="7FF76FD9"/>
    <w:rsid w:val="7FF8A554"/>
    <w:rsid w:val="7FFB1619"/>
    <w:rsid w:val="7FFB1B18"/>
    <w:rsid w:val="7FFB7EE3"/>
    <w:rsid w:val="7FFBB370"/>
    <w:rsid w:val="7FFBE8C3"/>
    <w:rsid w:val="7FFD9E7F"/>
    <w:rsid w:val="7FFDCFDF"/>
    <w:rsid w:val="7FFDE30B"/>
    <w:rsid w:val="7FFE07D7"/>
    <w:rsid w:val="7FFEAEB2"/>
    <w:rsid w:val="7FFEB09B"/>
    <w:rsid w:val="7FFF1B77"/>
    <w:rsid w:val="7FFF3F48"/>
    <w:rsid w:val="7FFF81FB"/>
    <w:rsid w:val="7FFF8DD5"/>
    <w:rsid w:val="7FFFA392"/>
    <w:rsid w:val="7FFFEA44"/>
    <w:rsid w:val="7FFFFD99"/>
    <w:rsid w:val="873F2367"/>
    <w:rsid w:val="87F58E04"/>
    <w:rsid w:val="87FBCE91"/>
    <w:rsid w:val="8DBB8C69"/>
    <w:rsid w:val="8DBF2DAB"/>
    <w:rsid w:val="8DF7E567"/>
    <w:rsid w:val="8E57A977"/>
    <w:rsid w:val="91FB57B3"/>
    <w:rsid w:val="95BBBF05"/>
    <w:rsid w:val="95BF9987"/>
    <w:rsid w:val="95FE2B80"/>
    <w:rsid w:val="97EB8706"/>
    <w:rsid w:val="97F5F3D5"/>
    <w:rsid w:val="97FD30D2"/>
    <w:rsid w:val="97FF8ADF"/>
    <w:rsid w:val="98EE4D75"/>
    <w:rsid w:val="99FF66DC"/>
    <w:rsid w:val="9ADEACC6"/>
    <w:rsid w:val="9AFC0A2B"/>
    <w:rsid w:val="9BEFEE94"/>
    <w:rsid w:val="9BF113E6"/>
    <w:rsid w:val="9CEF76FD"/>
    <w:rsid w:val="9CFC54A4"/>
    <w:rsid w:val="9D4B5CFF"/>
    <w:rsid w:val="9D7EC945"/>
    <w:rsid w:val="9DF7B661"/>
    <w:rsid w:val="9DFB82F2"/>
    <w:rsid w:val="9DFE6635"/>
    <w:rsid w:val="9EFF2EA9"/>
    <w:rsid w:val="9FAB4846"/>
    <w:rsid w:val="9FD74DD1"/>
    <w:rsid w:val="9FDE0AA5"/>
    <w:rsid w:val="9FE570EB"/>
    <w:rsid w:val="9FF679E8"/>
    <w:rsid w:val="9FF7B09C"/>
    <w:rsid w:val="A2F78CFC"/>
    <w:rsid w:val="A37F6593"/>
    <w:rsid w:val="A3CBDFC8"/>
    <w:rsid w:val="A7B744C9"/>
    <w:rsid w:val="A7B768D4"/>
    <w:rsid w:val="A7E3766E"/>
    <w:rsid w:val="A7F28124"/>
    <w:rsid w:val="A997B4BA"/>
    <w:rsid w:val="A9F76A3A"/>
    <w:rsid w:val="AA8307FC"/>
    <w:rsid w:val="ABBFED67"/>
    <w:rsid w:val="ABFF0B93"/>
    <w:rsid w:val="ACCDBAE0"/>
    <w:rsid w:val="AD5EAE68"/>
    <w:rsid w:val="AD5F5AE9"/>
    <w:rsid w:val="ADD24B31"/>
    <w:rsid w:val="ADF65771"/>
    <w:rsid w:val="AE3B9083"/>
    <w:rsid w:val="AEFB0B6F"/>
    <w:rsid w:val="AEFD4B22"/>
    <w:rsid w:val="AF7C821F"/>
    <w:rsid w:val="AFF3EB17"/>
    <w:rsid w:val="AFF6A0B3"/>
    <w:rsid w:val="AFF9F0EE"/>
    <w:rsid w:val="AFFE85F6"/>
    <w:rsid w:val="B26D741F"/>
    <w:rsid w:val="B35AA088"/>
    <w:rsid w:val="B3AE757F"/>
    <w:rsid w:val="B3BE6639"/>
    <w:rsid w:val="B3D5ED69"/>
    <w:rsid w:val="B4EBC685"/>
    <w:rsid w:val="B5EBCF22"/>
    <w:rsid w:val="B61760E7"/>
    <w:rsid w:val="B67F2D2E"/>
    <w:rsid w:val="B6D74010"/>
    <w:rsid w:val="B716C012"/>
    <w:rsid w:val="B71FEFE4"/>
    <w:rsid w:val="B73B04F4"/>
    <w:rsid w:val="B75B5A26"/>
    <w:rsid w:val="B7732ACD"/>
    <w:rsid w:val="B776E718"/>
    <w:rsid w:val="B77F78E1"/>
    <w:rsid w:val="B77FF63E"/>
    <w:rsid w:val="B789C07E"/>
    <w:rsid w:val="B7BF0502"/>
    <w:rsid w:val="B7DF96D7"/>
    <w:rsid w:val="B7F3BF01"/>
    <w:rsid w:val="B7FA68BD"/>
    <w:rsid w:val="B7FB7B88"/>
    <w:rsid w:val="B7FBAFCB"/>
    <w:rsid w:val="B7FDBD6C"/>
    <w:rsid w:val="B7FFBC7F"/>
    <w:rsid w:val="B7FFC4BC"/>
    <w:rsid w:val="B9774E24"/>
    <w:rsid w:val="B9DF8CA1"/>
    <w:rsid w:val="BA7B23C6"/>
    <w:rsid w:val="BA9BDA8E"/>
    <w:rsid w:val="BAFF74BB"/>
    <w:rsid w:val="BB198CF2"/>
    <w:rsid w:val="BB4F1FC7"/>
    <w:rsid w:val="BB7B9245"/>
    <w:rsid w:val="BBDF62F3"/>
    <w:rsid w:val="BBEE2559"/>
    <w:rsid w:val="BBFA25D8"/>
    <w:rsid w:val="BBFAA501"/>
    <w:rsid w:val="BBFDFBA3"/>
    <w:rsid w:val="BBFE5738"/>
    <w:rsid w:val="BC5FB32E"/>
    <w:rsid w:val="BCB78241"/>
    <w:rsid w:val="BCCD0D1C"/>
    <w:rsid w:val="BCEF521C"/>
    <w:rsid w:val="BD7B96D1"/>
    <w:rsid w:val="BD7F270F"/>
    <w:rsid w:val="BD7F5ABD"/>
    <w:rsid w:val="BD8E7DC7"/>
    <w:rsid w:val="BDF63AE3"/>
    <w:rsid w:val="BDFD8171"/>
    <w:rsid w:val="BE5F1C8D"/>
    <w:rsid w:val="BE6B7A87"/>
    <w:rsid w:val="BE7B7DB4"/>
    <w:rsid w:val="BE7DDB22"/>
    <w:rsid w:val="BEBF8396"/>
    <w:rsid w:val="BEDF1BE2"/>
    <w:rsid w:val="BEFB9237"/>
    <w:rsid w:val="BEFDF501"/>
    <w:rsid w:val="BEFF2FC1"/>
    <w:rsid w:val="BEFFA346"/>
    <w:rsid w:val="BF365B28"/>
    <w:rsid w:val="BF3DDDC1"/>
    <w:rsid w:val="BF477D24"/>
    <w:rsid w:val="BF553B8F"/>
    <w:rsid w:val="BF5EDB9A"/>
    <w:rsid w:val="BF6FA314"/>
    <w:rsid w:val="BF76A2EF"/>
    <w:rsid w:val="BF7A1B16"/>
    <w:rsid w:val="BF7F6FD8"/>
    <w:rsid w:val="BF875913"/>
    <w:rsid w:val="BFB7EBDC"/>
    <w:rsid w:val="BFB910C4"/>
    <w:rsid w:val="BFBB481C"/>
    <w:rsid w:val="BFBD7E86"/>
    <w:rsid w:val="BFBDA870"/>
    <w:rsid w:val="BFBF2DA7"/>
    <w:rsid w:val="BFD7D7E7"/>
    <w:rsid w:val="BFDE0D18"/>
    <w:rsid w:val="BFDE1838"/>
    <w:rsid w:val="BFDE9E28"/>
    <w:rsid w:val="BFE54D23"/>
    <w:rsid w:val="BFE7C1F9"/>
    <w:rsid w:val="BFEBF948"/>
    <w:rsid w:val="BFEFB8FE"/>
    <w:rsid w:val="BFEFDC12"/>
    <w:rsid w:val="BFF7C8A3"/>
    <w:rsid w:val="BFFB3BF8"/>
    <w:rsid w:val="BFFD12C6"/>
    <w:rsid w:val="BFFDF8B3"/>
    <w:rsid w:val="BFFF3B2B"/>
    <w:rsid w:val="BFFF5DF2"/>
    <w:rsid w:val="BFFFECF9"/>
    <w:rsid w:val="C3BEF75D"/>
    <w:rsid w:val="C67CD587"/>
    <w:rsid w:val="C7FB1EEB"/>
    <w:rsid w:val="C979D18C"/>
    <w:rsid w:val="C9FF7E7E"/>
    <w:rsid w:val="CAF71F76"/>
    <w:rsid w:val="CB4771F0"/>
    <w:rsid w:val="CBAFF2C3"/>
    <w:rsid w:val="CBB7FD85"/>
    <w:rsid w:val="CBFC8F54"/>
    <w:rsid w:val="CBFF6AA5"/>
    <w:rsid w:val="CBFFB55F"/>
    <w:rsid w:val="CC77DA60"/>
    <w:rsid w:val="CCF32DF9"/>
    <w:rsid w:val="CCFDAF11"/>
    <w:rsid w:val="CD3EDDE9"/>
    <w:rsid w:val="CDAFA1B6"/>
    <w:rsid w:val="CDF7B6F7"/>
    <w:rsid w:val="CEBFC0E8"/>
    <w:rsid w:val="CEDD011D"/>
    <w:rsid w:val="CF7B8690"/>
    <w:rsid w:val="CF9FFC4E"/>
    <w:rsid w:val="CFBFBC57"/>
    <w:rsid w:val="CFFBE5EF"/>
    <w:rsid w:val="CFFF7263"/>
    <w:rsid w:val="CFFF8AF5"/>
    <w:rsid w:val="D1BF94B4"/>
    <w:rsid w:val="D3BF521A"/>
    <w:rsid w:val="D3E6F3D1"/>
    <w:rsid w:val="D3EC6CAD"/>
    <w:rsid w:val="D3ECB4D2"/>
    <w:rsid w:val="D3FB427F"/>
    <w:rsid w:val="D3FB4425"/>
    <w:rsid w:val="D48D661B"/>
    <w:rsid w:val="D4BDC646"/>
    <w:rsid w:val="D4DF9AF4"/>
    <w:rsid w:val="D50BB92C"/>
    <w:rsid w:val="D527F98F"/>
    <w:rsid w:val="D6DBD658"/>
    <w:rsid w:val="D6FE04E2"/>
    <w:rsid w:val="D775BF32"/>
    <w:rsid w:val="D77FD549"/>
    <w:rsid w:val="D7ABD317"/>
    <w:rsid w:val="D7DF4EB6"/>
    <w:rsid w:val="D8F6E4C5"/>
    <w:rsid w:val="D8FF865A"/>
    <w:rsid w:val="D9BD71B5"/>
    <w:rsid w:val="D9BEF36A"/>
    <w:rsid w:val="D9CFCF4C"/>
    <w:rsid w:val="DA751D95"/>
    <w:rsid w:val="DABF4BC5"/>
    <w:rsid w:val="DADF9E6A"/>
    <w:rsid w:val="DBB9CF35"/>
    <w:rsid w:val="DBDE2B1A"/>
    <w:rsid w:val="DBF7504A"/>
    <w:rsid w:val="DC3F3653"/>
    <w:rsid w:val="DC7F4DBF"/>
    <w:rsid w:val="DC9FFEEF"/>
    <w:rsid w:val="DCF279D3"/>
    <w:rsid w:val="DD6B73CC"/>
    <w:rsid w:val="DD7DDF04"/>
    <w:rsid w:val="DD9D7C95"/>
    <w:rsid w:val="DDBFB180"/>
    <w:rsid w:val="DDD1160D"/>
    <w:rsid w:val="DDD55C8D"/>
    <w:rsid w:val="DDDFE22C"/>
    <w:rsid w:val="DDE13F3C"/>
    <w:rsid w:val="DDF1B834"/>
    <w:rsid w:val="DDFA0B5F"/>
    <w:rsid w:val="DDFFF137"/>
    <w:rsid w:val="DE7F5CED"/>
    <w:rsid w:val="DEC72E62"/>
    <w:rsid w:val="DED4FD5F"/>
    <w:rsid w:val="DEDB4285"/>
    <w:rsid w:val="DEDE60B3"/>
    <w:rsid w:val="DEF7D73E"/>
    <w:rsid w:val="DEFF2F5B"/>
    <w:rsid w:val="DF3012C2"/>
    <w:rsid w:val="DF3FD5B6"/>
    <w:rsid w:val="DF9F728E"/>
    <w:rsid w:val="DFBA6859"/>
    <w:rsid w:val="DFBBBE0A"/>
    <w:rsid w:val="DFBBC123"/>
    <w:rsid w:val="DFBF92DF"/>
    <w:rsid w:val="DFDD2829"/>
    <w:rsid w:val="DFDEEF80"/>
    <w:rsid w:val="DFE513FC"/>
    <w:rsid w:val="DFE909FA"/>
    <w:rsid w:val="DFEB4ADC"/>
    <w:rsid w:val="DFEDDD8C"/>
    <w:rsid w:val="DFEF0B69"/>
    <w:rsid w:val="DFEF6153"/>
    <w:rsid w:val="DFEFC556"/>
    <w:rsid w:val="DFEFD79F"/>
    <w:rsid w:val="DFF64D98"/>
    <w:rsid w:val="DFF76C8A"/>
    <w:rsid w:val="DFF7E9E8"/>
    <w:rsid w:val="DFF9688E"/>
    <w:rsid w:val="DFFB416F"/>
    <w:rsid w:val="DFFCCCAF"/>
    <w:rsid w:val="DFFE1F70"/>
    <w:rsid w:val="DFFE5B1C"/>
    <w:rsid w:val="DFFE7CD6"/>
    <w:rsid w:val="DFFF0F86"/>
    <w:rsid w:val="DFFF8286"/>
    <w:rsid w:val="DFFFE643"/>
    <w:rsid w:val="E0ED578B"/>
    <w:rsid w:val="E0EFADC8"/>
    <w:rsid w:val="E193FCB0"/>
    <w:rsid w:val="E2F551AF"/>
    <w:rsid w:val="E34FD4A1"/>
    <w:rsid w:val="E3781F85"/>
    <w:rsid w:val="E3BFE22E"/>
    <w:rsid w:val="E3F95966"/>
    <w:rsid w:val="E3FFDBC9"/>
    <w:rsid w:val="E53FD17F"/>
    <w:rsid w:val="E5718D52"/>
    <w:rsid w:val="E57F8B9B"/>
    <w:rsid w:val="E5BD388A"/>
    <w:rsid w:val="E5FFC61C"/>
    <w:rsid w:val="E6EFF4FB"/>
    <w:rsid w:val="E6EFFD63"/>
    <w:rsid w:val="E6F7F7E5"/>
    <w:rsid w:val="E6FA700F"/>
    <w:rsid w:val="E72F5F90"/>
    <w:rsid w:val="E763963F"/>
    <w:rsid w:val="E7F5728F"/>
    <w:rsid w:val="E7F9E723"/>
    <w:rsid w:val="E8AF49AB"/>
    <w:rsid w:val="E95F1409"/>
    <w:rsid w:val="E9608CDA"/>
    <w:rsid w:val="E9AF9C09"/>
    <w:rsid w:val="E9EF7FE5"/>
    <w:rsid w:val="E9F71EFB"/>
    <w:rsid w:val="E9FF6EF3"/>
    <w:rsid w:val="EA3E18A4"/>
    <w:rsid w:val="EAAC3EB5"/>
    <w:rsid w:val="EAC69021"/>
    <w:rsid w:val="EAFA3654"/>
    <w:rsid w:val="EB3D8B80"/>
    <w:rsid w:val="EB4E2200"/>
    <w:rsid w:val="EB5FF12D"/>
    <w:rsid w:val="EB7E38DB"/>
    <w:rsid w:val="EBA7FE18"/>
    <w:rsid w:val="EBAF58B1"/>
    <w:rsid w:val="EBE568DE"/>
    <w:rsid w:val="EBEAE006"/>
    <w:rsid w:val="EBEB68DB"/>
    <w:rsid w:val="EBEBABF3"/>
    <w:rsid w:val="ECAE8611"/>
    <w:rsid w:val="ECF7A18D"/>
    <w:rsid w:val="ECFE61CD"/>
    <w:rsid w:val="ECFF7812"/>
    <w:rsid w:val="ECFFDBC9"/>
    <w:rsid w:val="ED7FF1C7"/>
    <w:rsid w:val="EDAD9FE1"/>
    <w:rsid w:val="EDBD3C6D"/>
    <w:rsid w:val="EDCBD56B"/>
    <w:rsid w:val="EDDEB85F"/>
    <w:rsid w:val="EDFDF947"/>
    <w:rsid w:val="EDFF5A79"/>
    <w:rsid w:val="EE5AE784"/>
    <w:rsid w:val="EE7B1F5E"/>
    <w:rsid w:val="EEB4A343"/>
    <w:rsid w:val="EEBE3681"/>
    <w:rsid w:val="EEBE87FF"/>
    <w:rsid w:val="EEE7E45A"/>
    <w:rsid w:val="EEEA03C4"/>
    <w:rsid w:val="EEED705A"/>
    <w:rsid w:val="EEFF24E7"/>
    <w:rsid w:val="EF374F28"/>
    <w:rsid w:val="EF4FBF95"/>
    <w:rsid w:val="EF5E48C1"/>
    <w:rsid w:val="EF674A23"/>
    <w:rsid w:val="EF6D9896"/>
    <w:rsid w:val="EF6F61F3"/>
    <w:rsid w:val="EF6FD684"/>
    <w:rsid w:val="EF795E27"/>
    <w:rsid w:val="EF7DB535"/>
    <w:rsid w:val="EF7DF2C9"/>
    <w:rsid w:val="EFA3DD72"/>
    <w:rsid w:val="EFBD3BBC"/>
    <w:rsid w:val="EFBFF988"/>
    <w:rsid w:val="EFD94F28"/>
    <w:rsid w:val="EFDF930C"/>
    <w:rsid w:val="EFEC3E7E"/>
    <w:rsid w:val="EFEF09D0"/>
    <w:rsid w:val="EFF2F0A1"/>
    <w:rsid w:val="EFF30522"/>
    <w:rsid w:val="EFF42195"/>
    <w:rsid w:val="EFF753FC"/>
    <w:rsid w:val="EFF96486"/>
    <w:rsid w:val="EFFBF25A"/>
    <w:rsid w:val="EFFC99E2"/>
    <w:rsid w:val="EFFD6969"/>
    <w:rsid w:val="EFFE1556"/>
    <w:rsid w:val="EFFE26B1"/>
    <w:rsid w:val="EFFEC131"/>
    <w:rsid w:val="EFFF0ABE"/>
    <w:rsid w:val="EFFF1C17"/>
    <w:rsid w:val="F179EDFF"/>
    <w:rsid w:val="F17D9D64"/>
    <w:rsid w:val="F1AE5FE3"/>
    <w:rsid w:val="F1DDACF0"/>
    <w:rsid w:val="F1FBABB2"/>
    <w:rsid w:val="F26F3F89"/>
    <w:rsid w:val="F2DFEC0E"/>
    <w:rsid w:val="F38D895D"/>
    <w:rsid w:val="F38F16EA"/>
    <w:rsid w:val="F3EF7093"/>
    <w:rsid w:val="F3FE8EDD"/>
    <w:rsid w:val="F3FF263C"/>
    <w:rsid w:val="F3FF5ABE"/>
    <w:rsid w:val="F4F316B0"/>
    <w:rsid w:val="F4FFB520"/>
    <w:rsid w:val="F55E6EE7"/>
    <w:rsid w:val="F57D8FFC"/>
    <w:rsid w:val="F57DD5FB"/>
    <w:rsid w:val="F5DFDE62"/>
    <w:rsid w:val="F5EB508C"/>
    <w:rsid w:val="F5F7D3FB"/>
    <w:rsid w:val="F5F8A402"/>
    <w:rsid w:val="F5FF2264"/>
    <w:rsid w:val="F5FFDE66"/>
    <w:rsid w:val="F5FFFF6C"/>
    <w:rsid w:val="F66FBF22"/>
    <w:rsid w:val="F6796185"/>
    <w:rsid w:val="F6B672CF"/>
    <w:rsid w:val="F6BF08BC"/>
    <w:rsid w:val="F6E7A842"/>
    <w:rsid w:val="F6F74FC7"/>
    <w:rsid w:val="F6FB4208"/>
    <w:rsid w:val="F6FF3CFA"/>
    <w:rsid w:val="F6FFBF64"/>
    <w:rsid w:val="F71BCFEC"/>
    <w:rsid w:val="F76F0416"/>
    <w:rsid w:val="F76FD86F"/>
    <w:rsid w:val="F772146D"/>
    <w:rsid w:val="F774A2D9"/>
    <w:rsid w:val="F776E6BD"/>
    <w:rsid w:val="F77A21EA"/>
    <w:rsid w:val="F77B17B1"/>
    <w:rsid w:val="F77BA196"/>
    <w:rsid w:val="F77BA613"/>
    <w:rsid w:val="F77BE26B"/>
    <w:rsid w:val="F77E2BBA"/>
    <w:rsid w:val="F77E5F01"/>
    <w:rsid w:val="F77E94DD"/>
    <w:rsid w:val="F79D57B1"/>
    <w:rsid w:val="F7B38E9E"/>
    <w:rsid w:val="F7BBF5BD"/>
    <w:rsid w:val="F7BFAEAF"/>
    <w:rsid w:val="F7CB5455"/>
    <w:rsid w:val="F7CBAEBD"/>
    <w:rsid w:val="F7E990FA"/>
    <w:rsid w:val="F7F76C9F"/>
    <w:rsid w:val="F7F7CE45"/>
    <w:rsid w:val="F7FAB02C"/>
    <w:rsid w:val="F7FAC39F"/>
    <w:rsid w:val="F7FBB236"/>
    <w:rsid w:val="F7FC3300"/>
    <w:rsid w:val="F7FDBA90"/>
    <w:rsid w:val="F7FE5F14"/>
    <w:rsid w:val="F7FFAA0D"/>
    <w:rsid w:val="F9772199"/>
    <w:rsid w:val="F9AEF0E9"/>
    <w:rsid w:val="F9BF2944"/>
    <w:rsid w:val="F9BFD3F7"/>
    <w:rsid w:val="F9CF8CB2"/>
    <w:rsid w:val="F9FD270A"/>
    <w:rsid w:val="F9FFA806"/>
    <w:rsid w:val="FA1FE90F"/>
    <w:rsid w:val="FA3EEE21"/>
    <w:rsid w:val="FA578874"/>
    <w:rsid w:val="FA5DA317"/>
    <w:rsid w:val="FA7A06FB"/>
    <w:rsid w:val="FA7E249F"/>
    <w:rsid w:val="FA9696CF"/>
    <w:rsid w:val="FAAF282D"/>
    <w:rsid w:val="FAB5DA93"/>
    <w:rsid w:val="FAB9434F"/>
    <w:rsid w:val="FABF0E36"/>
    <w:rsid w:val="FADD3696"/>
    <w:rsid w:val="FAEBC6D4"/>
    <w:rsid w:val="FAF41D82"/>
    <w:rsid w:val="FAF7F199"/>
    <w:rsid w:val="FAFDAA4B"/>
    <w:rsid w:val="FAFDB066"/>
    <w:rsid w:val="FAFE2545"/>
    <w:rsid w:val="FAFEA9B4"/>
    <w:rsid w:val="FAFFE1E7"/>
    <w:rsid w:val="FB37B426"/>
    <w:rsid w:val="FB3BD7B7"/>
    <w:rsid w:val="FB3F7211"/>
    <w:rsid w:val="FB5773BD"/>
    <w:rsid w:val="FB6E079A"/>
    <w:rsid w:val="FB6F31DC"/>
    <w:rsid w:val="FB73A90D"/>
    <w:rsid w:val="FB7E255A"/>
    <w:rsid w:val="FB9F38C8"/>
    <w:rsid w:val="FBB17742"/>
    <w:rsid w:val="FBB740D6"/>
    <w:rsid w:val="FBB98A08"/>
    <w:rsid w:val="FBBB5812"/>
    <w:rsid w:val="FBBDD09B"/>
    <w:rsid w:val="FBCF49C9"/>
    <w:rsid w:val="FBD0F14A"/>
    <w:rsid w:val="FBD97725"/>
    <w:rsid w:val="FBDDB9D0"/>
    <w:rsid w:val="FBDFF431"/>
    <w:rsid w:val="FBEECCEF"/>
    <w:rsid w:val="FBEFC1A5"/>
    <w:rsid w:val="FBF713BD"/>
    <w:rsid w:val="FBF84A73"/>
    <w:rsid w:val="FBFB79EF"/>
    <w:rsid w:val="FBFBB1F0"/>
    <w:rsid w:val="FBFBBCBA"/>
    <w:rsid w:val="FBFF0649"/>
    <w:rsid w:val="FBFF4F75"/>
    <w:rsid w:val="FBFF53A3"/>
    <w:rsid w:val="FBFF69A6"/>
    <w:rsid w:val="FBFFAC20"/>
    <w:rsid w:val="FC5F5029"/>
    <w:rsid w:val="FC9F308C"/>
    <w:rsid w:val="FCDA06CE"/>
    <w:rsid w:val="FCEB51D2"/>
    <w:rsid w:val="FCED2D76"/>
    <w:rsid w:val="FCEF468E"/>
    <w:rsid w:val="FCFEE044"/>
    <w:rsid w:val="FCFFD2A8"/>
    <w:rsid w:val="FD25C6EC"/>
    <w:rsid w:val="FD2FD993"/>
    <w:rsid w:val="FD338641"/>
    <w:rsid w:val="FD7BF2B5"/>
    <w:rsid w:val="FD7D606F"/>
    <w:rsid w:val="FDA6AAA2"/>
    <w:rsid w:val="FDAB3BD5"/>
    <w:rsid w:val="FDABA8D4"/>
    <w:rsid w:val="FDBBD7EF"/>
    <w:rsid w:val="FDE900DB"/>
    <w:rsid w:val="FDEA2A97"/>
    <w:rsid w:val="FDEB9D08"/>
    <w:rsid w:val="FDEE0386"/>
    <w:rsid w:val="FDEE48CB"/>
    <w:rsid w:val="FDEEF78B"/>
    <w:rsid w:val="FDEF5190"/>
    <w:rsid w:val="FDF96432"/>
    <w:rsid w:val="FDFA3D90"/>
    <w:rsid w:val="FDFA54DB"/>
    <w:rsid w:val="FDFB96C3"/>
    <w:rsid w:val="FDFD5976"/>
    <w:rsid w:val="FDFD8B31"/>
    <w:rsid w:val="FDFDBD3D"/>
    <w:rsid w:val="FDFE3986"/>
    <w:rsid w:val="FDFF36CA"/>
    <w:rsid w:val="FDFF399E"/>
    <w:rsid w:val="FDFF62FA"/>
    <w:rsid w:val="FDFFA753"/>
    <w:rsid w:val="FDFFB0B4"/>
    <w:rsid w:val="FDFFF8E1"/>
    <w:rsid w:val="FE1DC3BE"/>
    <w:rsid w:val="FE371A14"/>
    <w:rsid w:val="FE3DE45F"/>
    <w:rsid w:val="FE3F442A"/>
    <w:rsid w:val="FE5FA63F"/>
    <w:rsid w:val="FE734873"/>
    <w:rsid w:val="FE75D220"/>
    <w:rsid w:val="FE7B7CB0"/>
    <w:rsid w:val="FE7DD4A8"/>
    <w:rsid w:val="FE7F476B"/>
    <w:rsid w:val="FE7FAECD"/>
    <w:rsid w:val="FEAC7370"/>
    <w:rsid w:val="FEAE9CE3"/>
    <w:rsid w:val="FEB93B9F"/>
    <w:rsid w:val="FEBD97DD"/>
    <w:rsid w:val="FEBFBCEB"/>
    <w:rsid w:val="FEC38066"/>
    <w:rsid w:val="FED57689"/>
    <w:rsid w:val="FED78BD1"/>
    <w:rsid w:val="FEDA6622"/>
    <w:rsid w:val="FEDB498C"/>
    <w:rsid w:val="FEDD18A4"/>
    <w:rsid w:val="FEDD1A25"/>
    <w:rsid w:val="FEDDD94B"/>
    <w:rsid w:val="FEDEF757"/>
    <w:rsid w:val="FEDF3A31"/>
    <w:rsid w:val="FEDF50CD"/>
    <w:rsid w:val="FEDF73C0"/>
    <w:rsid w:val="FEEA6AB5"/>
    <w:rsid w:val="FEF15B13"/>
    <w:rsid w:val="FEF25468"/>
    <w:rsid w:val="FEF2C5DD"/>
    <w:rsid w:val="FEF4D1C7"/>
    <w:rsid w:val="FEF71505"/>
    <w:rsid w:val="FEF80E6F"/>
    <w:rsid w:val="FEFB771D"/>
    <w:rsid w:val="FEFB859B"/>
    <w:rsid w:val="FEFBB443"/>
    <w:rsid w:val="FEFF2566"/>
    <w:rsid w:val="FEFF4BD5"/>
    <w:rsid w:val="FEFF53A2"/>
    <w:rsid w:val="FF18830E"/>
    <w:rsid w:val="FF1F1C87"/>
    <w:rsid w:val="FF2FCFA0"/>
    <w:rsid w:val="FF346AF8"/>
    <w:rsid w:val="FF46A45C"/>
    <w:rsid w:val="FF46B201"/>
    <w:rsid w:val="FF57F90C"/>
    <w:rsid w:val="FF5F1220"/>
    <w:rsid w:val="FF5F1CE9"/>
    <w:rsid w:val="FF6BB6D5"/>
    <w:rsid w:val="FF6DF476"/>
    <w:rsid w:val="FF6FD029"/>
    <w:rsid w:val="FF739FF2"/>
    <w:rsid w:val="FF770A30"/>
    <w:rsid w:val="FF7A15BC"/>
    <w:rsid w:val="FF7D6AAA"/>
    <w:rsid w:val="FF7DDA22"/>
    <w:rsid w:val="FF7E0CC2"/>
    <w:rsid w:val="FF7F33C0"/>
    <w:rsid w:val="FF7FBF71"/>
    <w:rsid w:val="FF7FC2C5"/>
    <w:rsid w:val="FF9DA73D"/>
    <w:rsid w:val="FFA77E25"/>
    <w:rsid w:val="FFA7996E"/>
    <w:rsid w:val="FFAF35F3"/>
    <w:rsid w:val="FFB66ACB"/>
    <w:rsid w:val="FFB6A12D"/>
    <w:rsid w:val="FFB76608"/>
    <w:rsid w:val="FFB95A19"/>
    <w:rsid w:val="FFBB677F"/>
    <w:rsid w:val="FFBDBD14"/>
    <w:rsid w:val="FFC7BB48"/>
    <w:rsid w:val="FFCE067E"/>
    <w:rsid w:val="FFCF2CAD"/>
    <w:rsid w:val="FFCFFAE9"/>
    <w:rsid w:val="FFD7BADC"/>
    <w:rsid w:val="FFD9E737"/>
    <w:rsid w:val="FFDACAA4"/>
    <w:rsid w:val="FFDB04F2"/>
    <w:rsid w:val="FFDB63D7"/>
    <w:rsid w:val="FFDBE295"/>
    <w:rsid w:val="FFDE8541"/>
    <w:rsid w:val="FFDEF09F"/>
    <w:rsid w:val="FFDF54A2"/>
    <w:rsid w:val="FFDF7796"/>
    <w:rsid w:val="FFDF90AB"/>
    <w:rsid w:val="FFDFFCA0"/>
    <w:rsid w:val="FFE62A73"/>
    <w:rsid w:val="FFE73899"/>
    <w:rsid w:val="FFE86C29"/>
    <w:rsid w:val="FFEEF9D5"/>
    <w:rsid w:val="FFEF3AA0"/>
    <w:rsid w:val="FFEF51E1"/>
    <w:rsid w:val="FFEF7F66"/>
    <w:rsid w:val="FFEFBB04"/>
    <w:rsid w:val="FFF233FE"/>
    <w:rsid w:val="FFF3DBEC"/>
    <w:rsid w:val="FFF3E60C"/>
    <w:rsid w:val="FFF70F8A"/>
    <w:rsid w:val="FFF79241"/>
    <w:rsid w:val="FFF7B52C"/>
    <w:rsid w:val="FFF7CA8A"/>
    <w:rsid w:val="FFF88313"/>
    <w:rsid w:val="FFF94909"/>
    <w:rsid w:val="FFF98EA3"/>
    <w:rsid w:val="FFFB6463"/>
    <w:rsid w:val="FFFB78C3"/>
    <w:rsid w:val="FFFBADC6"/>
    <w:rsid w:val="FFFC7256"/>
    <w:rsid w:val="FFFC936F"/>
    <w:rsid w:val="FFFCB26E"/>
    <w:rsid w:val="FFFD1CC6"/>
    <w:rsid w:val="FFFD7F4D"/>
    <w:rsid w:val="FFFE0039"/>
    <w:rsid w:val="FFFE81DD"/>
    <w:rsid w:val="FFFE9D90"/>
    <w:rsid w:val="FFFEA3F0"/>
    <w:rsid w:val="FFFEAC7B"/>
    <w:rsid w:val="FFFEB62D"/>
    <w:rsid w:val="FFFEDA27"/>
    <w:rsid w:val="FFFF03D6"/>
    <w:rsid w:val="FFFF04CF"/>
    <w:rsid w:val="FFFF4E3B"/>
    <w:rsid w:val="FFFF5471"/>
    <w:rsid w:val="FFFF69F7"/>
    <w:rsid w:val="FFFF6DF3"/>
    <w:rsid w:val="FFFF719B"/>
    <w:rsid w:val="FFFF804B"/>
    <w:rsid w:val="FFFFA257"/>
    <w:rsid w:val="FFFFC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itle"/>
    <w:basedOn w:val="1"/>
    <w:next w:val="1"/>
    <w:qFormat/>
    <w:uiPriority w:val="10"/>
    <w:pPr>
      <w:spacing w:before="240" w:after="60"/>
      <w:jc w:val="center"/>
      <w:outlineLvl w:val="0"/>
    </w:pPr>
    <w:rPr>
      <w:rFonts w:ascii="Cambria" w:hAnsi="Cambria" w:cs="Times New Roman"/>
      <w:b/>
      <w:bCs/>
      <w:sz w:val="32"/>
      <w:szCs w:val="32"/>
    </w:rPr>
  </w:style>
  <w:style w:type="paragraph" w:styleId="4">
    <w:name w:val="Date"/>
    <w:basedOn w:val="1"/>
    <w:next w:val="1"/>
    <w:qFormat/>
    <w:uiPriority w:val="0"/>
  </w:style>
  <w:style w:type="paragraph" w:styleId="5">
    <w:name w:val="Balloon Text"/>
    <w:basedOn w:val="1"/>
    <w:link w:val="18"/>
    <w:semiHidden/>
    <w:unhideWhenUsed/>
    <w:qFormat/>
    <w:uiPriority w:val="99"/>
    <w:rPr>
      <w:sz w:val="18"/>
      <w:szCs w:val="18"/>
    </w:rPr>
  </w:style>
  <w:style w:type="paragraph" w:styleId="6">
    <w:name w:val="footer"/>
    <w:basedOn w:val="1"/>
    <w:link w:val="16"/>
    <w:unhideWhenUsed/>
    <w:qFormat/>
    <w:uiPriority w:val="0"/>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0"/>
    <w:rPr>
      <w:rFonts w:ascii="Calibri" w:hAnsi="Calibri" w:eastAsia="宋体"/>
      <w:sz w:val="21"/>
    </w:rPr>
  </w:style>
  <w:style w:type="paragraph" w:styleId="9">
    <w:name w:val="Normal (Web)"/>
    <w:basedOn w:val="1"/>
    <w:unhideWhenUsed/>
    <w:qFormat/>
    <w:uiPriority w:val="99"/>
    <w:pPr>
      <w:spacing w:beforeAutospacing="1" w:afterAutospacing="1"/>
      <w:jc w:val="left"/>
    </w:pPr>
    <w:rPr>
      <w:kern w:val="0"/>
      <w:sz w:val="24"/>
    </w:rPr>
  </w:style>
  <w:style w:type="character" w:styleId="11">
    <w:name w:val="Strong"/>
    <w:basedOn w:val="10"/>
    <w:qFormat/>
    <w:uiPriority w:val="22"/>
    <w:rPr>
      <w:b/>
    </w:rPr>
  </w:style>
  <w:style w:type="character" w:styleId="12">
    <w:name w:val="page number"/>
    <w:basedOn w:val="10"/>
    <w:qFormat/>
    <w:uiPriority w:val="0"/>
  </w:style>
  <w:style w:type="paragraph" w:customStyle="1" w:styleId="14">
    <w:name w:val="_Style 5"/>
    <w:basedOn w:val="1"/>
    <w:qFormat/>
    <w:uiPriority w:val="0"/>
    <w:pPr>
      <w:widowControl/>
      <w:spacing w:after="160" w:line="240" w:lineRule="exact"/>
      <w:jc w:val="left"/>
    </w:pPr>
    <w:rPr>
      <w:rFonts w:ascii="Verdana" w:hAnsi="Verdana"/>
      <w:kern w:val="0"/>
      <w:sz w:val="20"/>
      <w:lang w:eastAsia="en-US"/>
    </w:rPr>
  </w:style>
  <w:style w:type="character" w:customStyle="1" w:styleId="15">
    <w:name w:val="页眉 字符"/>
    <w:basedOn w:val="10"/>
    <w:link w:val="7"/>
    <w:qFormat/>
    <w:uiPriority w:val="99"/>
    <w:rPr>
      <w:sz w:val="18"/>
      <w:szCs w:val="18"/>
    </w:rPr>
  </w:style>
  <w:style w:type="character" w:customStyle="1" w:styleId="16">
    <w:name w:val="页脚 字符"/>
    <w:basedOn w:val="10"/>
    <w:link w:val="6"/>
    <w:qFormat/>
    <w:uiPriority w:val="99"/>
    <w:rPr>
      <w:sz w:val="18"/>
      <w:szCs w:val="18"/>
    </w:rPr>
  </w:style>
  <w:style w:type="paragraph" w:styleId="17">
    <w:name w:val="List Paragraph"/>
    <w:basedOn w:val="1"/>
    <w:qFormat/>
    <w:uiPriority w:val="34"/>
    <w:pPr>
      <w:ind w:firstLine="420" w:firstLineChars="200"/>
    </w:pPr>
    <w:rPr>
      <w:rFonts w:ascii="Calibri" w:hAnsi="Calibri"/>
      <w:sz w:val="21"/>
      <w:szCs w:val="22"/>
    </w:rPr>
  </w:style>
  <w:style w:type="character" w:customStyle="1" w:styleId="18">
    <w:name w:val="批注框文本 字符"/>
    <w:basedOn w:val="10"/>
    <w:link w:val="5"/>
    <w:semiHidden/>
    <w:qFormat/>
    <w:uiPriority w:val="99"/>
    <w:rPr>
      <w:rFonts w:ascii="Times New Roman" w:hAnsi="Times New Roman" w:eastAsia="宋体" w:cs="Times New Roman"/>
      <w:sz w:val="18"/>
      <w:szCs w:val="18"/>
    </w:rPr>
  </w:style>
  <w:style w:type="character" w:customStyle="1" w:styleId="19">
    <w:name w:val="font161"/>
    <w:basedOn w:val="10"/>
    <w:qFormat/>
    <w:uiPriority w:val="0"/>
    <w:rPr>
      <w:rFonts w:hint="default" w:ascii="方正细等线简体" w:hAnsi="方正细等线简体" w:eastAsia="方正细等线简体" w:cs="方正细等线简体"/>
      <w:color w:val="FF0000"/>
      <w:sz w:val="16"/>
      <w:szCs w:val="16"/>
      <w:u w:val="none"/>
    </w:rPr>
  </w:style>
  <w:style w:type="character" w:customStyle="1" w:styleId="20">
    <w:name w:val="font101"/>
    <w:basedOn w:val="10"/>
    <w:qFormat/>
    <w:uiPriority w:val="0"/>
    <w:rPr>
      <w:rFonts w:hint="eastAsia" w:ascii="宋体" w:hAnsi="宋体" w:eastAsia="宋体" w:cs="宋体"/>
      <w:color w:val="FF0000"/>
      <w:sz w:val="16"/>
      <w:szCs w:val="16"/>
      <w:u w:val="none"/>
    </w:rPr>
  </w:style>
  <w:style w:type="character" w:customStyle="1" w:styleId="21">
    <w:name w:val="font11"/>
    <w:basedOn w:val="10"/>
    <w:qFormat/>
    <w:uiPriority w:val="0"/>
    <w:rPr>
      <w:rFonts w:hint="eastAsia" w:ascii="宋体" w:hAnsi="宋体" w:eastAsia="宋体" w:cs="宋体"/>
      <w:color w:val="000000"/>
      <w:sz w:val="16"/>
      <w:szCs w:val="16"/>
      <w:u w:val="none"/>
    </w:rPr>
  </w:style>
  <w:style w:type="character" w:customStyle="1" w:styleId="22">
    <w:name w:val="font121"/>
    <w:basedOn w:val="10"/>
    <w:qFormat/>
    <w:uiPriority w:val="0"/>
    <w:rPr>
      <w:rFonts w:hint="eastAsia" w:ascii="宋体" w:hAnsi="宋体" w:eastAsia="宋体" w:cs="宋体"/>
      <w:color w:val="000000"/>
      <w:sz w:val="16"/>
      <w:szCs w:val="16"/>
      <w:u w:val="none"/>
    </w:rPr>
  </w:style>
  <w:style w:type="character" w:customStyle="1" w:styleId="23">
    <w:name w:val="font112"/>
    <w:basedOn w:val="10"/>
    <w:qFormat/>
    <w:uiPriority w:val="0"/>
    <w:rPr>
      <w:rFonts w:hint="eastAsia" w:ascii="宋体" w:hAnsi="宋体" w:eastAsia="宋体" w:cs="宋体"/>
      <w:color w:val="FF0000"/>
      <w:sz w:val="18"/>
      <w:szCs w:val="18"/>
      <w:u w:val="none"/>
    </w:rPr>
  </w:style>
  <w:style w:type="character" w:customStyle="1" w:styleId="24">
    <w:name w:val="font01"/>
    <w:basedOn w:val="10"/>
    <w:qFormat/>
    <w:uiPriority w:val="0"/>
    <w:rPr>
      <w:rFonts w:hint="eastAsia" w:ascii="宋体" w:hAnsi="宋体" w:eastAsia="宋体" w:cs="宋体"/>
      <w:color w:val="000000"/>
      <w:sz w:val="16"/>
      <w:szCs w:val="16"/>
      <w:u w:val="none"/>
    </w:rPr>
  </w:style>
  <w:style w:type="character" w:customStyle="1" w:styleId="25">
    <w:name w:val="font51"/>
    <w:basedOn w:val="10"/>
    <w:qFormat/>
    <w:uiPriority w:val="0"/>
    <w:rPr>
      <w:rFonts w:hint="eastAsia" w:ascii="宋体" w:hAnsi="宋体" w:eastAsia="宋体" w:cs="宋体"/>
      <w:color w:val="000000"/>
      <w:sz w:val="16"/>
      <w:szCs w:val="16"/>
      <w:u w:val="none"/>
    </w:rPr>
  </w:style>
  <w:style w:type="character" w:customStyle="1" w:styleId="26">
    <w:name w:val="font61"/>
    <w:basedOn w:val="10"/>
    <w:qFormat/>
    <w:uiPriority w:val="0"/>
    <w:rPr>
      <w:rFonts w:hint="eastAsia" w:ascii="宋体" w:hAnsi="宋体" w:eastAsia="宋体" w:cs="宋体"/>
      <w:color w:val="000000"/>
      <w:sz w:val="18"/>
      <w:szCs w:val="18"/>
      <w:u w:val="none"/>
    </w:rPr>
  </w:style>
  <w:style w:type="character" w:customStyle="1" w:styleId="27">
    <w:name w:val="font41"/>
    <w:basedOn w:val="10"/>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8FAFD"/>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91</Pages>
  <Words>78266</Words>
  <Characters>89569</Characters>
  <Lines>31</Lines>
  <Paragraphs>8</Paragraphs>
  <TotalTime>144</TotalTime>
  <ScaleCrop>false</ScaleCrop>
  <LinksUpToDate>false</LinksUpToDate>
  <CharactersWithSpaces>89700</CharactersWithSpaces>
  <Application>WPS Office_10.8.0.7178_F1E327BC-269C-435d-A152-05C5408002CA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2020-10-08T00:43:00Z</dcterms:created>
  <dc:creator>Sky123.Org</dc:creator>
  <cp:lastModifiedBy>user</cp:lastModifiedBy>
  <cp:lastPrinted>2025-07-23T11:44:00Z</cp:lastPrinted>
  <dcterms:modified xsi:type="dcterms:W3CDTF">2025-07-25T16:45:59Z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2052-10.8.0.7178</vt:lpwstr>
  </property>
</Properties>
</file>