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autoSpaceDN/>
        <w:bidi w:val="0"/>
        <w:adjustRightInd w:val="0"/>
        <w:snapToGrid w:val="0"/>
        <w:spacing w:after="200" w:line="560" w:lineRule="exact"/>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附件1   常德市泌尿系统透析类医疗服务价格项目表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使用说明：</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以泌尿系统为重点，按照泌尿系统诊查、治疗、手术相关主要环节的服务产出设立医疗服务价格项目。所定价格属于政府指导价为最高限价，下浮不限；同时，医疗机构、医务人员实施透析过程中有关创新改良，采取“现有项目兼容”的方式简化处理，无需申报新增医疗服务价格项目，直接按照对应的整合项目执行即可。价格政策与《全国医疗服务价格规范》不一致时，医疗机构收费依据应以当地价格政策为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价格构成”，指项目价格应涵盖的各类资源消耗，用于确定计价单元的边界，是市级医疗保障部门制定调整项目价格考虑的测算因子，不应作为临床技术标准理解，不是实际操作方式、路径、步骤、程序的强制性要求，价格构成中包含但临床实践中非必要、未发生的，无需强制要求公立医疗机构减计费用。所列“设备投入”包括但不限于操作设备、器具及固定资产投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3.“加收项”，指同一项目以不同方式提供或在不同场景应用时，确有必要制定差异化收费标准而细分的一类子项，实际应用中，同时涉及多个加收项的，以项目单价为基础计算相应的加/减收水平后，据实收费。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4.“扩展项”，指同一项目下以不同方式提供或在不同场景应用时，只扩展价格项目适用范围、不额外加价的一类子项，子项的价格按主项目执行。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基本物耗”指原则上限于不应或不必要与医疗服务项目分割的易耗品，包括但不限于各类消杀灭菌用品、储存用品、清洁用品、个人防护用品、垃圾处理用品、滑石粉、标签、防渗漏垫、中单、护（尿）垫、棉球、棉签、纱布（垫）、治疗护理盘（包）、治疗巾（单）、手术巾（单）、手术包、普通注射器、可复用的操作器具、冲洗工具、报告打印耗材、碘伏帽、肝素帽、血透置换液（成品或自制）、血透透析液、软件（版权、开发、购买）成本等。基本物耗成本计入项目价格，不另行收费。除基本物耗以外的其他耗材，按照实际采购价格零差率销售。患者居家腹透，所需的碘伏帽、透析液等药品耗材，医疗机构可按零差率要求单独收费，无需捆绑价格项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6.涉及“复杂”等内涵未尽的表述，除立项指南中已明确的情形外，医院实践中按照“复杂”情形计费的，应以国家级技术规范、临床指南或专家共识中的明确定性为前提，下同。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7.价格构成中所称的“穿刺”为主项操作涉及的必要穿刺步骤。</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8.涉及“包括……”“…… 等”的，属于开放型表述，所指对象不仅局限于表述中列明的事项，也包括未列明的同类事项。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9.手术项目若需病理取样，地方定价时应考虑在原项目的价格构成中包含标本的留取和送检。</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10.未尽事项，可在辅助操作类等其他立项指南中单独列示，各地医保部门可暂按现行价格项目收费。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11.价格项目可应用人工智能辅助进行的，可直接按主项目收费，不同时收费。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腹膜透析操作训练费”是指患者在医疗机构院内当面接受专业人员医学指导的情况；患者居家，请医疗机构派专业人员上门提供医学指导的情况，医疗机构在收取“腹膜透析操作训练费”费用的同时，可据实加收“上门服务费”。医疗机构以录播视频、音频等方式提供非实时的医学指导，不得收取“居家腹膜透析操作训练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13.手术类项目服务对象为儿童时，统一按主项目价格的30%核定加收项价格（以下简称“儿童加收”）。手术类项目的具体范围以《全国医疗服务项目技术规范》的分类为准，对于同时映射技术规范中的手术类项目和治疗类项目的主项目，按手术类落实儿童加收政策；其他非手术类项目实行儿童加收范围，以加收项为准。所称的“儿童”，指6周岁及以下，周岁的计算方法以法律的相关规定为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28"/>
          <w:szCs w:val="28"/>
          <w:u w:val="single"/>
          <w:lang w:val="en-US" w:eastAsia="zh-CN"/>
        </w:rPr>
        <w:sectPr>
          <w:pgSz w:w="11906" w:h="16838"/>
          <w:pgMar w:top="1440" w:right="1800" w:bottom="1440" w:left="1800" w:header="708" w:footer="708" w:gutter="0"/>
          <w:cols w:space="708" w:num="1"/>
          <w:docGrid w:linePitch="360" w:charSpace="0"/>
        </w:sectPr>
      </w:pPr>
    </w:p>
    <w:tbl>
      <w:tblPr>
        <w:tblStyle w:val="2"/>
        <w:tblW w:w="15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1419"/>
        <w:gridCol w:w="1350"/>
        <w:gridCol w:w="2073"/>
        <w:gridCol w:w="2715"/>
        <w:gridCol w:w="712"/>
        <w:gridCol w:w="713"/>
        <w:gridCol w:w="662"/>
        <w:gridCol w:w="825"/>
        <w:gridCol w:w="1013"/>
        <w:gridCol w:w="2125"/>
        <w:gridCol w:w="575"/>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项目代码</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服务产出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价格构成</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市一类价格（元）</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市二类价格（元）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市三类、基层价格（元）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紧密型县域医共体价格（元）</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计价说明</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支付分类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血液透析费</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通过弥散和对流原理清除血液中过多水分和有害物质。</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所定价格涵盖消毒、穿刺、安装设定、连接管路、监测、血液回输、加压止血、封管、处理用物等步骤所需的人力资源和基本物质资源消耗。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347</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314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281</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297</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Style w:val="4"/>
                <w:sz w:val="16"/>
                <w:szCs w:val="16"/>
                <w:lang w:val="en-US" w:eastAsia="zh-CN" w:bidi="ar"/>
              </w:rPr>
              <w:t>1.本项目中的“监测”指：血温、血压、在线清除率、血容量监测，医院未完成全部四项监测事项的，每少完成一项减收5元。</w:t>
            </w:r>
            <w:r>
              <w:rPr>
                <w:rStyle w:val="5"/>
                <w:sz w:val="16"/>
                <w:szCs w:val="16"/>
                <w:lang w:val="en-US" w:eastAsia="zh-CN" w:bidi="ar"/>
              </w:rPr>
              <w:t>2.我市单次服务与耗材总费用</w:t>
            </w:r>
            <w:r>
              <w:rPr>
                <w:rFonts w:hint="eastAsia" w:ascii="宋体" w:hAnsi="宋体" w:eastAsia="宋体" w:cs="宋体"/>
                <w:sz w:val="16"/>
                <w:szCs w:val="16"/>
                <w:lang w:val="en-US" w:eastAsia="zh-CN"/>
              </w:rPr>
              <w:t>一类价格不超过407  元，二类价格不超过374元，三类价格、基层价格不超过341元，紧密型县域医共体价格不超过357元。</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013110000020000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血液滤过费</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通过对流原理清除血液中过多水分和有害物质。</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所定价格涵盖消毒、穿刺、建立通路、抗凝处理、连接管路、补充置换液、清除毒素及水分、监测、封管、处理用物等步骤所需的人力资源和基本物质资源消耗。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368</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298</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315</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本项目中的“监测”指：血温、血压、在线清除率、血容量监测，医院未完成全部四项监测事项的，每少完成一项减收5元。</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013110000030000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血液透析滤过费</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通过同时进行血液透析和血液滤过清除血液中过多水分和有害物质。</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所定价格涵盖消毒、穿刺、建立通路、连接管路、参数设置、清除毒素及水分滤过、监测、封管、处理用物等步骤所需的人力资源和基本物质资源消耗。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567</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459</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486</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本项目中的“监测”指：血温、血压、在线清除率、血容量监测，医院未完成全部四项监测事项的，每少完成一项减收5元。</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9"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013110000040000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血液灌流费</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通过吸附原理‌直接结合血液中的中大分子及蛋白结合毒素。</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所定价格涵盖消毒、穿刺、建立通路、连接管路、参数设置、血液灌流、回输、封管、处理用物等步骤所需的人力资源和基本物质资源消耗。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494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447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400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423</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013110000050000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血液透析灌流费</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通过同时进行血液透析和血液灌流清除血液中过多水分和有害物质。</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所定价格涵盖消毒、穿刺、建立通路、连接管路、参数设置、透析灌流、监测、封管、处理用物等步骤所需的人力资源和基本物质资源消耗。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725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656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587</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621</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本项目中的“监测”指：血温、血压、在线清除率、血容量监测，医院未完成全部四项监测事项的，每少完成一项减收5元。</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7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013110000060000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血浆置换费</w:t>
            </w:r>
          </w:p>
        </w:tc>
        <w:tc>
          <w:tcPr>
            <w:tcW w:w="20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分离血浆、用置换液置换含有有害物质的血浆。</w:t>
            </w:r>
          </w:p>
        </w:tc>
        <w:tc>
          <w:tcPr>
            <w:tcW w:w="27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所定价格涵盖消毒、穿刺、连接管路、血浆分离置换、回输、去除装置、处理用物等步骤所需的人力资源和基本物质资源消耗。</w:t>
            </w:r>
          </w:p>
        </w:tc>
        <w:tc>
          <w:tcPr>
            <w:tcW w:w="71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1586</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1435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1284</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1359</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67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013110000060001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双重血浆置换 （加收）</w:t>
            </w:r>
          </w:p>
        </w:tc>
        <w:tc>
          <w:tcPr>
            <w:tcW w:w="207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i w:val="0"/>
                <w:color w:val="000000"/>
                <w:kern w:val="0"/>
                <w:sz w:val="16"/>
                <w:szCs w:val="16"/>
                <w:u w:val="none"/>
                <w:lang w:val="en-US" w:eastAsia="zh-CN" w:bidi="ar"/>
              </w:rPr>
            </w:pPr>
          </w:p>
        </w:tc>
        <w:tc>
          <w:tcPr>
            <w:tcW w:w="27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i w:val="0"/>
                <w:color w:val="000000"/>
                <w:kern w:val="0"/>
                <w:sz w:val="16"/>
                <w:szCs w:val="16"/>
                <w:u w:val="none"/>
                <w:lang w:val="en-US" w:eastAsia="zh-CN" w:bidi="ar"/>
              </w:rPr>
            </w:pPr>
          </w:p>
        </w:tc>
        <w:tc>
          <w:tcPr>
            <w:tcW w:w="71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326</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264</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279</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013110000070000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血浆吸附费</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分离血浆，利用吸附原理清除血浆中特定有害物质。</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所定价格涵盖消毒、穿刺、连接管路、分离血浆、吸附清除致病物质、血细胞混合、回输、去除装置、处理用物等步骤所需的人力资源和基本物质资源消耗。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567</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459</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486</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7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013110000080000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连续性肾脏替代治疗费</w:t>
            </w:r>
          </w:p>
        </w:tc>
        <w:tc>
          <w:tcPr>
            <w:tcW w:w="207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通过血液净化实现连续肾脏替代治疗和多脏器功能衰竭的生命支持治疗。</w:t>
            </w:r>
          </w:p>
        </w:tc>
        <w:tc>
          <w:tcPr>
            <w:tcW w:w="27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所定价格涵盖消毒、穿刺、连接管路、上机、血液净化、体外抗凝、回输、去除装置、处理用物等步骤所需的人力资源和基本物质资源消耗。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小时</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105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85</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90</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trPr>
        <w:tc>
          <w:tcPr>
            <w:tcW w:w="67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013110000080001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连续性血浆吸附滤过治疗（加收）</w:t>
            </w:r>
          </w:p>
        </w:tc>
        <w:tc>
          <w:tcPr>
            <w:tcW w:w="207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271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小时</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38</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31</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32</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项目代码</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项目名称</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服务产出</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价格构成</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计价单位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市一类价格（元）</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市二类价格（元）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市三类、基层价格（元）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紧密型县域医共体价格（元）</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计价说明</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支付分类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8"/>
                <w:szCs w:val="18"/>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013110000090000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腹膜透析费（人工）</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通过人工进行肾脏替代治疗，清除毒素和/或水分。</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所定价格涵盖操作前准备、透析管连接、注入透析液、引流液收集、记录等步骤所需的人力资源和基本物质资源消耗。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19</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15</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16</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013110000100000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腹膜透析费（自动）</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通过设备进行肾脏替代治疗，清除毒素和/或水分。</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所定价格涵盖设备准备、透析管连接、设备运行、引流液收集、记录等步骤所需的人力资源和基本物质资源消耗。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小时</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9.5</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8.6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7.7</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8</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013110000110000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腹膜透析操作训练费</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由医疗机构提供腹膜透析治疗的相关操作训练和指导，使患者具备自我操作腹膜透析和疾病自我管理的能力。</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所定价格涵盖医务人员对患者及照顾者进行培训，使其掌握家庭腹膜透析技能所需的人力资源和基本物质资源消耗。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小时</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57</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46</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49</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超过5小时按5小时收取。</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013110000120000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腹膜透析延伸服务费</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通过各种方式向在院外进行腹膜透析治疗的患者提供沟通、评估及指导等医学服务。</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所定价格涵盖医务人员对患者进行沟通、评估及指导等所需的人力资源和基本物质资源消耗。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月</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189</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171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153</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162</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完成延伸服务不少于5次。</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013110000130000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透析管路处理费</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溶解透析管路内栓塞物，恢复透析管路通畅。</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所定价格涵盖消毒、反复溶栓药物注射、留置、抽取、封管、处理用物等步骤所需的人力资源和基本物质资源消耗。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116</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105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94</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99</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013110000140000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腹膜透析外管更换费</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通过各种方式更换腹膜透析外接短管。</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所定价格涵盖消毒、更换管路、封管、处理用物等步骤所需的人力资源和基本物质资源消耗。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38</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31</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32</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013110000150000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腹膜平衡试验费</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对腹膜功能进行检测，调整腹膜透析方案。</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所定价格涵盖腹透换液、留取标本、测量、计算、出具方案、处理用物等步骤所需的人力资源和基本物质资源消耗。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28</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23</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24</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16</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013311000010000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腹膜透析置管费</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通过各种方式放置腹膜透析导管。</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所定价格涵盖消毒、切开、穿刺或分离、置管、试水通畅、缝合、处理用物等步骤所需的人力资源和基本物质资源消耗。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360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320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013311000010001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腹膜透析置管费-儿童（加收）</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通过各种方式放置腹膜透析导管。</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所定价格涵盖消毒、切开、穿刺或分离、置管、试水通畅、缝合、处理用物等步骤所需的人力资源和基本物质资源消耗。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120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108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96</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default" w:ascii="宋体" w:hAnsi="宋体" w:eastAsia="宋体" w:cs="宋体"/>
                <w:b/>
                <w:i w:val="0"/>
                <w:color w:val="000000"/>
                <w:kern w:val="0"/>
                <w:sz w:val="20"/>
                <w:szCs w:val="20"/>
                <w:u w:val="none"/>
                <w:lang w:val="en-US" w:eastAsia="zh-CN" w:bidi="ar"/>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项目代码</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项目名称</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服务产出</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价格构成</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计价单位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市一类价格（元）</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市二类价格（元）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市三类、基层价格（元）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紧密型县域医共体价格（元）</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计价说明</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支付分类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自付比例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17</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013311000020000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腹膜透析换管费</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更换破损、堵塞、移位的腹膜透析导管。</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所定价格涵盖消毒、切开、拔除旧管、原位置入新管、试水通畅、缝合、处理用物等步骤所需的人力资源和基本物质资源消耗。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520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470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420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不与“腹膜透析置管费”“腹膜透析导管取出费”“腹膜透析导管感染清创费”同时收取。</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16"/>
                <w:szCs w:val="16"/>
                <w:u w:val="none"/>
                <w:lang w:val="en-US" w:eastAsia="zh-CN" w:bidi="ar"/>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013311000020001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腹膜透析换管费-儿童（加收）</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更换破损、堵塞、移位的腹膜透析导管。</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所定价格涵盖消毒、切开、拔除旧管、原位置入新管、试水通畅、缝合、处理用物等步骤所需的人力资源和基本物质资源消耗。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156</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141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126</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不与“腹膜透析置管费”“腹膜透析导管取出费”“腹膜透析导管感染清创费”同时收取。</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013110000160000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腹膜透析导管复位费（导丝复位）</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通过导丝调整复位移位的腹膜透析导管，恢复导管功能。</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所定价格涵盖消毒、修复、调整管路、试水通畅等步骤所需的人力资源和基本物质资源消耗。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284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257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230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243</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不与“腹膜透析导管复位费（手术复位）”同时收取。</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19</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013311000030000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腹膜透析导管复位费（手术复位）</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通过手术调整复位移位的腹膜透析导管，恢复导管功能。</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所定价格涵盖消毒、修复、调整管路、试水通畅、缝合及必要时使用导丝调整、处理用物等步骤所需的人力资源和基本物质资源消耗。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520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470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420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不与“腹膜透析导管复位费（导丝复位）”同时收取。</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16"/>
                <w:szCs w:val="16"/>
                <w:u w:val="none"/>
                <w:lang w:val="en-US" w:eastAsia="zh-CN" w:bidi="ar"/>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013311000030001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腹膜透析导管复位费（手术复位）-儿童（加收）</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通过手术调整复位移位的腹膜透析导管，恢复导管功能。</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所定价格涵盖消毒、修复、调整管路、试水通畅、缝合及必要时使用导丝调整、处理用物等步骤所需的人力资源和基本物质资源消耗。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156</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141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126</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不与“腹膜透析导管复位费（导丝复位）”同时收取。</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013110000170000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腹膜透析导管取出费</w:t>
            </w:r>
          </w:p>
        </w:tc>
        <w:tc>
          <w:tcPr>
            <w:tcW w:w="20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通过各种方式取出腹膜透析导管。</w:t>
            </w:r>
          </w:p>
        </w:tc>
        <w:tc>
          <w:tcPr>
            <w:tcW w:w="2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所定价格涵盖消毒、切开、分离、拔管、缝合等步骤所需的人力资源和基本物质资源消耗。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189</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171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153</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162</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宋体" w:hAnsi="宋体" w:eastAsia="宋体" w:cs="宋体"/>
                <w:b/>
                <w:i w:val="0"/>
                <w:color w:val="000000"/>
                <w:kern w:val="0"/>
                <w:sz w:val="16"/>
                <w:szCs w:val="16"/>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6" w:hRule="atLeast"/>
        </w:trPr>
        <w:tc>
          <w:tcPr>
            <w:tcW w:w="67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013110000180000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腹膜透析导管感染清创费</w:t>
            </w:r>
          </w:p>
        </w:tc>
        <w:tc>
          <w:tcPr>
            <w:tcW w:w="20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清除感染的腹膜透析导管外涤纶套。</w:t>
            </w:r>
          </w:p>
        </w:tc>
        <w:tc>
          <w:tcPr>
            <w:tcW w:w="27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所定价格涵盖消毒、切开、游离、清除涤纶套、缝合及必要时更换管路、处理用物等步骤所需的人力资源和基本物质资源消耗。</w:t>
            </w:r>
          </w:p>
        </w:tc>
        <w:tc>
          <w:tcPr>
            <w:tcW w:w="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284</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257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230</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80" w:line="20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243</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不与“腹膜透析换管费”同时收取。</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乙类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bl>
    <w:p>
      <w:pPr>
        <w:keepNext w:val="0"/>
        <w:keepLines w:val="0"/>
        <w:pageBreakBefore w:val="0"/>
        <w:numPr>
          <w:ilvl w:val="0"/>
          <w:numId w:val="0"/>
        </w:numPr>
        <w:kinsoku/>
        <w:overflowPunct/>
        <w:topLinePunct w:val="0"/>
        <w:autoSpaceDE/>
        <w:autoSpaceDN/>
        <w:bidi w:val="0"/>
        <w:adjustRightInd w:val="0"/>
        <w:snapToGrid w:val="0"/>
        <w:spacing w:after="20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overflowPunct/>
        <w:topLinePunct w:val="0"/>
        <w:autoSpaceDE/>
        <w:autoSpaceDN/>
        <w:bidi w:val="0"/>
        <w:adjustRightInd w:val="0"/>
        <w:snapToGrid w:val="0"/>
        <w:spacing w:after="20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overflowPunct/>
        <w:topLinePunct w:val="0"/>
        <w:autoSpaceDE/>
        <w:autoSpaceDN/>
        <w:bidi w:val="0"/>
        <w:adjustRightInd w:val="0"/>
        <w:snapToGrid w:val="0"/>
        <w:spacing w:after="20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overflowPunct/>
        <w:topLinePunct w:val="0"/>
        <w:autoSpaceDE/>
        <w:autoSpaceDN/>
        <w:bidi w:val="0"/>
        <w:adjustRightInd w:val="0"/>
        <w:snapToGrid w:val="0"/>
        <w:spacing w:after="200" w:line="560" w:lineRule="exact"/>
        <w:jc w:val="center"/>
        <w:textAlignment w:val="auto"/>
        <w:rPr>
          <w:rFonts w:hint="eastAsia" w:ascii="仿宋_GB2312" w:hAnsi="仿宋_GB2312" w:eastAsia="仿宋_GB2312" w:cs="仿宋_GB2312"/>
          <w:sz w:val="32"/>
          <w:szCs w:val="32"/>
          <w:lang w:val="en-US" w:eastAsia="zh-CN"/>
        </w:rPr>
        <w:sectPr>
          <w:pgSz w:w="16838" w:h="11906" w:orient="landscape"/>
          <w:pgMar w:top="720" w:right="720" w:bottom="720" w:left="720" w:header="708" w:footer="708" w:gutter="0"/>
          <w:cols w:space="708" w:num="1"/>
          <w:docGrid w:linePitch="360" w:charSpace="0"/>
        </w:sectPr>
      </w:pPr>
    </w:p>
    <w:p>
      <w:pPr>
        <w:spacing w:line="220" w:lineRule="atLeast"/>
        <w:jc w:val="left"/>
        <w:rPr>
          <w:rFonts w:hint="eastAsia" w:ascii="仿宋_GB2312" w:hAnsi="仿宋_GB2312" w:eastAsia="仿宋_GB2312" w:cs="仿宋_GB2312"/>
          <w:sz w:val="32"/>
          <w:szCs w:val="32"/>
          <w:lang w:eastAsia="zh-CN"/>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4D0F62"/>
    <w:rsid w:val="005F299E"/>
    <w:rsid w:val="008B7726"/>
    <w:rsid w:val="00D31D50"/>
    <w:rsid w:val="03837315"/>
    <w:rsid w:val="0C3D18BF"/>
    <w:rsid w:val="0E3B22EF"/>
    <w:rsid w:val="0F4B0C48"/>
    <w:rsid w:val="0FE771A7"/>
    <w:rsid w:val="1470144D"/>
    <w:rsid w:val="16B312BD"/>
    <w:rsid w:val="17010579"/>
    <w:rsid w:val="18C05020"/>
    <w:rsid w:val="1A0B5829"/>
    <w:rsid w:val="244F4735"/>
    <w:rsid w:val="29DF1B36"/>
    <w:rsid w:val="2ABB4BDB"/>
    <w:rsid w:val="327620E0"/>
    <w:rsid w:val="34DA344A"/>
    <w:rsid w:val="3C214B03"/>
    <w:rsid w:val="3CC77F01"/>
    <w:rsid w:val="3D3606D0"/>
    <w:rsid w:val="3E2E576A"/>
    <w:rsid w:val="4ADD473E"/>
    <w:rsid w:val="52B741B4"/>
    <w:rsid w:val="59F24623"/>
    <w:rsid w:val="5E3F4B6C"/>
    <w:rsid w:val="649D76C2"/>
    <w:rsid w:val="67915247"/>
    <w:rsid w:val="6FB666E0"/>
    <w:rsid w:val="73716B85"/>
    <w:rsid w:val="750774B6"/>
    <w:rsid w:val="75386077"/>
    <w:rsid w:val="75EB4796"/>
    <w:rsid w:val="7A3C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0"/>
      <w:szCs w:val="20"/>
      <w:u w:val="none"/>
    </w:rPr>
  </w:style>
  <w:style w:type="character" w:customStyle="1" w:styleId="5">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2025-07-09T00:40:00Z</cp:lastPrinted>
  <dcterms:modified xsi:type="dcterms:W3CDTF">2025-07-22T09:29:05Z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