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E07D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关于规范产科类等8批医疗服务项目价格及专项调价的通知（征求意见稿）起草说明</w:t>
      </w:r>
    </w:p>
    <w:p w14:paraId="3BD6B23C">
      <w:pP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p w14:paraId="24B767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一、起草背景和过程</w:t>
      </w:r>
    </w:p>
    <w:p w14:paraId="454A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为规范医疗服务价格项目，构建内涵边界清晰、适应临床诊疗、便于评价监管的价格项目体系，按照《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云南省医疗保障局关于印发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医疗服务价格项目立项指南落地专项行动实施方案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〉的通知》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《云南省医疗保障局 云南省卫生健康委员会关于规范产科类等7批医疗服务项目价格及医保支付政策的通知》（云医保〔2025〕21号）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及省医疗保障局关于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规范放射检查类医疗服务项目价格治理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有关要求，对整合规范后的产科类、临床量表评估类、护理类、器官移植类、中医外治类、中医针法类、中医类（灸法、拔罐、推拿）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、放射检查8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批医疗服务价格项目，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玉溪市公立医院高质量发展需要，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开展价格调查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，充分征求有关部门、医疗机构意见，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修订调整部分医疗服务项目价格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拟定全市基准价（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玉溪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市公立医疗卫生机构最高限价）。同时按照医疗服务价格规范治理的工作安排，同步调整“微量血糖测定”等项目价格，起草形成《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关于规范产科类等8批医疗服务项目价格及专项调价的通知（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 w14:paraId="158B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二、主要内容</w:t>
      </w:r>
    </w:p>
    <w:p w14:paraId="72155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（一）对省级整合规范并制定出台省级基准价的产科类、临床量表评估类、护理类、器官移植类、中医外治类、中医针法类、中医类（灸法、拔罐、推拿）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、放射检查8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批医疗服务项目，按照价格管理权限，结合我市医保基金运行情况，制定全市基准价（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玉溪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市公立医疗卫生机构最高限价），同步终止“营养风险测评”等相关医疗服务价格项目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5C12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（二）为服务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玉溪市公立医院高质量发展需要，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下调检查、血液化验为主的项目200个医疗服务项目价格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194C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）调整降低“微量血糖测定”等4项检验类医疗服务项目价格，完善“糖化血红蛋白测定”计价单位，并调整最高限价标准；同步修订“B型钠尿肽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BNP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测定”“B型钠尿肽前体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PRO-BNP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测定”计价单位及项目内涵。</w:t>
      </w:r>
    </w:p>
    <w:p w14:paraId="18A30B8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医保支付类别（甲类、乙类、丙类）及限定支付范围执行省级规定。</w:t>
      </w:r>
    </w:p>
    <w:p w14:paraId="3B35FD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1680"/>
    <w:rsid w:val="30C41819"/>
    <w:rsid w:val="596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796</Characters>
  <Lines>0</Lines>
  <Paragraphs>0</Paragraphs>
  <TotalTime>7</TotalTime>
  <ScaleCrop>false</ScaleCrop>
  <LinksUpToDate>false</LinksUpToDate>
  <CharactersWithSpaces>797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2025-06-25T03:19:00Z</dcterms:created>
  <dc:creator>Administrator</dc:creator>
  <cp:lastModifiedBy>身未动，心已远</cp:lastModifiedBy>
  <dcterms:modified xsi:type="dcterms:W3CDTF">2025-06-25T08:18:41Z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eyJoZGlkIjoiZWFkNjZhM2FkYTcwYTg5YmE2NTMzZDBmMmIzMzMxZTYiLCJ1c2VySWQiOiI3MDMxNDc0MjAifQ==</vt:lpwstr>
  </property>
  <property fmtid="{D5CDD505-2E9C-101B-9397-08002B2CF9AE}" pid="4" name="ICV">
    <vt:lpwstr>F06534B3F4F44A9489FFE9DCDE3DBFA3_12</vt:lpwstr>
  </property>
</Properties>
</file>