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 w:bidi="ar-SA"/>
        </w:rPr>
        <w:t>附件</w:t>
      </w:r>
    </w:p>
    <w:p>
      <w:pPr>
        <w:jc w:val="center"/>
        <w:rPr>
          <w:rFonts w:hint="eastAsia" w:ascii="方正仿宋_GBK" w:eastAsia="方正仿宋_GBK" w:cs="方正仿宋_GBK"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 w:bidi="ar-SA"/>
        </w:rPr>
        <w:t>巴中市202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 w:bidi="ar-SA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 w:bidi="ar-SA"/>
        </w:rPr>
        <w:t>年第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 w:bidi="ar-SA"/>
        </w:rPr>
        <w:t>一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 w:bidi="ar-SA"/>
        </w:rPr>
        <w:t>批新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 w:bidi="ar-SA"/>
        </w:rPr>
        <w:t>开展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 w:bidi="ar-SA"/>
        </w:rPr>
        <w:t>医疗服务项目价格标准及医保报销类别表</w:t>
      </w:r>
    </w:p>
    <w:tbl>
      <w:tblPr>
        <w:tblStyle w:val="6"/>
        <w:tblW w:w="14676" w:type="dxa"/>
        <w:jc w:val="center"/>
        <w:tblInd w:w="-3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364"/>
        <w:gridCol w:w="2051"/>
        <w:gridCol w:w="3663"/>
        <w:gridCol w:w="537"/>
        <w:gridCol w:w="491"/>
        <w:gridCol w:w="2758"/>
        <w:gridCol w:w="509"/>
        <w:gridCol w:w="509"/>
        <w:gridCol w:w="611"/>
        <w:gridCol w:w="611"/>
        <w:gridCol w:w="618"/>
        <w:gridCol w:w="5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Header/>
          <w:jc w:val="center"/>
        </w:trPr>
        <w:tc>
          <w:tcPr>
            <w:tcW w:w="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</w:t>
            </w:r>
            <w:r>
              <w:rPr>
                <w:rStyle w:val="7"/>
                <w:rFonts w:hint="eastAsia" w:ascii="方正黑体_GBK" w:eastAsia="方正黑体_GBK" w:cs="方正黑体_GBK"/>
                <w:b w:val="0"/>
                <w:bCs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方正黑体_GBK" w:eastAsia="方正黑体_GBK" w:cs="方正黑体_GBK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28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价格标准</w:t>
            </w:r>
          </w:p>
        </w:tc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报销类别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Header/>
          <w:jc w:val="center"/>
        </w:trPr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三乙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二乙以下</w:t>
            </w: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110200011-1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药学门诊诊查费（普通门诊诊查费）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符合规定资质具有中级专业技术职务任职资格并从事临床药学工作3年及以上的药师，在门诊固定场所为患者提供单独直接的药物治疗既往史记录,开展用药指导、干预或提出用药意见，并书写记录。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限三级公立医疗机构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110200011-2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药学门诊诊查费（专家门诊诊查费—副主任药师）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符合规定资质并从事临床药学工作3年及以上的副主任药师，在门诊固定场所为患者提供单独直接的药物治疗既往史记录,开展用药指导、干预或提出用药意见，并书写记录。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限三级公立医疗机构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110200011-3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药学门诊诊查费（专家门诊诊查费—主任药师）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符合规定资质并从事临床药学工作3年及以上的主任药师，在门诊固定场所为患者提供单独直接的药物治疗既往史记录,开展用药指导、干预或提出用药意见，并书写记录。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限三级公立医疗机构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110200012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住院诊查费（临床药学）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规定资质的临床药师参与临床医师住院巡诊，综合研判患者、疾病、用药情况和检测结果，协同制定合理化、个体化药物治疗方案，实施药物定量计算和药物重整，开展疗效观察和药物不良反应监测，进行临床用药干预，并在病程病历中体现记录。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限三级公立医疗机构。符合规定资质的临床药师参与临床医师住院巡诊，每日加收1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元；住院天数≤30天的，加收费用最高不超过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元；住院天数&gt;30天的，加收费用最高不超过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元；家庭病床暂不执行本政策。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111000005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多学科联合诊疗（含临床药学）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由两个及以上相关学科的副主任医师（含）以上医务人员和临床药学副主任药师（含）以上医务人员组成工作组，针对疑难疾病或危重症患者，量身定制个体化的综合诊疗方案。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限三级公立医疗机构。超过3个学科（含临床药学），每增加1个学科加收25%，加收最多不超过50%。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111000005-1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多学科联合诊疗（含临床药学）（每增加1个学科加收）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110900001-18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普通病房床位费(陪伴床占用病房床位）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陪伴床占用病房床位的不超过所占病床实际服务价格收取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染色体分析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包括各种标本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染色体畸变率分析加收367元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250700013-1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染色体分析(染色体畸变率分析加收)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250700014-4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培养细胞的染色体分析（产前诊断）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各种标本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产前诊断使用外周血减半收取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250700014-401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培养细胞的染色体分析（产前诊断使用外周血）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产前诊断使用外周血减半收取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2" name="图片_1" descr="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 descr="0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310702004-1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射频消融术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(冷冻消融术)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1470.5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310702004-2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射频消融术（脉冲消融术）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1470.5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330100018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镇痛泵体内置入术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含置入和取出；包括化疗泵的置入和取出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附属于其他手术的减收50%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330100018-1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镇痛泵体内置入术(附属于其他手术的)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330100018-2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镇痛泵体内置入术(化疗泵的置入)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330100018-3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镇痛泵体内置入术(化疗泵的取出)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331521029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屈伸指肌腱吻合术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每根肌腱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每增加一根肌腱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加收160元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331521029-1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屈伸指肌腱吻合术(每增加一根肌腱加收)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每根肌腱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430000028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杵针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包括圆针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穴位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430000028-1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杵针（圆针）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穴位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430000029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蝶腭神经针刺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选择鼻炎针，沿颧骨弓下缘与冠突之间的缝隙，准确定位并针刺翼腭窝深部的蝶腭神经节，调节人体交感神经和副交感神经的平衡。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适用于7岁以上的过敏性鼻炎、萎缩性鼻炎和鼻窦炎等慢性鼻炎患者。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480000012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中药蜜丸临方加工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中医辨证施治理论，对于一定时间内服用个体化固定处方的患者，进行临方加工。以粉碎机将饮片打粉，加炼蜜（按炮制规范要求进行蜂蜜的炮制加工），嫩蜜、老蜜、炼蜜按处方药味质地不同分别选用，以混合机和坨，以手工或制丸机制丸，粘贴标签，注明姓名、用法用量、保存方法、制作日期，制作过程需使用铜锅、炉火炼蜜，需使用锅炉供应高压蒸汽。含赋形剂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每千克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以处方药物重量计,不含赋形剂重量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D0D"/>
                <w:sz w:val="20"/>
                <w:szCs w:val="20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59080"/>
              <wp:effectExtent l="0" t="0" r="0" b="0"/>
              <wp:wrapNone/>
              <wp:docPr id="1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eastAsia="zh-CN" w:bidi="ar-SA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eastAsia="zh-CN" w:bidi="ar-SA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20.4pt;width:49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pGTANEAAAADAQAADwAAAAAAAAABACAAAAAiAAAAZHJzL2Rvd25yZXYueG1sUEsBAhQAFAAA&#10;AAgAh07iQIt1umq9AQAAVQMAAA4AAAAAAAAAAQAgAAAAIAEAAGRycy9lMm9Eb2MueG1sUEsFBgAA&#10;AAAGAAYAWQEAAE8FAAAAAA=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eastAsia="zh-CN" w:bidi="ar-SA"/>
                      </w:rPr>
                    </w:pP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eastAsia="zh-CN" w:bidi="ar-SA"/>
                      </w:rPr>
                      <w:t>－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eastAsia="zh-CN" w:bidi="ar-SA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E49D9"/>
    <w:rsid w:val="6BFE49D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rPr>
      <w:szCs w:val="22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141"/>
    <w:basedOn w:val="5"/>
    <w:uiPriority w:val="0"/>
    <w:rPr>
      <w:rFonts w:ascii="Times New Roman" w:hAnsi="Times New Roman" w:cs="Times New Roman"/>
      <w:b/>
      <w:bCs/>
      <w:color w:val="000000"/>
      <w:sz w:val="22"/>
      <w:szCs w:val="22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2025-06-03T09:04:00Z</dcterms:created>
  <dc:creator>王钧瑶</dc:creator>
  <cp:lastModifiedBy>王钧瑶</cp:lastModifiedBy>
  <dcterms:modified xsi:type="dcterms:W3CDTF">2025-06-03T09:06:51Z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