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部分质量标准模板及示例</w:t>
      </w:r>
    </w:p>
    <w:p>
      <w:pPr>
        <w:pStyle w:val="2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目录</w:t>
      </w:r>
    </w:p>
    <w:p>
      <w:pPr>
        <w:pStyle w:val="2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TOC \o "1-2" \h \u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_Toc6729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药材质量标准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_Toc10897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_Toc31585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丹参药材质量标准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_Toc31585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_Toc24526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种子质量标准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_Toc24526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_Toc16153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丹参种子质量标准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_Toc16153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_Toc20599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种苗质量标准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_Toc20599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_Toc20433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丹参种苗质量标准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_Toc20433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_Toc13270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农药质量标准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_Toc13270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_Toc11324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多菌灵质量标准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_Toc11324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_Toc13717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肥料质量标准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_Toc13717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_Toc25114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尿素质量标准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_Toc25114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_Toc25160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中药材标签、合格证质量标准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_Toc25160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46"/>
        </w:tabs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\l _Toc29241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编织袋质量标准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PAGEREF _Toc29241 \h </w:instrTex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2154" w:right="1474" w:bottom="1984" w:left="1587" w:header="1134" w:footer="992" w:gutter="0"/>
          <w:pgNumType w:fmt="decimal" w:start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Toc868848258"/>
      <w:bookmarkStart w:id="1" w:name="_Toc6729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药材质量标准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明确**药材的质量标准。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适用于**药材的质量检验。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****：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此标准对所采购**药材进行质量检验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标准依据：《中国药典》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年版一部或其他法定标准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来源：本品为**科植物**的**（用药部位）。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取样方法：按照《**药材取样标准操作规程》进行取样。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按照《**检验标准操作规程》进行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标准规定：（检验项目根据标准依据调整，企业标准根据实际需要进行评估，不可低于法定标准要求）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05"/>
        <w:gridCol w:w="990"/>
        <w:gridCol w:w="475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7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法定标准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状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3766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鉴别</w:t>
            </w:r>
          </w:p>
        </w:tc>
        <w:tc>
          <w:tcPr>
            <w:tcW w:w="4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376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杂质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水分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总灰分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酸不溶性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灰分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二氧化硫残留量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重金属及有害元素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4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浸出物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水溶性浸出物</w:t>
            </w:r>
          </w:p>
        </w:tc>
        <w:tc>
          <w:tcPr>
            <w:tcW w:w="4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醇溶性浸出物</w:t>
            </w:r>
          </w:p>
        </w:tc>
        <w:tc>
          <w:tcPr>
            <w:tcW w:w="4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含量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测定</w:t>
            </w:r>
          </w:p>
        </w:tc>
        <w:tc>
          <w:tcPr>
            <w:tcW w:w="2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7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  藏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7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指纹图谱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7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7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贮存期限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7" w:h="16840"/>
          <w:pgMar w:top="1701" w:right="1474" w:bottom="1701" w:left="1587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2" w:name="_Toc1516677116"/>
      <w:bookmarkStart w:id="3" w:name="_Toc31585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丹参药材质量标准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明确丹参药材的质量标准。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适用于丹参药材的质量检验。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化验员：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此标准对所采购丹参药材进行质量检验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物料名称：丹参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标准依据：《中国药典》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年版一部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来源：本品为唇形科植物丹参</w:t>
      </w:r>
      <w:r>
        <w:rPr>
          <w:rFonts w:hint="eastAsia" w:ascii="Times New Roman" w:hAnsi="Times New Roman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Salvia</w:t>
      </w:r>
      <w:r>
        <w:rPr>
          <w:rFonts w:hint="eastAsia" w:ascii="仿宋_GB2312" w:hAnsi="仿宋_GB2312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miltiorrhiza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Bge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.的干燥根及根茎。春、秋二季采挖，除去泥沙，干燥。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取样方法：按照《丹参药材取样标准操作规程》进行取样。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按照《丹参检验标准操作规程》进行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标准规定：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91"/>
        <w:gridCol w:w="850"/>
        <w:gridCol w:w="503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5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法定标准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状</w:t>
            </w:r>
          </w:p>
        </w:tc>
        <w:tc>
          <w:tcPr>
            <w:tcW w:w="5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本品根茎短粗，顶端有时残留茎基。根数条，长圆柱形，略弯曲，有的分枝并具须状细根，长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,直径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表面棕红色或暗棕红色，粗糙，具纵皱纹。老根外皮疏松，多显紫棕色，常呈鳞片状剥落。质硬而脆，断面疏松，有裂隙或略平整而致密，皮部棕红色，木部灰黄色或紫褐色，导管束黄白色，呈放射状排列。气微，味微苦涩。栽培品较粗壮，直径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㎝。表面红棕色，具纵皱，外皮紧贴不易剥落。质坚实，断面较平整，略呈角质样。</w:t>
            </w:r>
          </w:p>
        </w:tc>
        <w:tc>
          <w:tcPr>
            <w:tcW w:w="2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鉴别</w:t>
            </w:r>
          </w:p>
        </w:tc>
        <w:tc>
          <w:tcPr>
            <w:tcW w:w="58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)本品粉末红棕色。石细胞类圆形、类三角形、类长方形或不规则形，也有延长呈纤维状，边缘不平整，直径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70µm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，长可达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257µm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，孔沟明显，有的胞腔内含黄棕色物。木纤维多为纤维管胞，长梭形，末端斜尖或钝圆，直径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27µm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，具缘纹孔点状，纹孔斜裂缝状或十字形，孔沟稀疏。网纹导管和具缘纹孔导管直径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60µm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)供试品色谱中，在与对照药材色谱和对照品色谱相应的位置上，显相同颜色的斑点或荧光斑点。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杂质</w:t>
            </w:r>
          </w:p>
        </w:tc>
        <w:tc>
          <w:tcPr>
            <w:tcW w:w="5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----------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水分</w:t>
            </w:r>
          </w:p>
        </w:tc>
        <w:tc>
          <w:tcPr>
            <w:tcW w:w="5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总灰分</w:t>
            </w:r>
          </w:p>
        </w:tc>
        <w:tc>
          <w:tcPr>
            <w:tcW w:w="5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酸不溶性灰分</w:t>
            </w:r>
          </w:p>
        </w:tc>
        <w:tc>
          <w:tcPr>
            <w:tcW w:w="5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二氧化硫残留量</w:t>
            </w:r>
          </w:p>
        </w:tc>
        <w:tc>
          <w:tcPr>
            <w:tcW w:w="58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二氧化硫残留量不得过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150mg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重金属及有害元素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5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不得过百万分之五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5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不得过百万分之一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5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不得过百万分之二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5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不得过千万分之二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50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不得过百万分之二十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浸出物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水溶性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浸出物</w:t>
            </w:r>
          </w:p>
        </w:tc>
        <w:tc>
          <w:tcPr>
            <w:tcW w:w="58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不得少于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醇溶性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浸出物</w:t>
            </w:r>
          </w:p>
        </w:tc>
        <w:tc>
          <w:tcPr>
            <w:tcW w:w="58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不得少于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丹参酮类</w:t>
            </w:r>
          </w:p>
        </w:tc>
        <w:tc>
          <w:tcPr>
            <w:tcW w:w="58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按干燥品计算，含丹参酮Ⅱ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）、隐丹参酮（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）、丹参酮Ⅰ（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）的总量不得少于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  <w:tc>
          <w:tcPr>
            <w:tcW w:w="2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丹酚酸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8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按干燥品计算含丹酚酸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)不得少于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  <w:tc>
          <w:tcPr>
            <w:tcW w:w="2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  藏</w:t>
            </w:r>
          </w:p>
        </w:tc>
        <w:tc>
          <w:tcPr>
            <w:tcW w:w="5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置干燥处。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指纹图谱</w:t>
            </w:r>
          </w:p>
        </w:tc>
        <w:tc>
          <w:tcPr>
            <w:tcW w:w="58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本品与对照指纹图谱比较相似度不得低于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5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不宜与黎芦同用。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贮存期限</w:t>
            </w:r>
          </w:p>
        </w:tc>
        <w:tc>
          <w:tcPr>
            <w:tcW w:w="5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sectPr>
          <w:pgSz w:w="11907" w:h="16840"/>
          <w:pgMar w:top="2154" w:right="1474" w:bottom="1984" w:left="1587" w:header="1134" w:footer="992" w:gutter="0"/>
          <w:pgNumType w:fmt="decimal"/>
          <w:cols w:space="720" w:num="1"/>
          <w:docGrid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4" w:name="_Toc24526"/>
      <w:bookmarkStart w:id="5" w:name="_Toc204314319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种子质量标准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明确***药材种子的质量标准。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适用于***种子的质量检验。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此标准对所使用的***种子进行质量检验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物料名称：***种子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标准依据：一般为国标、地方或者团体标准，如无法定标准的可参考发表的文献或企业根据药材种子情况起草。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来源：本品为**科植物****的干燥种子。**月份采收，晾干。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按照《***种子检验标准操作规程》进行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标准规定：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39"/>
        <w:gridCol w:w="4309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依据***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2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状</w:t>
            </w:r>
          </w:p>
        </w:tc>
        <w:tc>
          <w:tcPr>
            <w:tcW w:w="4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7"/>
              <w:spacing w:line="44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一般包括：外形，长宽、颜色、气味等，根据标准要求制定，如无法定标准可以参考以上项目。</w:t>
            </w:r>
          </w:p>
        </w:tc>
        <w:tc>
          <w:tcPr>
            <w:tcW w:w="2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净度</w:t>
            </w:r>
          </w:p>
        </w:tc>
        <w:tc>
          <w:tcPr>
            <w:tcW w:w="4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不得低于**%</w:t>
            </w:r>
          </w:p>
        </w:tc>
        <w:tc>
          <w:tcPr>
            <w:tcW w:w="2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千粒重</w:t>
            </w:r>
          </w:p>
        </w:tc>
        <w:tc>
          <w:tcPr>
            <w:tcW w:w="4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不得低于**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2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发芽率</w:t>
            </w:r>
          </w:p>
        </w:tc>
        <w:tc>
          <w:tcPr>
            <w:tcW w:w="4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不得低于**%</w:t>
            </w:r>
          </w:p>
        </w:tc>
        <w:tc>
          <w:tcPr>
            <w:tcW w:w="2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水分</w:t>
            </w:r>
          </w:p>
        </w:tc>
        <w:tc>
          <w:tcPr>
            <w:tcW w:w="4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440" w:firstLineChars="6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过**%</w:t>
            </w:r>
          </w:p>
        </w:tc>
        <w:tc>
          <w:tcPr>
            <w:tcW w:w="25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  藏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根据标准要求制定，如无标准则根据可根据种子的实际情况编写。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贮存期限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atLeas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40"/>
          <w:pgMar w:top="1644" w:right="1474" w:bottom="1701" w:left="1587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6" w:name="_Toc16153"/>
      <w:bookmarkStart w:id="7" w:name="_Toc1219227070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丹参种子质量标准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明确丹参药材种子的质量标准。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适用于丹参种子的质量检验。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质量控制员: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此标准对所使用的丹参种子进行质量检验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物料名称：丹参种子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标准依据：文献《甘草、丹参、牛膝种子检验规程与质量分级标准研究》。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来源：本品为唇形科植物丹参</w:t>
      </w:r>
      <w:r>
        <w:rPr>
          <w:rFonts w:hint="eastAsia" w:ascii="Times New Roman" w:hAnsi="Times New Roman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Saluia</w:t>
      </w:r>
      <w:r>
        <w:rPr>
          <w:rFonts w:hint="eastAsia" w:ascii="仿宋_GB2312" w:hAnsi="仿宋_GB2312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miltiorrhiza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Bge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.的干燥种子。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月份采收，晾干。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取样方法：按照《生产材料取样标准操作规程》进行取样。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按照《丹参种子检验标准操作规程》进行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企业标准规定：</w:t>
      </w:r>
    </w:p>
    <w:tbl>
      <w:tblPr>
        <w:tblStyle w:val="13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539"/>
        <w:gridCol w:w="3976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文献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状</w:t>
            </w:r>
          </w:p>
        </w:tc>
        <w:tc>
          <w:tcPr>
            <w:tcW w:w="39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7"/>
              <w:spacing w:line="4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丹参种子为小坚果三棱状长卵形，长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5mm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，宽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0mm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，表面灰黑色或茶褐色。</w:t>
            </w:r>
          </w:p>
        </w:tc>
        <w:tc>
          <w:tcPr>
            <w:tcW w:w="28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净度</w:t>
            </w:r>
          </w:p>
        </w:tc>
        <w:tc>
          <w:tcPr>
            <w:tcW w:w="3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不得低于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千粒重</w:t>
            </w:r>
          </w:p>
        </w:tc>
        <w:tc>
          <w:tcPr>
            <w:tcW w:w="3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不得低于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4g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发芽率</w:t>
            </w:r>
          </w:p>
        </w:tc>
        <w:tc>
          <w:tcPr>
            <w:tcW w:w="3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不得低于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水分</w:t>
            </w:r>
          </w:p>
        </w:tc>
        <w:tc>
          <w:tcPr>
            <w:tcW w:w="3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8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  藏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置干通风燥处。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贮存期限</w:t>
            </w:r>
          </w:p>
        </w:tc>
        <w:tc>
          <w:tcPr>
            <w:tcW w:w="397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--------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6" w:type="first"/>
          <w:footerReference r:id="rId8" w:type="first"/>
          <w:footerReference r:id="rId7" w:type="even"/>
          <w:pgSz w:w="11907" w:h="16840"/>
          <w:pgMar w:top="1701" w:right="1474" w:bottom="1701" w:left="1587" w:header="1701" w:footer="992" w:gutter="0"/>
          <w:pgNumType w:fmt="decimal"/>
          <w:cols w:space="720" w:num="1"/>
          <w:docGrid w:linePitch="312" w:charSpace="0"/>
        </w:sectPr>
      </w:pPr>
    </w:p>
    <w:p>
      <w:pPr>
        <w:spacing w:line="500" w:lineRule="atLeas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9" w:type="default"/>
          <w:type w:val="continuous"/>
          <w:pgSz w:w="11907" w:h="16840"/>
          <w:pgMar w:top="1701" w:right="1588" w:bottom="1701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8" w:name="_Toc1635185408"/>
      <w:bookmarkStart w:id="9" w:name="_Toc20599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种苗质量标准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明确***种苗的质量标准。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适用于***种苗的质量检验。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物料名称：***种苗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标准依据：一般为国标、地方或者团体标准，如无法定标准的企业根据药材情况起草。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来源：本品为**科植物***种子繁育的种苗。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取样方法：按照《***取样标准操作规程》进行取样。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按照《***种苗检验标准操作规程》进行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</w:t>
      </w:r>
    </w:p>
    <w:tbl>
      <w:tblPr>
        <w:tblStyle w:val="13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**捆/袋、**株/捆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捆准确率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**%～**%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株准确率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**%～**%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芦头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芦头缺少或损伤的株数不得过*%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根直径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根直径＜**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根长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根长＜**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91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病虫害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无病虫害（根瘤、腐烂、霉斑等）</w:t>
            </w:r>
          </w:p>
        </w:tc>
      </w:tr>
    </w:tbl>
    <w:p>
      <w:pPr>
        <w:spacing w:line="500" w:lineRule="atLeast"/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10" w:type="first"/>
          <w:footerReference r:id="rId12" w:type="first"/>
          <w:footerReference r:id="rId11" w:type="even"/>
          <w:pgSz w:w="11907" w:h="16840"/>
          <w:pgMar w:top="1701" w:right="1588" w:bottom="1701" w:left="1797" w:header="1701" w:footer="992" w:gutter="0"/>
          <w:pgNumType w:fmt="decimal"/>
          <w:cols w:space="720" w:num="1"/>
          <w:docGrid w:linePitch="312" w:charSpace="0"/>
        </w:sectPr>
      </w:pPr>
    </w:p>
    <w:p>
      <w:pPr>
        <w:spacing w:line="500" w:lineRule="atLeas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13" w:type="default"/>
          <w:type w:val="continuous"/>
          <w:pgSz w:w="11907" w:h="16840"/>
          <w:pgMar w:top="1701" w:right="1588" w:bottom="1701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0" w:name="_Toc20433"/>
      <w:bookmarkStart w:id="11" w:name="_Toc1712729070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丹参种苗质量标准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明确丹参种苗的质量标准。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适用于丹参种苗的质量检验。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生产技术部：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按照此标准在种苗生产过程中安排生产。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质量控制员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此标准对所使用的丹参种苗进行质量检验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物料名称：丹参种苗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标准依据：企业标准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来源：本品为唇形科植物丹参</w:t>
      </w:r>
      <w:r>
        <w:rPr>
          <w:rFonts w:hint="eastAsia" w:ascii="Times New Roman" w:hAnsi="Times New Roman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Saluia</w:t>
      </w:r>
      <w:r>
        <w:rPr>
          <w:rFonts w:hint="eastAsia" w:ascii="仿宋_GB2312" w:hAnsi="仿宋_GB2312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i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miltiorrhiza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Bge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.种子繁育的种苗。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取样方法：按照《生产材料取样标准操作规程》进行取样。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按照《丹参种苗检验标准操作规程》进行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</w:t>
      </w:r>
    </w:p>
    <w:tbl>
      <w:tblPr>
        <w:tblStyle w:val="13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捆/袋、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株/捆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捆准确率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株准确率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芦头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芦头缺少或损伤的株数不得过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根直径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根直径＜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根长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根长＜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病虫害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无病虫害（根瘤、腐烂、霉斑等）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机械损伤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不得过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贮存</w:t>
            </w:r>
          </w:p>
        </w:tc>
        <w:tc>
          <w:tcPr>
            <w:tcW w:w="622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随起随栽，如贮存置阴凉、潮湿处“假植”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59" w:hanging="1971" w:hangingChars="448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1907" w:h="16840"/>
          <w:pgMar w:top="2154" w:right="1474" w:bottom="1984" w:left="1587" w:header="1134" w:footer="992" w:gutter="0"/>
          <w:pgNumType w:fmt="decimal"/>
          <w:cols w:space="720" w:num="1"/>
          <w:docGrid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12" w:name="_Toc13270"/>
      <w:bookmarkStart w:id="13" w:name="_Toc2084428243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农药质量标准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明确***的质量标准。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适用于***的质量检验。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此标准对所使用的***进行质量检验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物料名称：***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化学名称***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分子式：***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标准依据：可依据国标、行业标准、地方标准、行业标准等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企业标准规定：</w:t>
      </w:r>
    </w:p>
    <w:tbl>
      <w:tblPr>
        <w:tblStyle w:val="13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46"/>
        <w:gridCol w:w="6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包装标识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剂型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有效成分含量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atLeas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14" w:type="default"/>
          <w:pgSz w:w="11907" w:h="16840"/>
          <w:pgMar w:top="1701" w:right="1588" w:bottom="1701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4" w:name="_Toc854909897"/>
      <w:bookmarkStart w:id="15" w:name="_Toc11324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多菌灵质量标准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明确多菌灵的质量标准。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适用于多菌灵的质量检验。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化验员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此标准对所使用的多菌灵进行质量检验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物料名称：多菌灵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化学名称：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-苯并咪唑基）氨基甲酸甲酯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分子式：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HG3290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企业标准规定：</w:t>
      </w:r>
    </w:p>
    <w:tbl>
      <w:tblPr>
        <w:tblStyle w:val="13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46"/>
        <w:gridCol w:w="6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组成均匀的疏松粉末，不应有团块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包装容器无受损、腐蚀、渗漏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包装标识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剂型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可湿性粉剂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有效成分含量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标明规格、农药登记号、生产许可证号、产品标准号、生产企业名称、地址、毒性标志、生产日期、批号、产品质量保证期。</w:t>
            </w:r>
          </w:p>
        </w:tc>
      </w:tr>
    </w:tbl>
    <w:p>
      <w:pPr>
        <w:spacing w:line="500" w:lineRule="atLeas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15" w:type="default"/>
          <w:pgSz w:w="11907" w:h="16840"/>
          <w:pgMar w:top="1701" w:right="1588" w:bottom="1701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16" w:name="_Toc13717"/>
      <w:bookmarkStart w:id="17" w:name="_Toc1529444584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肥料质量标准</w:t>
      </w:r>
      <w:bookmarkEnd w:id="16"/>
      <w:bookmarkEnd w:id="17"/>
      <w:bookmarkStart w:id="24" w:name="_GoBack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明确***的质量标准。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适用于***的质量检验。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***：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此标准对所使用的***进行质量检验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标准依据：一般为国标、地方、团体标准或行标，如无法定标准的企业根据情况起草。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按照《**标准操作规程》进行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</w:t>
      </w:r>
    </w:p>
    <w:tbl>
      <w:tblPr>
        <w:tblStyle w:val="13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42"/>
        <w:gridCol w:w="5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7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7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详细描述肥料的形状、大小、颜色、气味等信息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成分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成分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含量≥***%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粒度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***～***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净重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生产厂家、合格证、产品批号、生产日期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包装材料</w:t>
            </w:r>
          </w:p>
        </w:tc>
        <w:tc>
          <w:tcPr>
            <w:tcW w:w="7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atLeast"/>
        <w:rPr>
          <w:rFonts w:hint="eastAsia" w:ascii="楷体_GB2312" w:eastAsia="楷体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16" w:type="first"/>
          <w:footerReference r:id="rId19" w:type="first"/>
          <w:footerReference r:id="rId17" w:type="default"/>
          <w:footerReference r:id="rId18" w:type="even"/>
          <w:pgSz w:w="11907" w:h="16840"/>
          <w:pgMar w:top="1701" w:right="1588" w:bottom="1701" w:left="1797" w:header="1701" w:footer="992" w:gutter="0"/>
          <w:pgNumType w:fmt="decimal"/>
          <w:cols w:space="720" w:num="1"/>
          <w:docGrid w:linePitch="312" w:charSpace="0"/>
        </w:sectPr>
      </w:pPr>
    </w:p>
    <w:p>
      <w:pPr>
        <w:spacing w:line="500" w:lineRule="atLeas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20" w:type="default"/>
          <w:type w:val="continuous"/>
          <w:pgSz w:w="11907" w:h="16840"/>
          <w:pgMar w:top="1701" w:right="1588" w:bottom="1701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8" w:name="_Toc25114"/>
      <w:bookmarkStart w:id="19" w:name="_Toc1753686239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示例：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尿素质量标准</w:t>
      </w:r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明确尿素的质量标准。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适用于尿素的质量检验。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化验员：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此标准对所使用的尿素进行质量检验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物料名称：尿素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标准依据：企业标准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按照《**标准操作规程》进行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</w:t>
      </w:r>
    </w:p>
    <w:tbl>
      <w:tblPr>
        <w:tblStyle w:val="13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42"/>
        <w:gridCol w:w="5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7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7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白色或浅色颗粒。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包装标识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粒度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净重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3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生产厂家、合格证、产品批号、生产日期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包装材料</w:t>
            </w:r>
          </w:p>
        </w:tc>
        <w:tc>
          <w:tcPr>
            <w:tcW w:w="7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双层袋（外袋为塑料编织袋，内袋为聚乙烯薄膜袋）</w:t>
            </w:r>
          </w:p>
        </w:tc>
      </w:tr>
    </w:tbl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907" w:h="16840"/>
          <w:pgMar w:top="2154" w:right="1474" w:bottom="1984" w:left="1587" w:header="1134" w:footer="992" w:gutter="0"/>
          <w:pgNumType w:fmt="decimal"/>
          <w:cols w:space="720" w:num="1"/>
          <w:docGrid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20" w:name="_Toc25160"/>
      <w:bookmarkStart w:id="21" w:name="_Toc1131079747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中药材标签、合格证质量标准</w:t>
      </w:r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明确中药材标签、合格证的质量标准。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适用于中药材标签、合格证的打印制作与质量检验。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****：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依据此标准对打印中药材标签、合格证进行质量检验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****：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此标准对中药材标签、合格证进行设定打印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物料名称：中药材标签、合格证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中药材标签：***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合格证：***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标准依据：企业标准。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取样方法：按照《***取样标准操作规程》进行取样。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检验方法: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按照《***检验标准操作规程》进行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中药材标签：</w:t>
      </w:r>
    </w:p>
    <w:tbl>
      <w:tblPr>
        <w:tblStyle w:val="1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53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722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53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722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53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切割尺寸</w:t>
            </w:r>
          </w:p>
        </w:tc>
        <w:tc>
          <w:tcPr>
            <w:tcW w:w="7222" w:type="dxa"/>
          </w:tcPr>
          <w:p>
            <w:pPr>
              <w:spacing w:line="50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应符合规定：***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。允许偏差：±**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外观检查</w:t>
            </w:r>
          </w:p>
        </w:tc>
        <w:tc>
          <w:tcPr>
            <w:tcW w:w="7222" w:type="dxa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目视观察，印刷清晰、位置端正、格式一致,无污斑、无皱褶，无文字错误、颜色均一、切割整齐、无毛边、无缺损。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印刷内容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范例</w:t>
            </w:r>
          </w:p>
        </w:tc>
        <w:tc>
          <w:tcPr>
            <w:tcW w:w="7222" w:type="dxa"/>
            <w:vAlign w:val="center"/>
          </w:tcPr>
          <w:p>
            <w:pPr>
              <w:tabs>
                <w:tab w:val="left" w:pos="5203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合格证：</w:t>
      </w:r>
    </w:p>
    <w:tbl>
      <w:tblPr>
        <w:tblStyle w:val="13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7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72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7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729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71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切割尺寸</w:t>
            </w:r>
          </w:p>
        </w:tc>
        <w:tc>
          <w:tcPr>
            <w:tcW w:w="7292" w:type="dxa"/>
          </w:tcPr>
          <w:p>
            <w:pPr>
              <w:spacing w:line="50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应符合规定：**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。允许偏差：±**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7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外观检查</w:t>
            </w:r>
          </w:p>
        </w:tc>
        <w:tc>
          <w:tcPr>
            <w:tcW w:w="7292" w:type="dxa"/>
          </w:tcPr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目视观察，印刷清晰、位置端正、格式一致,无污斑、无皱褶，无文字错误、颜色均一、切割整齐、无毛边、无缺损。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7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印刷内容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范例</w:t>
            </w:r>
          </w:p>
        </w:tc>
        <w:tc>
          <w:tcPr>
            <w:tcW w:w="72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</w:tbl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ge">
                  <wp:posOffset>2337435</wp:posOffset>
                </wp:positionV>
                <wp:extent cx="2738120" cy="3813810"/>
                <wp:effectExtent l="4445" t="5080" r="19685" b="10160"/>
                <wp:wrapSquare wrapText="bothSides"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381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  <w:t>中药材标签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品  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  原：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 号：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规  格：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包装工号：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  量：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hint="eastAsia" w:ascii="Times New Roman" w:hAnsi="Times New Roman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包装编号：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产  地：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采收时间：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年  月       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贮藏条件：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 质 期：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注意事项：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供货单位：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184.05pt;height:300.3pt;width:215.6pt;mso-position-vertical-relative:page;mso-wrap-distance-bottom:0pt;mso-wrap-distance-left:9pt;mso-wrap-distance-right:9pt;mso-wrap-distance-top:0pt;z-index:251660288;mso-width-relative:page;mso-height-relative:page;" fillcolor="#FFFFFF" filled="t" stroked="t" coordsize="21600,21600" o:gfxdata="UEsFBgAAAAAAAAAAAAAAAAAAAAAAAFBLAwQKAAAAAACHTuJAAAAAAAAAAAAAAAAABAAAAGRycy9Q&#10;SwMEFAAAAAgAh07iQErv05vZAAAACQEAAA8AAABkcnMvZG93bnJldi54bWxNj81OwzAQhO9IvIO1&#10;SFwQddJEaRKy6QEJBDdaUHt1420S4Z9gu2l5e8wJbrOa0cy3zfqiFZvJ+dEahHSRACPTWTmaHuHj&#10;/em+BOaDMFIoawjhmzys2+urRtTSns2G5m3oWSwxvhYIQwhTzbnvBtLCL+xEJnpH67QI8XQ9l06c&#10;Y7lWfJkkBddiNHFhEBM9DtR9bk8aocxf5r1/zd52XXFUVbhbzc9fDvH2Jk0egAW6hL8w/OJHdGgj&#10;08GejPRMISyrGETIijIFFv08y6M4IFRFuQLeNvz/B+0PUEsDBBQAAAAIAIdO4kDg96XrDQIAADkE&#10;AAAOAAAAZHJzL2Uyb0RvYy54bWytU82O0zAQviPxDpbvNG3QwhI1XQlKuSBAWngA13ESS/6T7Tbp&#10;C8AbcOLCnefqc+xnt9v9YQ89bBQl45nx5/m+Gc+vRq3IVvggranpbDKlRBhuG2m6mv74vnp1SUmI&#10;zDRMWSNquhOBXi1evpgPrhKl7a1qhCcAMaEaXE37GF1VFIH3QrMwsU4YBFvrNYtY+q5oPBuArlVR&#10;TqdvisH6xnnLRQjwLg9BekT05wDatpVcLC3faGHiAdULxSIohV66QBe52rYVPH5t2yAiUTUF05i/&#10;OAT2On2LxZxVnWeul/xYAjunhEecNJMGh56gliwysvHyPygtubfBtnHCrS4ORLIiYDGbPtLmumdO&#10;ZC6QOriT6OH5YPmX7TdPZFPTsqTEMI2O73//2v/5t//7k8AHgQYXKuRdO2TG8b0dMTa3/gBn4j22&#10;Xqc/GBHEIe/uJK8YI+Fwlm9fX85KhDhiMPHmBhR3250P8ZOwmiSjph79y7Ky7ecQUQpSb1PSacEq&#10;2aykUnnhu/UH5cmWoder/KQqseVBmjJkqOm7i/IChTAMcIvBgakdRAimy+c92BHuA0/z8xRwKmzJ&#10;Qn8oICOkNFZpGYXPVi9Y89E0JO4cdDa4XzQVo0VDiRK4jsnKmZFJdU4m2CkDkqlHh14kK47rETDJ&#10;XNtmh75tnJddD0lz53I6Jiqrc5z+NLL31xn07sYvb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BQAAAAIAIdO4kCKFGY80QAAAJQBAAALAAAAAAAAAAEAIAAAAJsDAABfcmVscy8ucmVsc1BLAQIU&#10;AAoAAAAAAIdO4kAAAAAAAAAAAAAAAAAGAAAAAAAAAAAAEAAAAHcDAABfcmVscy9QSwECFAAKAAAA&#10;AACHTuJAAAAAAAAAAAAAAAAABAAAAAAAAAAAABAAAAAWAAAAZHJzL1BLAQIUABQAAAAIAIdO4kDg&#10;96XrDQIAADkEAAAOAAAAAAAAAAEAIAAAAD4BAABkcnMvZTJvRG9jLnhtbFBLAQIUABQAAAAIAIdO&#10;4kBK79Ob2QAAAAkBAAAPAAAAAAAAAAEAIAAAADgAAABkcnMvZG93bnJldi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  <w:t>中药材标签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品  名：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  原：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 号：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规  格：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包装工号：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  量：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Times New Roman" w:hAnsi="Times New Roman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K</w:t>
                      </w:r>
                      <w:r>
                        <w:rPr>
                          <w:rFonts w:hint="eastAsia" w:ascii="Times New Roman" w:hAnsi="Times New Roman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包装编号：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产  地：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采收时间：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年  月       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贮藏条件：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 质 期：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注意事项：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供货单位：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line">
                  <wp:posOffset>137795</wp:posOffset>
                </wp:positionV>
                <wp:extent cx="2145030" cy="2651760"/>
                <wp:effectExtent l="4445" t="4445" r="2222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楷体_GB2312" w:hAnsi="宋体" w:eastAsia="楷体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b/>
                                <w:bCs/>
                                <w:sz w:val="24"/>
                              </w:rPr>
                              <w:t>合 格 证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宋体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品名：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宋体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规格：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宋体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批号：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楷体_GB2312" w:hAnsi="宋体" w:eastAsia="楷体_GB2312"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宋体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重量：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Times New Roman" w:hAnsi="Times New Roman" w:eastAsia="楷体_GB2312"/>
                                <w:sz w:val="24"/>
                                <w:u w:val="single"/>
                                <w:lang w:val="en-US" w:eastAsia="zh-CN"/>
                              </w:rPr>
                              <w:t>K</w:t>
                            </w:r>
                            <w:r>
                              <w:rPr>
                                <w:rFonts w:hint="eastAsia" w:ascii="Times New Roman" w:hAnsi="Times New Roman" w:eastAsia="楷体_GB2312"/>
                                <w:sz w:val="24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宋体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包装时间：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宋体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检验员：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宋体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</w:rPr>
                              <w:t>供货单位：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45pt;margin-top:10.85pt;height:208.8pt;width:168.9pt;mso-position-vertical-relative:line;z-index:251661312;mso-width-relative:page;mso-height-relative:page;" fillcolor="#FFFFFF" filled="t" stroked="t" coordsize="21600,21600" o:gfxdata="UEsFBgAAAAAAAAAAAAAAAAAAAAAAAFBLAwQKAAAAAACHTuJAAAAAAAAAAAAAAAAABAAAAGRycy9Q&#10;SwMEFAAAAAgAh07iQHmlTzTYAAAACQEAAA8AAABkcnMvZG93bnJldi54bWxNj0tPwzAQhO9I/Adr&#10;kbgg6rzUNCFOD0gguNGC2qsbb5MIP4LtpuXfs5zgNqsZzX7TrC9Gsxl9GJ0VkC4SYGg7p0bbC/h4&#10;f7pfAQtRWiW1syjgGwOs2+urRtbKne0G523sGZXYUEsBQ4xTzXnoBjQyLNyElryj80ZGOn3PlZdn&#10;KjeaZ0my5EaOlj4McsLHAbvP7ckIWBUv8z685m+7bnnUVbwr5+cvL8TtTZo8AIt4iX9h+MUndGiJ&#10;6eBOVgWmBZRFRUkBWVoCI79IMxIHEnmVA28b/n9B+wNQSwMEFAAAAAgAh07iQCBq7xMOAgAAOQQA&#10;AA4AAABkcnMvZTJvRG9jLnhtbK1TTa7TMBDeI3EHy3uaNNACUdMnQSkbBEgPDuDaTmLJf/K4TXoB&#10;uAErNuw5V8/B2O3r+110QRbOeGb8eb5vxour0WiykwGUsw2dTkpKpOVOKNs19Pu39Ys3lEBkVjDt&#10;rGzoXgK9Wj5/thh8LSvXOy1kIAhioR58Q/sYfV0UwHtpGEyclxaDrQuGRdyGrhCBDYhudFGV5bwY&#10;XBA+OC4B0Ls6BukJMVwC6NpWcblyfGukjUfUIDWLSAl65YEuc7VtK3n80rYgI9ENRaYxr3gJ2pu0&#10;FssFq7vAfK/4qQR2SQkPOBmmLF56hlqxyMg2qEdQRvHgwLVxwp0pjkSyIshiWj7Q5rpnXmYuKDX4&#10;s+jw/2D5593XQJRoaDWlxDKDHT/8+nn4/ffw5wdBHwo0eKgx79pjZhzfuRHH5sYP6Ey8xzaY9EdG&#10;BOMo7/4srxwj4eispq9m5UsMcYxV89n09Tw3oLg97gPEj9IZkoyGBuxflpXtPkHEUjD1JiXdBk4r&#10;sVZa503oNu91IDuGvV7nL1WJR+6laUuGhr6dVTMshOEAtzg4aBqPIoDt8n33TsBd4DJ/TwGnwlYM&#10;+mMBGSGlsdqoKEO2esnEBytI3HvU2eL7oqkYIwUlWuJzTFbOjEzpSzKRnbZIMvXo2ItkxXEzIkwy&#10;N07ssW9bH1TXo6S5czkdJyqrc5r+NLJ39xn09sUv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BQAAAAIAIdO4kCKFGY80QAAAJQBAAALAAAAAAAAAAEAIAAAAJsDAABfcmVscy8ucmVsc1BLAQIU&#10;AAoAAAAAAIdO4kAAAAAAAAAAAAAAAAAGAAAAAAAAAAAAEAAAAHcDAABfcmVscy9QSwECFAAKAAAA&#10;AACHTuJAAAAAAAAAAAAAAAAABAAAAAAAAAAAABAAAAAWAAAAZHJzL1BLAQIUABQAAAAIAIdO4kAg&#10;au8TDgIAADkEAAAOAAAAAAAAAAEAIAAAAD0BAABkcnMvZTJvRG9jLnhtbFBLAQIUABQAAAAIAIdO&#10;4kB5pU802AAAAAkBAAAPAAAAAAAAAAEAIAAAADgAAABkcnMvZG93bnJldi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楷体_GB2312" w:hAnsi="宋体" w:eastAsia="楷体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b/>
                          <w:bCs/>
                          <w:sz w:val="24"/>
                        </w:rPr>
                        <w:t>合 格 证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楷体_GB2312" w:hAnsi="宋体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4"/>
                        </w:rPr>
                        <w:t>品名：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            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楷体_GB2312" w:hAnsi="宋体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4"/>
                        </w:rPr>
                        <w:t>规格：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            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楷体_GB2312" w:hAnsi="宋体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4"/>
                        </w:rPr>
                        <w:t>批号：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楷体_GB2312" w:hAnsi="宋体" w:eastAsia="楷体_GB2312"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楷体_GB2312" w:hAnsi="宋体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4"/>
                        </w:rPr>
                        <w:t>重量：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Times New Roman" w:hAnsi="Times New Roman" w:eastAsia="楷体_GB2312"/>
                          <w:sz w:val="24"/>
                          <w:u w:val="single"/>
                          <w:lang w:val="en-US" w:eastAsia="zh-CN"/>
                        </w:rPr>
                        <w:t>K</w:t>
                      </w:r>
                      <w:r>
                        <w:rPr>
                          <w:rFonts w:hint="eastAsia" w:ascii="Times New Roman" w:hAnsi="Times New Roman" w:eastAsia="楷体_GB2312"/>
                          <w:sz w:val="24"/>
                          <w:u w:val="single"/>
                        </w:rPr>
                        <w:t>g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楷体_GB2312" w:hAnsi="宋体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4"/>
                        </w:rPr>
                        <w:t>包装时间：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        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楷体_GB2312" w:hAnsi="宋体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4"/>
                        </w:rPr>
                        <w:t>检验员：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ascii="楷体_GB2312" w:hAnsi="宋体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4"/>
                        </w:rPr>
                        <w:t>供货单位：</w:t>
                      </w:r>
                      <w:r>
                        <w:rPr>
                          <w:rFonts w:hint="eastAsia" w:ascii="楷体_GB2312" w:hAnsi="宋体" w:eastAsia="楷体_GB2312"/>
                          <w:sz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楷体_GB2312" w:hAnsi="宋体" w:eastAsia="楷体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014"/>
        </w:tabs>
        <w:bidi w:val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21" w:type="default"/>
          <w:pgSz w:w="11907" w:h="16840"/>
          <w:pgMar w:top="1701" w:right="1474" w:bottom="1701" w:left="1587" w:header="1701" w:footer="992" w:gutter="0"/>
          <w:pgNumType w:fmt="decimal"/>
          <w:cols w:space="425" w:num="1"/>
          <w:docGrid w:linePitch="312" w:charSpace="0"/>
        </w:sect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22" w:name="_Toc29241"/>
      <w:bookmarkStart w:id="23" w:name="_Toc139310276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编织袋质量标准</w:t>
      </w:r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规定编织袋的质量标准。</w:t>
      </w:r>
    </w:p>
    <w:p>
      <w:pPr>
        <w:keepNext w:val="0"/>
        <w:keepLines w:val="0"/>
        <w:pageBreakBefore w:val="0"/>
        <w:widowControl w:val="0"/>
        <w:tabs>
          <w:tab w:val="left" w:pos="7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适用于编织袋的质量检验。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此标准对所使用的编织袋进行质量检验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物料名称：编织袋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物料代码：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标准依据：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T8946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《塑料编织袋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通用技术要求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取样标准操作规程》进行取样。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企业标准规定：</w:t>
      </w:r>
    </w:p>
    <w:tbl>
      <w:tblPr>
        <w:tblStyle w:val="1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126"/>
        <w:gridCol w:w="6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缝制方式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缝底袋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规格尺寸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断丝  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同处经、纬之和断丝小于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清洁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㎜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以下的明显油污不多于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㎜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以上的明显油污不允许有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缝合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不允许出现脱针、断线、未缝住卷折现象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切边</w:t>
            </w:r>
          </w:p>
        </w:tc>
        <w:tc>
          <w:tcPr>
            <w:tcW w:w="6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不允许出现散边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22" w:type="default"/>
      <w:footerReference r:id="rId23" w:type="default"/>
      <w:pgSz w:w="11906" w:h="16838"/>
      <w:pgMar w:top="1701" w:right="1276" w:bottom="170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楷体_GB2312" w:eastAsia="楷体_GB2312"/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744"/>
        <w:tab w:val="clear" w:pos="4153"/>
        <w:tab w:val="clear" w:pos="8306"/>
      </w:tabs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0" name="文本框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7aI0MwIAAGU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QhPDNEp++vH99PPh9OsbSYeQqHFhhsh7h9jYvrMtwofzgMPEvK28Tl9wIvAD&#10;7HgRWLSR8HRpOplOc7g4fMMG+NnjdedDfC+sJskoqEcFO2HZYRNiHzqEpGzGrqVSXRWVIU1Br16/&#10;ybsLFw/AlUGORKJ/bLJiu23PzLa2PIKYt313BMfXEsk3LMQ75tEOeDAGJt5iqZRFEnu2KKmt//qv&#10;8xSPKsFLSYP2KqjBNFGiPhhUD4BxMPxgbAfD7PWNRb+OMYiOdyYu+KgGs/JWf8EULVMOuJjhyFTQ&#10;OJg3sW9xTCEXy2UXtHde7ur+AnrPsbgx946nNEnI4Jb7CDE7jZNAvSpn3dB9XZXOk5La+899F/X4&#10;d1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G3tojQzAgAAZQQAAA4AAAAAAAAAAQAgAAAANQEA&#10;AGRycy9lMm9Eb2MueG1sUEsBAhQAFAAAAAgAh07iQLNJWO7QAAAABQEAAA8AAAAAAAAAAQAgAAAA&#10;OAAAAGRycy9kb3ducmV2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744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1" name="文本框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GUTyoMwIAAGUEAAAOAAAAZHJz&#10;L2Uyb0RvYy54bWytVM2O0zAQviPxDpbvNGkRq1I1XZWtipAqdqUFcXYdp7HkP9luk/IA8AacuHDf&#10;5+pz8DlpumjhsAcuztgz/ma+b8aZX7dakYPwQVpT0PEop0QYbktpdgX9/Gn9akpJiMyUTFkjCnoU&#10;gV4vXr6YN24mJra2qhSeAMSEWeMKWsfoZlkWeC00CyPrhIGzsl6ziK3fZaVnDdC1yiZ5fpU11pfO&#10;Wy5CwOmqd9Izon8OoK0qycXK8r0WJvaoXigWQSnU0gW66KqtKsHjbVUFEYkqKJjGbkUS2Nu0Zos5&#10;m+08c7Xk5xLYc0p4wkkzaZD0ArVikZG9l39Bacm9DbaKI2511hPpFAGLcf5Em/uaOdFxgdTBXUQP&#10;/w+WfzzceSJLTMLbMSWGabT89OP76efD6dc3kg4hUePCDJH3DrGxfWdbhA/nAYeJeVt5nb7gROCH&#10;wMeLwKKNhKdL08l0msPF4Rs2wM8erzsf4nthNUlGQT062AnLDpsQ+9AhJGUzdi2V6rqoDGkKevX6&#10;Td5duHgArgxyJBJ9scmK7bY9M9va8ghi3vbTERxfSyTfsBDvmMc4oGA8mHiLpVIWSezZoqS2/uu/&#10;zlM8ugQvJQ3Gq6AGr4kS9cGgewCMg+EHYzsYZq9vLOYV/UAtnYkLPqrBrLzVX/CKlikHXMxwZCpo&#10;HMyb2I84XiEXy2UXtHde7ur+AmbPsbgx946nNEnI4Jb7CDE7jZNAvSpn3TB9XZfOLyWN95/7Lurx&#10;77D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AZRPKgzAgAAZQQAAA4AAAAAAAAAAQAgAAAANQEA&#10;AGRycy9lMm9Eb2MueG1sUEsBAhQAFAAAAAgAh07iQLNJWO7QAAAABQEAAA8AAAAAAAAAAQAgAAAA&#10;OAAAAGRycy9kb3ducmV2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2" name="文本框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k+7WNAIAAGU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TigxTKPkpx/fTz8fTr++kXQIiRoXZoi8d4iN7TvbInw4DzhMzNvK6/QFJwI/&#10;BD5eBBZtJDxdmk6m0xwuDt+wAX72eN35EN8Lq0kyCupRwU5YdtiE2IcOISmbsWupVFdFZUhT0KvX&#10;b/LuwsUDcGWQI5HoH5us2G7bM7OtLY8g5m3fHcHxtUTyDQvxjnm0Ax6MgYm3WCplkcSeLUpq67/+&#10;6zzFo0rwUtKgvQpqME2UqA8G1QNgHAw/GNvBMHt9Y9GvYwyi452JCz6qway81V8wRcuUAy5mODIV&#10;NA7mTexbHFPIxXLZBe2dl7u6v4DecyxuzL3jKU0SMrjlPkLMTuMkUK/KWTd0X1el86Sk9v5z30U9&#10;/h0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BQAAAAIAIdO4kCKFGY80QAAAJQBAAALAAAA&#10;AAAAAAEAIAAAALkDAABfcmVscy8ucmVsc1BLAQIUAAoAAAAAAIdO4kAAAAAAAAAAAAAAAAAGAAAA&#10;AAAAAAAAEAAAAJUDAABfcmVscy9QSwECFAAKAAAAAACHTuJAAAAAAAAAAAAAAAAABAAAAAAAAAAA&#10;ABAAAAAWAAAAZHJzL1BLAQIUABQAAAAIAIdO4kD6k+7WNAIAAGUEAAAOAAAAAAAAAAEAIAAAADUB&#10;AABkcnMvZTJvRG9jLnhtbFBLAQIUABQAAAAIAIdO4kCzSVju0AAAAAUBAAAPAAAAAAAAAAEAIAAA&#10;ADgAAABkcnMvZG93bnJldi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8" name="文本框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G3ELMwIAAGU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ovCGaZT89OP76efD6dc3kg4hUePCDJH3DrGxfWdbhA/nAYeJeVt5nb7gROCH&#10;wMeLwKKNhKdL08l0msPF4Rs2wM8erzsf4nthNUlGQT0q2AnLDpsQ+9AhJGUzdi2V6qqoDGkKevX6&#10;Td5duHgArgxyJBL9Y5MV2217Zra15RHEvO27Izi+lki+YSHeMY92wIMxMPEWS6UsktizRUlt/dd/&#10;nad4VAleShq0V0ENpokS9cGgegCMg+EHYzsYZq9vLPp1jEF0vDNxwUc1mJW3+gumaJlywMUMR6aC&#10;xsG8iX2LYwq5WC67oL3zclf3F9B7jsWNuXc8pUlCBrfcR4jZaZwE6lU564bu66p0npTU3n/uu6jH&#10;v8P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LMbcQszAgAAZQQAAA4AAAAAAAAAAQAgAAAANQEA&#10;AGRycy9lMm9Eb2MueG1sUEsBAhQAFAAAAAgAh07iQLNJWO7QAAAABQEAAA8AAAAAAAAAAQAgAAAA&#10;OAAAAGRycy9kb3ducmV2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楷体_GB2312" w:eastAsia="楷体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6" name="文本框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5TvsTMwIAAGU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ILdMJ8RolhGiW/fP92+fHr8vMrSYeQqHZhgcgHh9jYvLUNwofzgMPEvCm9Tl9wIvBD&#10;4PNVYNFEwtOl+XQ+H8PF4Rs2wM8erzsf4jthNUlGTj0q2ArLTrsQu9AhJGUzdiuVaquoDKlzOnv9&#10;ZtxeuHoArgxyJBLdY5MVm33TM9vb4gxi3nbdERzfSiTfsRDvmUc74MEYmHiHpVQWSWxvUVJZ/+Vf&#10;5ykeVYKXkhrtlVODaaJEvTeoHgDjYPjB2A+GOepbi36dYBAdb01c8FENZumt/owpWqcccDHDkSmn&#10;cTBvY9fimEIu1us26Oi8PFTdBfSeY3FnHhxPaZKQwa2PEWK2GieBOlV63dB9bZX6SUnt/ee+jXr8&#10;O6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PlO+xMzAgAAZQQAAA4AAAAAAAAAAQAgAAAANQEA&#10;AGRycy9lMm9Eb2MueG1sUEsBAhQAFAAAAAgAh07iQLNJWO7QAAAABQEAAA8AAAAAAAAAAQAgAAAA&#10;OAAAAGRycy9kb3ducmV2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楷体_GB2312" w:eastAsia="楷体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7" name="文本框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8mWPNAIAAGUEAAAOAAAAZHJz&#10;L2Uyb0RvYy54bWytVM2O0zAQviPxDpbvNGkRS1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OmbykxTKPkpx/fTz8fTr++kXQIiRoXZoi8d4iN7TvbInw4DzhMzNvK6/QFJwI/&#10;BD5eBBZtJDxdmk6m0xwuDt+wAX72eN35EN8Lq0kyCupRwU5YdtiE2IcOISmbsWupVFdFZUhT0KvX&#10;b/LuwsUDcGWQI5HoH5us2G7bM7OtLY8g5m3fHcHxtUTyDQvxjnm0Ax6MgYm3WCplkcSeLUpq67/+&#10;6zzFo0rwUtKgvQpqME2UqA8G1QNgHAw/GNvBMHt9Y9GvYwyi452JCz6qway81V8wRcuUAy5mODIV&#10;NA7mTexbHFPIxXLZBe2dl7u6v4DecyxuzL3jKU0SMrjlPkLMTuMkUK/KWTd0X1el86Sk9v5z30U9&#10;/h0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BQAAAAIAIdO4kCKFGY80QAAAJQBAAALAAAA&#10;AAAAAAEAIAAAALkDAABfcmVscy8ucmVsc1BLAQIUAAoAAAAAAIdO4kAAAAAAAAAAAAAAAAAGAAAA&#10;AAAAAAAAEAAAAJUDAABfcmVscy9QSwECFAAKAAAAAACHTuJAAAAAAAAAAAAAAAAABAAAAAAAAAAA&#10;ABAAAAAWAAAAZHJzL1BLAQIUABQAAAAIAIdO4kCS8mWPNAIAAGUEAAAOAAAAAAAAAAEAIAAAADUB&#10;AABkcnMvZTJvRG9jLnhtbFBLAQIUABQAAAAIAIdO4kCzSVju0AAAAAUBAAAPAAAAAAAAAAEAIAAA&#10;ADgAAABkcnMvZG93bnJldi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楷体_GB2312" w:eastAsia="楷体_GB2312"/>
        <w:sz w:val="24"/>
        <w:szCs w:val="24"/>
      </w:rPr>
    </w:pPr>
    <w:r>
      <w:rPr>
        <w:rFonts w:hint="eastAsia" w:ascii="楷体_GB2312" w:eastAsia="楷体_GB2312"/>
        <w:sz w:val="24"/>
        <w:szCs w:val="24"/>
      </w:rPr>
      <w:t>第</w:t>
    </w:r>
    <w:r>
      <w:rPr>
        <w:rFonts w:hint="eastAsia" w:ascii="Times New Roman" w:hAnsi="Times New Roman" w:eastAsia="楷体_GB2312"/>
        <w:sz w:val="24"/>
        <w:szCs w:val="24"/>
      </w:rPr>
      <w:t>1</w:t>
    </w:r>
    <w:r>
      <w:rPr>
        <w:rFonts w:hint="eastAsia" w:ascii="楷体_GB2312" w:eastAsia="楷体_GB2312"/>
        <w:sz w:val="24"/>
        <w:szCs w:val="24"/>
      </w:rPr>
      <w:t>页（共</w:t>
    </w:r>
    <w:r>
      <w:rPr>
        <w:rFonts w:hint="eastAsia" w:ascii="楷体_GB2312" w:eastAsia="楷体_GB2312"/>
        <w:sz w:val="24"/>
        <w:szCs w:val="24"/>
      </w:rPr>
      <w:fldChar w:fldCharType="begin"/>
    </w:r>
    <w:r>
      <w:rPr>
        <w:rFonts w:hint="eastAsia" w:ascii="楷体_GB2312" w:eastAsia="楷体_GB2312"/>
        <w:sz w:val="24"/>
        <w:szCs w:val="24"/>
      </w:rPr>
      <w:instrText xml:space="preserve"> = </w:instrText>
    </w:r>
    <w:r>
      <w:rPr>
        <w:rFonts w:hint="eastAsia" w:ascii="楷体_GB2312" w:eastAsia="楷体_GB2312"/>
        <w:sz w:val="24"/>
        <w:szCs w:val="24"/>
      </w:rPr>
      <w:fldChar w:fldCharType="begin"/>
    </w:r>
    <w:r>
      <w:rPr>
        <w:rFonts w:hint="eastAsia" w:ascii="楷体_GB2312" w:eastAsia="楷体_GB2312"/>
        <w:sz w:val="24"/>
        <w:szCs w:val="24"/>
      </w:rPr>
      <w:instrText xml:space="preserve"> SECTIONPAGES   \* MERGEFORMAT </w:instrText>
    </w:r>
    <w:r>
      <w:rPr>
        <w:rFonts w:hint="eastAsia" w:ascii="楷体_GB2312" w:eastAsia="楷体_GB2312"/>
        <w:sz w:val="24"/>
        <w:szCs w:val="24"/>
      </w:rPr>
      <w:fldChar w:fldCharType="separate"/>
    </w:r>
    <w:r>
      <w:rPr>
        <w:rFonts w:ascii="楷体_GB2312" w:eastAsia="楷体_GB2312"/>
        <w:sz w:val="24"/>
        <w:szCs w:val="24"/>
      </w:rPr>
      <w:instrText xml:space="preserve">7</w:instrText>
    </w:r>
    <w:r>
      <w:rPr>
        <w:rFonts w:hint="eastAsia" w:ascii="楷体_GB2312" w:eastAsia="楷体_GB2312"/>
        <w:sz w:val="24"/>
        <w:szCs w:val="24"/>
      </w:rPr>
      <w:fldChar w:fldCharType="end"/>
    </w:r>
    <w:r>
      <w:rPr>
        <w:rFonts w:hint="eastAsia" w:ascii="楷体_GB2312" w:eastAsia="楷体_GB2312"/>
        <w:sz w:val="24"/>
        <w:szCs w:val="24"/>
      </w:rPr>
      <w:fldChar w:fldCharType="separate"/>
    </w:r>
    <w:r>
      <w:rPr>
        <w:rFonts w:ascii="Times New Roman" w:hAnsi="Times New Roman" w:eastAsia="楷体_GB2312"/>
        <w:sz w:val="24"/>
        <w:szCs w:val="24"/>
      </w:rPr>
      <w:t>7</w:t>
    </w:r>
    <w:r>
      <w:rPr>
        <w:rFonts w:hint="eastAsia" w:ascii="楷体_GB2312" w:eastAsia="楷体_GB2312"/>
        <w:sz w:val="24"/>
        <w:szCs w:val="24"/>
      </w:rPr>
      <w:fldChar w:fldCharType="end"/>
    </w:r>
    <w:r>
      <w:rPr>
        <w:rFonts w:hint="eastAsia" w:ascii="楷体_GB2312" w:eastAsia="楷体_GB2312"/>
        <w:sz w:val="24"/>
        <w:szCs w:val="24"/>
      </w:rPr>
      <w:t>页）</w:t>
    </w:r>
  </w:p>
  <w:p>
    <w:pPr>
      <w:pStyle w:val="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楷体_GB2312" w:eastAsia="楷体_GB2312"/>
        <w:sz w:val="24"/>
        <w:szCs w:val="24"/>
      </w:rPr>
    </w:pPr>
    <w:r>
      <w:rPr>
        <w:rFonts w:hint="eastAsia" w:ascii="楷体_GB2312" w:eastAsia="楷体_GB2312"/>
        <w:sz w:val="24"/>
        <w:szCs w:val="24"/>
      </w:rPr>
      <w:t>第</w:t>
    </w:r>
    <w:r>
      <w:rPr>
        <w:rFonts w:hint="eastAsia" w:ascii="Times New Roman" w:hAnsi="Times New Roman" w:eastAsia="楷体_GB2312"/>
        <w:sz w:val="24"/>
        <w:szCs w:val="24"/>
      </w:rPr>
      <w:t>1</w:t>
    </w:r>
    <w:r>
      <w:rPr>
        <w:rFonts w:hint="eastAsia" w:ascii="楷体_GB2312" w:eastAsia="楷体_GB2312"/>
        <w:sz w:val="24"/>
        <w:szCs w:val="24"/>
      </w:rPr>
      <w:t>页（共</w:t>
    </w:r>
    <w:r>
      <w:rPr>
        <w:rFonts w:hint="eastAsia" w:ascii="楷体_GB2312" w:eastAsia="楷体_GB2312"/>
        <w:sz w:val="24"/>
        <w:szCs w:val="24"/>
      </w:rPr>
      <w:fldChar w:fldCharType="begin"/>
    </w:r>
    <w:r>
      <w:rPr>
        <w:rFonts w:hint="eastAsia" w:ascii="楷体_GB2312" w:eastAsia="楷体_GB2312"/>
        <w:sz w:val="24"/>
        <w:szCs w:val="24"/>
      </w:rPr>
      <w:instrText xml:space="preserve"> = </w:instrText>
    </w:r>
    <w:r>
      <w:rPr>
        <w:rFonts w:hint="eastAsia" w:ascii="楷体_GB2312" w:eastAsia="楷体_GB2312"/>
        <w:sz w:val="24"/>
        <w:szCs w:val="24"/>
      </w:rPr>
      <w:fldChar w:fldCharType="begin"/>
    </w:r>
    <w:r>
      <w:rPr>
        <w:rFonts w:hint="eastAsia" w:ascii="楷体_GB2312" w:eastAsia="楷体_GB2312"/>
        <w:sz w:val="24"/>
        <w:szCs w:val="24"/>
      </w:rPr>
      <w:instrText xml:space="preserve"> SECTIONPAGES   \* MERGEFORMAT </w:instrText>
    </w:r>
    <w:r>
      <w:rPr>
        <w:rFonts w:hint="eastAsia" w:ascii="楷体_GB2312" w:eastAsia="楷体_GB2312"/>
        <w:sz w:val="24"/>
        <w:szCs w:val="24"/>
      </w:rPr>
      <w:fldChar w:fldCharType="separate"/>
    </w:r>
    <w:r>
      <w:rPr>
        <w:rFonts w:ascii="楷体_GB2312" w:eastAsia="楷体_GB2312"/>
        <w:sz w:val="24"/>
        <w:szCs w:val="24"/>
      </w:rPr>
      <w:instrText xml:space="preserve">7</w:instrText>
    </w:r>
    <w:r>
      <w:rPr>
        <w:rFonts w:hint="eastAsia" w:ascii="楷体_GB2312" w:eastAsia="楷体_GB2312"/>
        <w:sz w:val="24"/>
        <w:szCs w:val="24"/>
      </w:rPr>
      <w:fldChar w:fldCharType="end"/>
    </w:r>
    <w:r>
      <w:rPr>
        <w:rFonts w:hint="eastAsia" w:ascii="楷体_GB2312" w:eastAsia="楷体_GB2312"/>
        <w:sz w:val="24"/>
        <w:szCs w:val="24"/>
      </w:rPr>
      <w:fldChar w:fldCharType="separate"/>
    </w:r>
    <w:r>
      <w:rPr>
        <w:rFonts w:ascii="Times New Roman" w:hAnsi="Times New Roman" w:eastAsia="楷体_GB2312"/>
        <w:sz w:val="24"/>
        <w:szCs w:val="24"/>
      </w:rPr>
      <w:t>7</w:t>
    </w:r>
    <w:r>
      <w:rPr>
        <w:rFonts w:hint="eastAsia" w:ascii="楷体_GB2312" w:eastAsia="楷体_GB2312"/>
        <w:sz w:val="24"/>
        <w:szCs w:val="24"/>
      </w:rPr>
      <w:fldChar w:fldCharType="end"/>
    </w:r>
    <w:r>
      <w:rPr>
        <w:rFonts w:hint="eastAsia" w:ascii="楷体_GB2312" w:eastAsia="楷体_GB2312"/>
        <w:sz w:val="24"/>
        <w:szCs w:val="24"/>
      </w:rPr>
      <w:t>页）</w:t>
    </w:r>
  </w:p>
  <w:p>
    <w:pPr>
      <w:pStyle w:val="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8" name="文本框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fPY3RMgIAAGU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IMhTdMo+SX798uP35dfn4l6RAS1S7MEblziI3NW9sgfDgPOEzMm9Lr9AUnAj8E&#10;Pl8FFk0kPF2aTWezMVwcvmED/OzxuvMhvhNWk2Tk1KOCrbDstA2xCx1CUjZjN1KptorKkDqnN6/f&#10;jNsLVw/AlUGORKJ7bLJis296ZntbnEHM2647guMbieRbFuID82gHPBgDE++xlMoiie0tSirrv/zr&#10;PMWjSvBSUqO9cmowTZSo9wbVA2AcDD8Y+8EwR31n0a8TDKLjrYkLPqrBLL3VnzFFq5QDLmY4MuU0&#10;DuZd7FocU8jFatUGHZ2Xh6q7gN5zLG7NzvGUJgkZ3OoYIWarcRKoU6XXDd3XVqmflNTef+7bqMe/&#10;w/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3z2N0TICAABl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9" name="文本框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0gRNNNAIAAGU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OmbykxTKPkpx/fTz8fTr++kXQIiRoXZoi8d4iN7TvbInw4DzhMzNvK6/QFJwI/&#10;BD5eBBZtJDxdmk6m0xwuDt+wAX72eN35EN8Lq0kyCupRwU5YdtiE2IcOISmbsWupVFdFZUhT0KvX&#10;b/LuwsUDcGWQI5HoH5us2G7bM7OtLY8g5m3fHcHxtUTyDQvxjnm0Ax6MgYm3WCplkcSeLUpq67/+&#10;6zzFo0rwUtKgvQpqME2UqA8G1QNgHAw/GNvBMHt9Y9GvYwyi452JCz6qway81V8wRcuUAy5mODIV&#10;NA7mTexbHFPIxXLZBe2dl7u6v4DecyxuzL3jKU0SMrjlPkLMTuMkUK/KWTd0X1el86Sk9v5z30U9&#10;/h0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BQAAAAIAIdO4kCKFGY80QAAAJQBAAALAAAA&#10;AAAAAAEAIAAAALkDAABfcmVscy8ucmVsc1BLAQIUAAoAAAAAAIdO4kAAAAAAAAAAAAAAAAAGAAAA&#10;AAAAAAAAEAAAAJUDAABfcmVscy9QSwECFAAKAAAAAACHTuJAAAAAAAAAAAAAAAAABAAAAAAAAAAA&#10;ABAAAAAWAAAAZHJzL1BLAQIUABQAAAAIAIdO4kC0gRNNNAIAAGUEAAAOAAAAAAAAAAEAIAAAADUB&#10;AABkcnMvZTJvRG9jLnhtbFBLAQIUABQAAAAIAIdO4kCzSVju0AAAAAUBAAAPAAAAAAAAAAEAIAAA&#10;ADgAAABkcnMvZG93bnJldi54bWxQSwUGAAAAAAYABgBZAQAA2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000" w:type="dxa"/>
      <w:tblInd w:w="0" w:type="dxa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60"/>
      <w:gridCol w:w="3782"/>
      <w:gridCol w:w="3058"/>
    </w:tblGrid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restart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b/>
              <w:szCs w:val="21"/>
            </w:rPr>
          </w:pPr>
          <w:r>
            <w:rPr>
              <w:rFonts w:hint="eastAsia" w:ascii="楷体_GB2312" w:eastAsia="楷体_GB2312"/>
              <w:b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252730</wp:posOffset>
                </wp:positionV>
                <wp:extent cx="1074420" cy="228600"/>
                <wp:effectExtent l="0" t="0" r="11430" b="0"/>
                <wp:wrapSquare wrapText="bothSides"/>
                <wp:docPr id="19" name="Picture 9" descr="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9" descr="标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楷体_GB2312" w:eastAsia="楷体_GB2312"/>
              <w:b/>
              <w:sz w:val="30"/>
              <w:szCs w:val="30"/>
            </w:rPr>
            <w:t>山东步长制药有限公司</w:t>
          </w:r>
        </w:p>
      </w:tc>
      <w:tc>
        <w:tcPr>
          <w:tcW w:w="3782" w:type="dxa"/>
          <w:vMerge w:val="restart"/>
          <w:noWrap w:val="0"/>
          <w:vAlign w:val="center"/>
        </w:tcPr>
        <w:p>
          <w:pPr>
            <w:spacing w:line="500" w:lineRule="exact"/>
            <w:jc w:val="center"/>
            <w:rPr>
              <w:rFonts w:hint="eastAsia" w:ascii="楷体_GB2312" w:eastAsia="楷体_GB2312"/>
              <w:b/>
              <w:sz w:val="30"/>
              <w:szCs w:val="30"/>
            </w:rPr>
          </w:pPr>
          <w:r>
            <w:rPr>
              <w:rFonts w:hint="eastAsia" w:ascii="楷体_GB2312" w:eastAsia="楷体_GB2312"/>
              <w:b/>
              <w:sz w:val="30"/>
              <w:szCs w:val="30"/>
            </w:rPr>
            <w:t>质量管理</w:t>
          </w: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编号：</w:t>
          </w:r>
          <w:r>
            <w:rPr>
              <w:rFonts w:hint="eastAsia" w:ascii="Times New Roman" w:hAnsi="Times New Roman" w:eastAsia="楷体_GB2312"/>
              <w:sz w:val="24"/>
            </w:rPr>
            <w:t>ZSD</w:t>
          </w:r>
          <w:r>
            <w:rPr>
              <w:rFonts w:hint="eastAsia" w:ascii="楷体_GB2312" w:eastAsia="楷体_GB2312"/>
              <w:sz w:val="24"/>
            </w:rPr>
            <w:t>-</w:t>
          </w:r>
          <w:r>
            <w:rPr>
              <w:rFonts w:hint="eastAsia" w:ascii="Times New Roman" w:hAnsi="Times New Roman" w:eastAsia="楷体_GB2312"/>
              <w:sz w:val="24"/>
            </w:rPr>
            <w:t>QA</w:t>
          </w:r>
          <w:r>
            <w:rPr>
              <w:rFonts w:hint="eastAsia" w:ascii="楷体_GB2312" w:eastAsia="楷体_GB2312"/>
              <w:sz w:val="24"/>
            </w:rPr>
            <w:t>-</w:t>
          </w:r>
          <w:r>
            <w:rPr>
              <w:rFonts w:hint="eastAsia" w:ascii="Times New Roman" w:hAnsi="Times New Roman" w:eastAsia="楷体_GB2312"/>
              <w:sz w:val="24"/>
            </w:rPr>
            <w:t>001</w:t>
          </w: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continue"/>
          <w:noWrap w:val="0"/>
          <w:vAlign w:val="center"/>
        </w:tcPr>
        <w:p>
          <w:pPr>
            <w:spacing w:line="500" w:lineRule="exact"/>
            <w:jc w:val="center"/>
            <w:rPr>
              <w:rFonts w:hint="eastAsia" w:ascii="楷体_GB2312" w:eastAsia="楷体_GB2312"/>
              <w:b/>
              <w:sz w:val="28"/>
              <w:szCs w:val="28"/>
            </w:rPr>
          </w:pP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密级：</w:t>
          </w: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restart"/>
          <w:noWrap w:val="0"/>
          <w:vAlign w:val="center"/>
        </w:tcPr>
        <w:p>
          <w:pPr>
            <w:spacing w:line="500" w:lineRule="exact"/>
            <w:jc w:val="center"/>
            <w:rPr>
              <w:rFonts w:hint="eastAsia" w:ascii="楷体_GB2312" w:eastAsia="楷体_GB2312"/>
              <w:b/>
              <w:sz w:val="28"/>
              <w:szCs w:val="28"/>
            </w:rPr>
          </w:pPr>
          <w:r>
            <w:rPr>
              <w:rFonts w:hint="eastAsia" w:ascii="楷体_GB2312" w:eastAsia="楷体_GB2312"/>
              <w:b/>
              <w:sz w:val="30"/>
              <w:szCs w:val="30"/>
            </w:rPr>
            <w:t>文件管理规</w:t>
          </w:r>
          <w:r>
            <w:rPr>
              <w:rFonts w:ascii="楷体_GB2312" w:eastAsia="楷体_GB2312"/>
              <w:b/>
              <w:sz w:val="30"/>
              <w:szCs w:val="30"/>
            </w:rPr>
            <w:t>程</w:t>
          </w: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版本号：</w:t>
          </w:r>
          <w:r>
            <w:rPr>
              <w:rFonts w:hint="eastAsia" w:ascii="Times New Roman" w:hAnsi="Times New Roman" w:eastAsia="楷体_GB2312"/>
              <w:sz w:val="24"/>
            </w:rPr>
            <w:t>01</w:t>
          </w: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执行日期：</w:t>
          </w:r>
          <w:r>
            <w:rPr>
              <w:rFonts w:hint="eastAsia" w:ascii="Times New Roman" w:hAnsi="Times New Roman" w:eastAsia="楷体_GB2312"/>
              <w:sz w:val="24"/>
            </w:rPr>
            <w:t>2010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08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01</w:t>
          </w:r>
        </w:p>
        <w:p>
          <w:pPr>
            <w:spacing w:line="500" w:lineRule="exact"/>
            <w:ind w:firstLine="705" w:firstLineChars="294"/>
            <w:rPr>
              <w:rFonts w:hint="eastAsia" w:ascii="楷体_GB2312" w:eastAsia="楷体_GB2312"/>
              <w:sz w:val="24"/>
            </w:rPr>
          </w:pP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下次修订时间：</w:t>
          </w:r>
          <w:r>
            <w:rPr>
              <w:rFonts w:hint="eastAsia" w:ascii="Times New Roman" w:hAnsi="Times New Roman" w:eastAsia="楷体_GB2312"/>
              <w:sz w:val="24"/>
            </w:rPr>
            <w:t>2012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07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31</w:t>
          </w:r>
        </w:p>
      </w:tc>
    </w:tr>
  </w:tbl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000" w:type="dxa"/>
      <w:tblInd w:w="-72" w:type="dxa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60"/>
      <w:gridCol w:w="3782"/>
      <w:gridCol w:w="3058"/>
    </w:tblGrid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restart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b/>
              <w:szCs w:val="21"/>
            </w:rPr>
          </w:pPr>
          <w:r>
            <w:rPr>
              <w:rFonts w:hint="eastAsia" w:ascii="楷体_GB2312" w:eastAsia="楷体_GB2312"/>
              <w:b/>
              <w:sz w:val="30"/>
              <w:szCs w:val="3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252730</wp:posOffset>
                </wp:positionV>
                <wp:extent cx="1074420" cy="228600"/>
                <wp:effectExtent l="0" t="0" r="11430" b="0"/>
                <wp:wrapSquare wrapText="bothSides"/>
                <wp:docPr id="20" name="图片 2" descr="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" descr="标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楷体_GB2312" w:eastAsia="楷体_GB2312"/>
              <w:b/>
              <w:sz w:val="30"/>
              <w:szCs w:val="30"/>
            </w:rPr>
            <w:t>山东步长制药有限公司</w:t>
          </w:r>
        </w:p>
      </w:tc>
      <w:tc>
        <w:tcPr>
          <w:tcW w:w="3782" w:type="dxa"/>
          <w:vMerge w:val="restart"/>
          <w:noWrap w:val="0"/>
          <w:vAlign w:val="center"/>
        </w:tcPr>
        <w:p>
          <w:pPr>
            <w:spacing w:line="500" w:lineRule="exact"/>
            <w:jc w:val="center"/>
            <w:rPr>
              <w:rFonts w:hint="eastAsia" w:ascii="楷体_GB2312" w:eastAsia="楷体_GB2312"/>
              <w:b/>
              <w:sz w:val="30"/>
              <w:szCs w:val="30"/>
            </w:rPr>
          </w:pPr>
          <w:r>
            <w:rPr>
              <w:rFonts w:hint="eastAsia" w:ascii="楷体_GB2312" w:eastAsia="楷体_GB2312"/>
              <w:b/>
              <w:sz w:val="30"/>
              <w:szCs w:val="30"/>
            </w:rPr>
            <w:t>质量管理</w:t>
          </w: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编号：</w:t>
          </w:r>
          <w:r>
            <w:rPr>
              <w:rFonts w:hint="eastAsia" w:ascii="Times New Roman" w:hAnsi="Times New Roman" w:eastAsia="楷体_GB2312"/>
              <w:sz w:val="24"/>
            </w:rPr>
            <w:t>ZSD</w:t>
          </w:r>
          <w:r>
            <w:rPr>
              <w:rFonts w:hint="eastAsia" w:ascii="楷体_GB2312" w:eastAsia="楷体_GB2312"/>
              <w:sz w:val="24"/>
            </w:rPr>
            <w:t>-</w:t>
          </w:r>
          <w:r>
            <w:rPr>
              <w:rFonts w:hint="eastAsia" w:ascii="Times New Roman" w:hAnsi="Times New Roman" w:eastAsia="楷体_GB2312"/>
              <w:sz w:val="24"/>
            </w:rPr>
            <w:t>QA</w:t>
          </w:r>
          <w:r>
            <w:rPr>
              <w:rFonts w:hint="eastAsia" w:ascii="楷体_GB2312" w:eastAsia="楷体_GB2312"/>
              <w:sz w:val="24"/>
            </w:rPr>
            <w:t>-</w:t>
          </w:r>
          <w:r>
            <w:rPr>
              <w:rFonts w:hint="eastAsia" w:ascii="Times New Roman" w:hAnsi="Times New Roman" w:eastAsia="楷体_GB2312"/>
              <w:sz w:val="24"/>
            </w:rPr>
            <w:t>001</w:t>
          </w: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continue"/>
          <w:noWrap w:val="0"/>
          <w:vAlign w:val="center"/>
        </w:tcPr>
        <w:p>
          <w:pPr>
            <w:spacing w:line="500" w:lineRule="exact"/>
            <w:jc w:val="center"/>
            <w:rPr>
              <w:rFonts w:hint="eastAsia" w:ascii="楷体_GB2312" w:eastAsia="楷体_GB2312"/>
              <w:b/>
              <w:sz w:val="28"/>
              <w:szCs w:val="28"/>
            </w:rPr>
          </w:pP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密级：</w:t>
          </w: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restart"/>
          <w:noWrap w:val="0"/>
          <w:vAlign w:val="center"/>
        </w:tcPr>
        <w:p>
          <w:pPr>
            <w:spacing w:line="500" w:lineRule="exact"/>
            <w:jc w:val="center"/>
            <w:rPr>
              <w:rFonts w:hint="eastAsia" w:ascii="楷体_GB2312" w:eastAsia="楷体_GB2312"/>
              <w:b/>
              <w:sz w:val="28"/>
              <w:szCs w:val="28"/>
            </w:rPr>
          </w:pPr>
          <w:r>
            <w:rPr>
              <w:rFonts w:hint="eastAsia" w:ascii="楷体_GB2312" w:eastAsia="楷体_GB2312"/>
              <w:b/>
              <w:sz w:val="30"/>
              <w:szCs w:val="30"/>
            </w:rPr>
            <w:t>文件管理规</w:t>
          </w:r>
          <w:r>
            <w:rPr>
              <w:rFonts w:ascii="楷体_GB2312" w:eastAsia="楷体_GB2312"/>
              <w:b/>
              <w:sz w:val="30"/>
              <w:szCs w:val="30"/>
            </w:rPr>
            <w:t>程</w:t>
          </w: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版本号：</w:t>
          </w:r>
          <w:r>
            <w:rPr>
              <w:rFonts w:hint="eastAsia" w:ascii="Times New Roman" w:hAnsi="Times New Roman" w:eastAsia="楷体_GB2312"/>
              <w:sz w:val="24"/>
            </w:rPr>
            <w:t>01</w:t>
          </w: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执行日期：</w:t>
          </w:r>
          <w:r>
            <w:rPr>
              <w:rFonts w:hint="eastAsia" w:ascii="Times New Roman" w:hAnsi="Times New Roman" w:eastAsia="楷体_GB2312"/>
              <w:sz w:val="24"/>
            </w:rPr>
            <w:t>2010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08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01</w:t>
          </w:r>
        </w:p>
        <w:p>
          <w:pPr>
            <w:spacing w:line="500" w:lineRule="exact"/>
            <w:ind w:firstLine="705" w:firstLineChars="294"/>
            <w:rPr>
              <w:rFonts w:hint="eastAsia" w:ascii="楷体_GB2312" w:eastAsia="楷体_GB2312"/>
              <w:sz w:val="24"/>
            </w:rPr>
          </w:pPr>
        </w:p>
      </w:tc>
    </w:tr>
    <w:tr>
      <w:tblPrEx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</w:trPr>
      <w:tc>
        <w:tcPr>
          <w:tcW w:w="2160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782" w:type="dxa"/>
          <w:vMerge w:val="continue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8"/>
              <w:szCs w:val="28"/>
            </w:rPr>
          </w:pPr>
        </w:p>
      </w:tc>
      <w:tc>
        <w:tcPr>
          <w:tcW w:w="3058" w:type="dxa"/>
          <w:noWrap w:val="0"/>
          <w:vAlign w:val="top"/>
        </w:tcPr>
        <w:p>
          <w:pPr>
            <w:spacing w:line="500" w:lineRule="exact"/>
            <w:rPr>
              <w:rFonts w:hint="eastAsia" w:ascii="楷体_GB2312" w:eastAsia="楷体_GB2312"/>
              <w:sz w:val="24"/>
            </w:rPr>
          </w:pPr>
          <w:r>
            <w:rPr>
              <w:rFonts w:hint="eastAsia" w:ascii="楷体_GB2312" w:eastAsia="楷体_GB2312"/>
              <w:sz w:val="24"/>
            </w:rPr>
            <w:t>下次修订时间：</w:t>
          </w:r>
          <w:r>
            <w:rPr>
              <w:rFonts w:hint="eastAsia" w:ascii="Times New Roman" w:hAnsi="Times New Roman" w:eastAsia="楷体_GB2312"/>
              <w:sz w:val="24"/>
            </w:rPr>
            <w:t>2012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07</w:t>
          </w:r>
          <w:r>
            <w:rPr>
              <w:rFonts w:hint="eastAsia" w:ascii="楷体_GB2312" w:eastAsia="楷体_GB2312"/>
              <w:sz w:val="24"/>
            </w:rPr>
            <w:t>.</w:t>
          </w:r>
          <w:r>
            <w:rPr>
              <w:rFonts w:hint="eastAsia" w:ascii="Times New Roman" w:hAnsi="Times New Roman" w:eastAsia="楷体_GB2312"/>
              <w:sz w:val="24"/>
            </w:rPr>
            <w:t>31</w:t>
          </w:r>
        </w:p>
      </w:tc>
    </w:tr>
  </w:tbl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TAxNTA2ZmFhMzFjM2ZjN2EwNzc3NDk5ZmVkMjQifQ=="/>
  </w:docVars>
  <w:rsids>
    <w:rsidRoot w:val="4A1947CF"/>
    <w:rsid w:val="02C00F13"/>
    <w:rsid w:val="05C32C00"/>
    <w:rsid w:val="06BC67E5"/>
    <w:rsid w:val="07FD4F4B"/>
    <w:rsid w:val="0F3E7FBA"/>
    <w:rsid w:val="166E364F"/>
    <w:rsid w:val="1BC06F9C"/>
    <w:rsid w:val="1BFC197F"/>
    <w:rsid w:val="1E4D6279"/>
    <w:rsid w:val="1F9F12C5"/>
    <w:rsid w:val="1FEE4A3F"/>
    <w:rsid w:val="22712456"/>
    <w:rsid w:val="25F76C5E"/>
    <w:rsid w:val="2F7A7326"/>
    <w:rsid w:val="32EB3B6C"/>
    <w:rsid w:val="335E5D1F"/>
    <w:rsid w:val="3B7B6BAF"/>
    <w:rsid w:val="3BF7A5B8"/>
    <w:rsid w:val="3CC1733D"/>
    <w:rsid w:val="40BB0E40"/>
    <w:rsid w:val="4A1947CF"/>
    <w:rsid w:val="56507AB7"/>
    <w:rsid w:val="57EA98C8"/>
    <w:rsid w:val="5CEF4534"/>
    <w:rsid w:val="5D7BF080"/>
    <w:rsid w:val="5DFFF4A3"/>
    <w:rsid w:val="5FEDBA68"/>
    <w:rsid w:val="5FFDC48D"/>
    <w:rsid w:val="62BC76E1"/>
    <w:rsid w:val="674D00CC"/>
    <w:rsid w:val="67BBDEFB"/>
    <w:rsid w:val="6A706C36"/>
    <w:rsid w:val="6B9C466C"/>
    <w:rsid w:val="6CBEA301"/>
    <w:rsid w:val="6DA13228"/>
    <w:rsid w:val="6DAF4A2C"/>
    <w:rsid w:val="6DFD2BD7"/>
    <w:rsid w:val="6FB3163C"/>
    <w:rsid w:val="6FFBABF8"/>
    <w:rsid w:val="71465F95"/>
    <w:rsid w:val="71D21486"/>
    <w:rsid w:val="72DB054E"/>
    <w:rsid w:val="73DA3561"/>
    <w:rsid w:val="7577E55C"/>
    <w:rsid w:val="780401D3"/>
    <w:rsid w:val="7B3693E8"/>
    <w:rsid w:val="7B570F67"/>
    <w:rsid w:val="7B72599E"/>
    <w:rsid w:val="7CDFCD34"/>
    <w:rsid w:val="7DE5B298"/>
    <w:rsid w:val="7F5F7EEC"/>
    <w:rsid w:val="7FD3F829"/>
    <w:rsid w:val="7FDF6C4C"/>
    <w:rsid w:val="7FDFD73E"/>
    <w:rsid w:val="7FED3B2C"/>
    <w:rsid w:val="7FF502AA"/>
    <w:rsid w:val="7FF74500"/>
    <w:rsid w:val="7FFF8E05"/>
    <w:rsid w:val="8DF7BFD9"/>
    <w:rsid w:val="8FAE55EA"/>
    <w:rsid w:val="9EFBADEE"/>
    <w:rsid w:val="B2DB3D1D"/>
    <w:rsid w:val="B7E758E1"/>
    <w:rsid w:val="BAFE4CEF"/>
    <w:rsid w:val="BBBF7D31"/>
    <w:rsid w:val="BF576C45"/>
    <w:rsid w:val="BF5F8F7E"/>
    <w:rsid w:val="BF87A4BE"/>
    <w:rsid w:val="CDBE269B"/>
    <w:rsid w:val="CEE93395"/>
    <w:rsid w:val="D3FEA581"/>
    <w:rsid w:val="D6FB836C"/>
    <w:rsid w:val="DB7F1137"/>
    <w:rsid w:val="DBFD64C1"/>
    <w:rsid w:val="DDCFE7AC"/>
    <w:rsid w:val="DDD6E67E"/>
    <w:rsid w:val="DDFB8718"/>
    <w:rsid w:val="DF9F0996"/>
    <w:rsid w:val="DF9F2ED6"/>
    <w:rsid w:val="DFEA2E39"/>
    <w:rsid w:val="E55F89FB"/>
    <w:rsid w:val="E77DD138"/>
    <w:rsid w:val="E9F772F4"/>
    <w:rsid w:val="EEBAF271"/>
    <w:rsid w:val="EFAD29EB"/>
    <w:rsid w:val="EFDD5A03"/>
    <w:rsid w:val="F3E93D89"/>
    <w:rsid w:val="F3FD676E"/>
    <w:rsid w:val="F613B275"/>
    <w:rsid w:val="FB377759"/>
    <w:rsid w:val="FBFBF3E7"/>
    <w:rsid w:val="FCAF6A08"/>
    <w:rsid w:val="FD79DAF0"/>
    <w:rsid w:val="FDBFC7D0"/>
    <w:rsid w:val="FE7E4E02"/>
    <w:rsid w:val="FEAB0814"/>
    <w:rsid w:val="FF1E07F9"/>
    <w:rsid w:val="FFEF4206"/>
    <w:rsid w:val="FFFA24CB"/>
    <w:rsid w:val="FFFDB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beforeLines="0" w:afterLines="0"/>
      <w:ind w:firstLine="420" w:firstLineChars="100"/>
    </w:pPr>
    <w:rPr>
      <w:rFonts w:hint="default"/>
      <w:sz w:val="21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</w:pPr>
    <w:rPr>
      <w:rFonts w:ascii="宋体" w:hAnsi="宋体"/>
      <w:sz w:val="32"/>
      <w:szCs w:val="32"/>
      <w:lang w:eastAsia="en-US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styleId="17">
    <w:name w:val="List Paragraph"/>
    <w:basedOn w:val="1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customStyle="1" w:styleId="18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 w:cs="Times New Roman"/>
      <w:kern w:val="2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5.xml"/><Relationship Id="rId22" Type="http://schemas.openxmlformats.org/officeDocument/2006/relationships/header" Target="header6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header" Target="header5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3913</Words>
  <Characters>4465</Characters>
  <Lines>0</Lines>
  <Paragraphs>0</Paragraphs>
  <TotalTime>5</TotalTime>
  <ScaleCrop>false</ScaleCrop>
  <LinksUpToDate>false</LinksUpToDate>
  <CharactersWithSpaces>4517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刘孟妮</cp:lastModifiedBy>
  <dcterms:modified xsi:type="dcterms:W3CDTF">2024-12-26T09:39:35Z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D3734185141C4820A67A9662D69D7AD7_12</vt:lpwstr>
  </property>
</Properties>
</file>