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0"/>
          <w:sz w:val="44"/>
          <w:szCs w:val="44"/>
          <w:lang w:eastAsia="zh-CN"/>
        </w:rPr>
        <w:t>马鞍山市医疗保障局</w:t>
      </w:r>
      <w:r>
        <w:rPr>
          <w:rFonts w:hint="eastAsia" w:ascii="方正小标宋_GBK" w:hAnsi="方正小标宋_GBK" w:eastAsia="方正小标宋_GBK" w:cs="方正小标宋_GBK"/>
          <w:spacing w:val="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90"/>
          <w:sz w:val="44"/>
          <w:szCs w:val="44"/>
          <w:lang w:eastAsia="zh-CN"/>
        </w:rPr>
        <w:t>马鞍山市卫生健康委员会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落实国家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医疗服务价格规范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治理(第一批)的通知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各县医疗保障局、各区人社局，各县区卫生健康委员会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局属各单位，各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公立医疗机构：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为进一步规范医疗服务价格管理，根据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《国家医保局关于开展医疗服务价格规范治理（第一批）的通知》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医保价采函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〔2024〕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号）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《安徽省医疗保障局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安徽省卫生健康委员会关于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落实国家医疗服务价格规范治理（第一批）的通知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》（皖医保秘〔2024〕71号）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现就开展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血栓弹力图试验等检查检验类医疗服务项目价格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规范治理通知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一、调整血栓弹力图试验（TEG）、糖化血红蛋白测定（色谱法）、B型钠尿肽（BNP）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测定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、B型钠尿肽前体(PRO-BNP)测定、N端-B型钠尿肽前体（NT-ProBNP）测定项目价格，完善B型钠尿肽检测相关价格项目方法学及价格，具体见附件。所标注价格为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公立医院最高政府指导价，原医保支付政策不变。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二、各公立医疗机构要加强内部管理，健全价格信息公开制度、住院费用清单制度和价格投诉处理制度，规范医疗服务收费行为，通过电子显示屏等多种方式向患者公示医疗服务价格，自觉接受社会监督。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市医疗生育保险管理服务中心、各县医保局要做好本通知涉及项目的贯标与医保信息系统更新维护；各级各类医疗机构要做好编码对照工作。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、本通知自2024年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日起执行。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既往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政策文件与本通知不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的，以本通知为准。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第一批医疗服务价格规范治理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项目明细表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马鞍山市医疗保障局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马鞍山市卫生健康委员会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2024年11月8日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3" w:bottom="1610" w:left="186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第一批医疗服务价格规范治理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项目明细表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079"/>
        <w:gridCol w:w="2319"/>
        <w:gridCol w:w="818"/>
        <w:gridCol w:w="846"/>
        <w:gridCol w:w="826"/>
        <w:gridCol w:w="783"/>
        <w:gridCol w:w="986"/>
        <w:gridCol w:w="2479"/>
        <w:gridCol w:w="730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除外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一级及以下</w:t>
            </w: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250203080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血栓弹力图试验（TEG）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含R时间、K时间、ALPHA角度、MA、TMA、血块强度G、EPL、CI30、LY30、CI、TPI等指标测定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cs="Times New Roman"/>
                <w:strike w:val="0"/>
                <w:dstrike w:val="0"/>
                <w:color w:val="auto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9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250302003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糖化血红蛋白（HbA1c）测定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各种免疫学方法、色谱法加收100%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250306012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B型钠尿肽（BNP）测定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cs="Times New Roman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lang w:val="en-US" w:eastAsia="zh-CN" w:bidi="ar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250306013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B型钠尿肽前体（PRO-BNP）测定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cs="Times New Roman"/>
                <w:strike w:val="0"/>
                <w:dstrike w:val="0"/>
                <w:color w:val="auto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CEST1000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N端-B型钠尿肽前体（NT-ProBNP）测定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cs="Times New Roman"/>
                <w:strike w:val="0"/>
                <w:dstrike w:val="0"/>
                <w:color w:val="auto"/>
                <w:lang w:val="en-US" w:eastAsia="zh-CN" w:bidi="ar"/>
              </w:rPr>
              <w:t>指化学发光或荧光免疫法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/>
                <w:color w:val="auto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cs="Times New Roman"/>
                <w:strike w:val="0"/>
                <w:dstrike w:val="0"/>
                <w:color w:val="auto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酶标记法80元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</w:tbl>
    <w:p>
      <w:pPr>
        <w:pStyle w:val="2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sectPr>
          <w:pgSz w:w="16838" w:h="11906" w:orient="landscape"/>
          <w:pgMar w:top="2030" w:right="1553" w:bottom="1803" w:left="1610" w:header="851" w:footer="992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553" w:right="1803" w:bottom="1610" w:left="2030" w:header="851" w:footer="992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26430"/>
    <w:rsid w:val="014143BF"/>
    <w:rsid w:val="063624E9"/>
    <w:rsid w:val="06B02485"/>
    <w:rsid w:val="07AA79F6"/>
    <w:rsid w:val="1E320B9B"/>
    <w:rsid w:val="1EDF5096"/>
    <w:rsid w:val="21E76370"/>
    <w:rsid w:val="27DB4CF5"/>
    <w:rsid w:val="29AF23DF"/>
    <w:rsid w:val="2CDA7D22"/>
    <w:rsid w:val="2F1B7DCB"/>
    <w:rsid w:val="308C057B"/>
    <w:rsid w:val="30B533C9"/>
    <w:rsid w:val="381829CA"/>
    <w:rsid w:val="389334A7"/>
    <w:rsid w:val="3E6742FB"/>
    <w:rsid w:val="3F026430"/>
    <w:rsid w:val="48773C0F"/>
    <w:rsid w:val="4C7C6E43"/>
    <w:rsid w:val="59FFF24E"/>
    <w:rsid w:val="5A3C69FA"/>
    <w:rsid w:val="5FBB37AD"/>
    <w:rsid w:val="61E69A32"/>
    <w:rsid w:val="6389220A"/>
    <w:rsid w:val="6CC30A1E"/>
    <w:rsid w:val="6DF3C0BF"/>
    <w:rsid w:val="70DFF5FC"/>
    <w:rsid w:val="77F60609"/>
    <w:rsid w:val="77F9A423"/>
    <w:rsid w:val="79CB5A5E"/>
    <w:rsid w:val="7A101DCE"/>
    <w:rsid w:val="7AAF617D"/>
    <w:rsid w:val="7ADE5D84"/>
    <w:rsid w:val="7B587E6C"/>
    <w:rsid w:val="7CEB81CF"/>
    <w:rsid w:val="7DDF96F1"/>
    <w:rsid w:val="7E1AEB95"/>
    <w:rsid w:val="7F63C73C"/>
    <w:rsid w:val="7FBF4EEF"/>
    <w:rsid w:val="99ED3E8F"/>
    <w:rsid w:val="AFFB46B8"/>
    <w:rsid w:val="B46FB8D0"/>
    <w:rsid w:val="B78F2547"/>
    <w:rsid w:val="B9FAA63C"/>
    <w:rsid w:val="BF2FA04E"/>
    <w:rsid w:val="BFEE5BC7"/>
    <w:rsid w:val="C7FB92C7"/>
    <w:rsid w:val="CDD98BCB"/>
    <w:rsid w:val="CDFA338E"/>
    <w:rsid w:val="D3FD8705"/>
    <w:rsid w:val="D4E690B9"/>
    <w:rsid w:val="DBEE098C"/>
    <w:rsid w:val="DDE71358"/>
    <w:rsid w:val="DFBFFFED"/>
    <w:rsid w:val="EB8FDC73"/>
    <w:rsid w:val="F3F3CB86"/>
    <w:rsid w:val="FF55F530"/>
    <w:rsid w:val="FF7F1502"/>
    <w:rsid w:val="FFBE765F"/>
    <w:rsid w:val="FFF0E053"/>
    <w:rsid w:val="FFF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ascii="Calibri" w:hAnsi="Calibri" w:eastAsia="仿宋_GB2312" w:cs="Times New Roman"/>
      <w:kern w:val="0"/>
      <w:sz w:val="32"/>
      <w:szCs w:val="32"/>
    </w:rPr>
  </w:style>
  <w:style w:type="character" w:customStyle="1" w:styleId="14">
    <w:name w:val="font11"/>
    <w:basedOn w:val="11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1073</Characters>
  <Lines>0</Lines>
  <Paragraphs>0</Paragraphs>
  <TotalTime>5</TotalTime>
  <ScaleCrop>false</ScaleCrop>
  <LinksUpToDate>false</LinksUpToDate>
  <CharactersWithSpaces>1129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2021-08-03T18:10:00Z</dcterms:created>
  <dc:creator>^ ^</dc:creator>
  <cp:lastModifiedBy>user</cp:lastModifiedBy>
  <cp:lastPrinted>2024-04-06T08:42:00Z</cp:lastPrinted>
  <dcterms:modified xsi:type="dcterms:W3CDTF">2024-11-11T09:13:27Z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4658B15AF3FDDD9A83080D6605B29DB6</vt:lpwstr>
  </property>
</Properties>
</file>