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sz w:val="32"/>
          <w:lang w:val="en-US" w:eastAsia="zh-CN"/>
        </w:rPr>
        <w:t>ZBCR—202</w:t>
      </w:r>
      <w:r>
        <w:rPr>
          <w:rFonts w:hint="default" w:ascii="Times New Roman" w:hAnsi="Times New Roman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32"/>
          <w:lang w:val="en-US" w:eastAsia="zh-CN"/>
        </w:rPr>
        <w:t>—</w:t>
      </w:r>
      <w:r>
        <w:rPr>
          <w:rFonts w:hint="default" w:ascii="Times New Roman" w:hAnsi="Times New Roman" w:eastAsia="宋体" w:cs="Times New Roman"/>
          <w:sz w:val="32"/>
          <w:lang w:val="en-US" w:eastAsia="zh-CN"/>
        </w:rPr>
        <w:t>082</w: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0004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56"/>
          <w:szCs w:val="56"/>
        </w:rPr>
        <w:pict>
          <v:shape id="_x0000_i1025" o:spt="136" type="#_x0000_t136" style="height:60pt;width:432pt;" fillcolor="#FF0000" filled="t" stroked="t" coordsize="21600,21600" adj="10800">
            <v:path/>
            <v:fill on="t" color2="#FFFFFF" focussize="0,0"/>
            <v:stroke weight="0pt" color="#FF0000" dashstyle="1 1" endcap="round"/>
            <v:imagedata o:title=""/>
            <o:lock v:ext="edit" aspectratio="f"/>
            <v:textpath on="t" fitshape="t" fitpath="t" trim="t" xscale="f" string="淄博市医疗保障局文件&#10;" style="font-family:方正小标宋简体;font-size:36pt;font-weight:bold;v-text-align:center;"/>
            <w10:wrap type="none"/>
            <w10:anchorlock/>
          </v:shape>
        </w:pic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淄医保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〔20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102235</wp:posOffset>
                </wp:positionV>
                <wp:extent cx="5603240" cy="6985"/>
                <wp:effectExtent l="0" t="9525" r="1651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4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5pt;margin-top:8.05pt;height:0.55pt;width:441.2pt;z-index:251660288;mso-width-relative:page;mso-height-relative:page;" filled="f" stroked="t" coordsize="21600,21600" o:gfxdata="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W6o40NcAAAAHAQAA&#10;DwAAAAAAAAABACAAAAA4AAAAZHJzL2Rvd25yZXYueG1sUEsBAhQAFAAAAAgAh07iQAUFLWAEAgAA&#10;AAQAAA4AAAAAAAAAAQAgAAAAPAEAAGRycy9lMm9Eb2MueG1sUEsFBgAAAAAGAAYAWQEAALI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淄博市医疗保障局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关于调整部分医疗服务项目价格的通知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各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eastAsia="zh-CN"/>
        </w:rPr>
        <w:t>区县医保分局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，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eastAsia="zh-CN"/>
        </w:rPr>
        <w:t>高新区、经开区医保分局，市医保中心，市稽核中心，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lang w:eastAsia="zh-CN"/>
        </w:rPr>
        <w:t>各公立医院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为不断优化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医疗服务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价格结构，加大对技术劳务价值支持力度，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根据山东省医保局《关于调整部分医疗服务项目价格的通知》（鲁医保发〔2024〕8号）文件精神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调整我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部分医疗服务项目价格，并就有关事项通知如下：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一、附件公布的医疗服务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价格为公立医疗机构执行的价格，其他相关政策按现行规定执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二、各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区县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医保分局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根据本通知规定，结合实际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及时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做好价格衔接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三、纳入医保支付范围的医疗服务价格项目，按医保部门的相关规定支付。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四、各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区县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医保分局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要及时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将调整的医疗服务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项目价格，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在医疗保障信息平台医疗服务价格子系统中更新，并做好政策落地实施的跟踪监测。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医疗机构应在服务场所显著位置做好价格公示，接受社会监督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本通知自2024年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附件：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u w:val="none"/>
        </w:rPr>
        <w:t>公立医疗机构部分医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疗服务项目价格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54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2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203" w:firstLineChars="1626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2024年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（此件主动公开）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decimal"/>
          <w:cols w:space="0" w:num="1"/>
          <w:docGrid w:type="lines" w:linePitch="465" w:charSpace="0"/>
        </w:sect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16"/>
        <w:gridCol w:w="1692"/>
        <w:gridCol w:w="3067"/>
        <w:gridCol w:w="1248"/>
        <w:gridCol w:w="624"/>
        <w:gridCol w:w="823"/>
        <w:gridCol w:w="823"/>
        <w:gridCol w:w="823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淄博市公立医疗机构部分医疗服务项目价格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普通门诊诊察费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指医护人员提供(技术劳务)的诊疗服务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区属一级</w:t>
            </w: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村卫生室一般诊疗费个人支付１元，基层医疗卫生机构一般诊疗费注射型个人支付３.０元，非注射型２.０元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急诊观察床位费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符合病房条件和管理标准的急诊观察床，按病房有关标准计价床位费以日计算，不足半日按半日计价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含用药指导与观察、药物的配置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一次性输液器、过滤器、采血器、注射器等特殊性消耗材料；药物、血液和血制品；胰岛素笔用针头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包括皮下、皮内注射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快速过敏皮试每次8元，PPD试验30元/次。六岁（含）以下儿童加收不超过20%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包括静脉采血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小儿股（颈）静脉采血加收4元。六岁（含）以下儿童加收不超过20%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动脉加压注射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包括动脉采血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股、桡动脉采血加收10元.六岁（含）以下儿童加收不超过20%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皮下输液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包括输血、注药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2瓶（含2瓶）以上每瓶加收1元;使用微量泵或输液泵每泵每小时加收2元。留置静脉针穿刺加收5.5元/次，留置针封堵3元/次。六岁（含）以下儿童加收不超过20%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小儿头皮静脉输液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2瓶（含2瓶）以上每瓶加收1元;使用微量泵或输液泵每小时加收 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抗肿瘤化学药物配置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包括免疫抑制制剂配置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静脉用药集中调配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在静脉用药调配中心进行的对肠外营养药品、危害药品、抗菌药物和其它静脉输液药品的配置。遵医嘱，核对治疗方案，准备药物，穿无菌防护服，戴无菌手套及无菌防护眼镜，打开层流柜，严格按无菌操作原则将药物加入相应的无菌液体中，再次核对患者信息。必要时将药物放入特殊装置，处理用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管固定 敷贴，压脉止血贴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特殊物理降温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指使用专用降温设备等方法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持续膀胱冲洗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包括加压持续冲洗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特殊一次性耗材、生理盐水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乳腺钼靶摄片 18×24</w:t>
            </w:r>
            <w:r>
              <w:rPr>
                <w:rStyle w:val="1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阴茎海绵体造影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临床操作的磁共振引导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磁共振定位每10分钟收取30%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X线计算机体层(CT)成象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指用于血管、胆囊、CTVE、骨三维成象等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平扫费另收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临床操作的CT引导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CT定位每10分钟收取30%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红外热象检查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包括远红外热断层检查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临床操作的A超引导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单脏器B超检查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胃肠充盈造影B超检查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含胃、小肠及其附属结构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输卵管超声造影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含临床操作，含宫腔、双输卵管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一次性导管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部位为：1.胸部（含肺、胸腔、纵隔）;2.腹部（含肝、胆、胰、脾、双肾）;3.胃肠道;4.泌尿系（含双肾、输尿管、膀胱、前列腺）;5.妇科（含子宫、附件、膀胱及周围组织）;6.产科（含胎儿及宫腔);7.、男性生殖系统(含睾丸、附睾、输精管、精索、前列腺)；8.肠系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腹膜后检查收60元。单脏器复查每脏器30元；膀胱残余尿量测定60元。宫颈管测量80元。产科超声每增加一个胎儿加收80元。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脏器声学造影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包括肿瘤声学造影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计算机三维重建技术(3DE)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单幅图片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心肌灌注超声检测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含心肌显象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黑白热敏打印照片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彩色打印照片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骨密度测定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24小时尿131碘排泄试验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消化道动力测定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14碳呼气试验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包括各类呼气试验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99锝（云克）治疗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包括放射性粒子植入术、化疗药物粒子植入术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放射性粒子、药物粒子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包括电子束制模、适型制模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深部热疗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包括超声或电磁波等热疗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异常血小板形态检查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渗透压检查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包括尿或血清渗透压检查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尿肌红蛋白定性检查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尿血红蛋白定性检查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尿酮体定性试验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尿三氯化铁试验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尿乳糜定性检查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尿卟啉定性试验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尿黑色素测定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卵泡刺激素(LH)排卵预测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尿液爱迪氏计数(Addis)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尿三杯试验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一小时尿细胞排泄率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尿沉渣白细胞分类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24小时尿胱氨酸测定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尿卟啉定量测定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包括血卟啉定性试验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指手工操作；含外观、镜检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粪便沉渣分析加收10元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粪便脂肪定量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包括粪便钙卫蛋白定量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精子运动轨迹分析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精子受精能力测定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精子结合抗体测定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精子畸形率测定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胃液常规检查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含酸碱度、基础胃酸分泌量、最大胃酸分泌量测定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精浆(全精)乳脱氢酶X同工酶定量检测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精浆柠檬酸测定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抗精子抗体混合凝集试验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骨髓特殊染色及酶组织化学染色检查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每种特殊染色计为一项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红细胞包涵体检查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血浆游离血红蛋白测定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红细胞自身溶血过筛试验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红细胞自身溶血及纠正试验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红细胞孵育渗透脆性试验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热溶血试验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冷溶血试验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蔗糖溶血试验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血清酸化溶血试验(Ham)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酸化甘油溶血试验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微量补体溶血敏感试验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葡萄糖6—磷酸脱氢酶荧光斑点试验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葡萄糖6－磷酸脱氢酶活性检测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变性珠蛋白小体检测(Heinz小体)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血红蛋白H包涵体检测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不稳定血红蛋白测定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包括热不稳定试验、异丙醇试验、变性珠蛋白小体检测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每项检测计费一次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直接抗人球蛋白试验(Coombs')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包括IgG、IgA、IgM、C3等不同球蛋白、补体成分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每项检测计费一次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间接抗人球蛋白试验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红细胞九分图分析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红细胞游离原卟啉测定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血小板纤维蛋白原受体检测(FIBR)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流式细胞仪法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血小板膜α颗粒膜蛋白140测定(GMP－140)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流式细胞仪法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血块收缩试验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血浆血栓烷B2测定(TXB2)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白陶土部分凝血活酶时间测定(KPTT)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活化凝血时间测定(ACT)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简易凝血活酶生成试验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血浆凝血因子活性测定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包括因子Ⅱ、Ⅴ、Ⅶ、Ⅷ、Ⅸ、Ⅹ、Ⅺ、Ⅻ、ⅩⅢ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每种因子检测计费一次，仪器法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血浆因子XIII缺乏筛选试验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优球蛋白溶解时间测定(ELT)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连续血浆鱼精蛋白稀释试验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乙醇胶试验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250203047b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血浆蛋白C活性测定(PC)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血浆蛋白S测定(PS)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250203065c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250203066b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各种免疫学方法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红细胞流变特性检测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含红细胞取向、变形、脆性、松驰等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全血粘度测定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包括高切、中切、低切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脑脊液寡克隆电泳分析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包括血寡克隆电泳分析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血浆乳酸测定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包括体液、分泌物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芯片法33元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全血丙酮酸测定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血清游离钙测定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血清骨型碱性磷酸酶质量测定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α1-微球蛋白测定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包括血清及尿标本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血清酒石酸抑制酸性磷酸酶测定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血清各类氨基酸测定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每种氨基酸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血清乙醇测定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色谱法，散射比浊法39元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中枢神经特异蛋白(S100β)测定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尿17-羟皮质类固醇测定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尿17-酮类固醇测定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血清抗谷氨酸脱羧酶抗体测定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血浆前列腺素(PG)测定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血浆6-酮前列腺素F1α测定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去甲肾上腺素测定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特异β人绒毛膜促性腺激素(β-HCG)测定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甾体激素受体测定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包括皮质激素、雌激素、孕激素、雄激素等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Ⅰ型胶原羧基端前肽(PICP)测定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包括氨基端前肽PINP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氨基端前肽PINP收140元/项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自然杀伤淋巴细胞功能试验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抗体依赖性细胞毒性试验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干扰素测定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每类干扰素测定计价一次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抗淋巴细胞抗体试验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纤维结合蛋白测定(Fn)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包括胎儿纤维连接蛋白测定(FFn)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抗组织细胞抗体测定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包括肝细胞、胃壁细胞、胰岛细胞、肾上腺细胞、骨骼肌、平滑肌等抗体测定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抗精子抗体测定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抗胰岛素受体抗体测定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包括抗胰岛素细胞抗体（ICA）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抗角蛋白抗体(AKA)测定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包括角蛋白18片段（K18）测定、角蛋白19片段（K19）测定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抗可溶性肝抗原/肝-胰抗原抗体(SLA/LP)测定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抗β2-糖蛋白1抗体测定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IgA IgG IgM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抗核小体抗体测定(AnuA)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抗核周因子抗体(APF)测定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抗RA33抗体测定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抗组蛋白抗体(AHA)测定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抗α胞衬蛋白抗体测定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IgA IgG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抗神经节苷脂IgG，IgM抗体测定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单纯疱疹病毒抗体测定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包括IgG、IgM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天疱疮抗体测定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莱姆氏螺旋体抗体测定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曲霉菌血清学试验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丙型肝炎病毒(HCV)基因分型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肺炎衣原体抗体检测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血清肿瘤相关物质检测（TAM）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含CA15-3、CA19-9、CA125、CA242、CA72、PSA、CEA、AFP等综合测定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支原体检查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每种支原体检查收费一次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支原体培养及药敏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抗生素最小抑／杀菌浓度测定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内毒素鲎定量测定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培养细胞的染色体分析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包括各种标本；含细胞培养和染色体分析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羊水绒毛细胞染色体制备加收100元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苯丙氨酸测定(PKU)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血苯丙酮酸定量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盐水介质交叉配血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Rh阴性确诊试验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白细胞特异性和组织相关融性（HLA）抗体检测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血小板特异性和组织相关融性（HLA）抗体检测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封闭抗体（APLA）检测收320元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270700001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原位杂交技术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荧光原位杂交(FISH)每项750元，三项以上（含三项）每次1666元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运动诱发电位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含大脑皮层和周围神经剌激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术中监测每小时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侧脑室穿刺术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包括引流、注药、经储液囊穿刺脑脊液引流术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周围神经活检术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包括肌肉活检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每个切口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同一切口取肌肉和神经标本时以一项计价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多功能神经肌肉功能监测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包括表面肌电测定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肌电图监测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经皮穿刺三叉神经干注射术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含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CT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定位、神经感觉定位、注射药物、测定疗效范围、局部加压；不含术中影像学检查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肉毒素注射治疗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含神经、肌肉各部位治疗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周围神经毁损术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含神经穿刺及注射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不同方法分别计价，三叉神经干酌情加收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神经分支毁损术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每增加一支加收112元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普通视力检查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含远视力、近视力、光机能（包括光感及光定位）、伪盲检查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眼压日曲线检查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角膜曲率测量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次（单眼）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海德堡视网膜厚度检查（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HRT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临界融合频率检查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视网膜电流图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(ERG)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包括图形视网膜电图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(P-ERG)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多焦视网膜电图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(m-ERG)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视觉网膜地形图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眼电图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(EOG)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含运动或感觉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视觉诱发电位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(VEP)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含单导、图形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激光治疗眼前节病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包括治疗青光眼、晶状体囊膜切开、虹膜囊肿切除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低功率氦一氖激光治疗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包括温热激光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眼部冷冻治疗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包括治疗炎性肉芽肿、血管瘤、青光眼、角膜溃疡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声反射鼻腔测量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包括鼻呼吸量测定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鼻腔取活检术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喉频谱仪检查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喉电图测试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硬性鼻咽镜检查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固定矫治器复诊处置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含常规检查及矫治器调整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更换弓丝及附件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牙开窗助萌术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包括各类阻生恒牙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牙外伤结扎固定术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含局麻、复位、结扎固定及调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牙合；包括牙根折、挫伤、脱位；不含根管治疗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特殊结扎固定材料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根尖诱导成形术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指年青恒牙牙根继续形成；含拔髓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保留牙乳头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、清洁干燥根管、导入诱导糊剂、充填，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特殊充填材料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涎腺导管扩大术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加牙合支托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各种牙合支托材料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钢丝支托、扁钢丝支托、铸造钴铬合金支托、铸造金合金支托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体外膈肌起搏治疗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包括抽气、抽液、注药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硬性气管镜检查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经纤支镜粘膜活检术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经纤支镜透支气管壁肺活检术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临时起搏器安置术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心导管、电极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体外自动心脏变律除颤术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包括半自动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一次性复律除颤电极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骨髓移植术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含严格无菌消毒隔离措施，包括异体基因、自体基因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脐血移植术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含严格无菌消毒隔离措施，包括异体基因、自体基因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硬性食管镜检查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食管腔内支架置入术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包括内镜下或透视下置入或取出支架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动态胃电图加收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150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元、导纳式胃动力检测待定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包括抽液、注药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放腹水治疗加收80元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腹水直接回输治疗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超滤回输加收70元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含活检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含活检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连续性血浆滤过吸附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宫颈癌筛查光电探测法（初善仪</w:t>
            </w: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TS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含一次性探头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妇科晚期恶性肿瘤减瘤术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胎儿镜检查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经皮脐静脉穿刺术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不含超声引导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311300003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关节腔灌注治疗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311400002a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311400031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血管瘤硬化剂注射治疗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包括下肢血管曲张注射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经皮瓣膜球囊成形术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包括二尖瓣、三尖瓣、主动脉瓣、肺动脉瓣球囊成形术，房间隔穿刺术、经皮二尖瓣钳夹术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导管球囊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经皮二尖瓣钳夹术加收不超过80%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含表面麻醉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血液加温治疗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包括手术中加温和体外加温、输液加温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一次性加温毯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不含开胸复苏和特殊气管插管术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气管导管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三叉神经周围支切断术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每神经支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；酒精封闭、甘油封闭、冷冻、射频等分别计价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三叉神经撕脱术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每神经支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330204020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脑脊液置换术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包括置管、持续引流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睑裂缝合术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泪小点外翻矫正术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烧灼法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*；切开术收550元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泪小管填塞术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包括封闭术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填塞材料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结膜淋巴管积液清除术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*；干细胞移植加收450元，仅切除病灶按照50%收取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虹膜贯穿术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青光眼滤帘修复术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人工晶体复位术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晶体张力环置入术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黄斑裂孔封闭术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眶内血肿穿刺术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牙冠延长术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含牙龈翻瓣、牙槽骨切除及成形、牙龈成形；不含术区牙周塞治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龈瘤切除术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含龈瘤切除及牙龈修整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牙周塞治剂、特殊材料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截根术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含截断牙根、拔除断根、牙冠外形和断面修整；不含牙周塞治、根管口备洞及倒充填、牙龈翻瓣术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松动牙根管内固定术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含根管预备及牙槽骨预备、固定材料植入及粘接固定；不含根管治疗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特殊固定材料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环甲膜穿刺术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含环甲膜置管和注药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房间隔造口术(Blabock-Hanlon手术)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包括切除术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冠状静脉窦无顶综合征矫治术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心脏表面临时起搏器安置术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起搏导线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骨骼肌心脏包裹成形术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心脏术后感染伤口清创引流术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包括各种深部组织感染；不含体表伤口感染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上腔静脉阻塞自体大隐静脉螺旋管道架桥术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含大隐静脉取用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耻骨直肠肌松解术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肛门括约肌再造术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包括各种肌肉移位术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经内镜奥狄氏括约肌切开胰管取石术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盆底痉挛部肌肉神经切除术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可控性回肠膀胱术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含阑尾切除术；包括结肠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阴茎血管重建术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环枢椎侧块螺钉内固定术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包括前路或后路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经皮穿刺颈腰椎间盘切除术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每节间盘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；不含造影、超声定位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神经吻合术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含手术显微镜使用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神经移植术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异体神经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肱骨干骨折切开复位内固定术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尺骨鹰嘴骨折切开复位内固定术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包括骨骺分离、尺骨冠突骨折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胫骨干骨折切开复位内固定术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石膏拆除术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包括石膏修补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331523011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各部位多头带包扎术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420000009a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非麻醉下腰椎间盘突出症大手法治疗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内痔硬化剂注射治疗(枯痔治疗)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每个痔核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CENA1000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治疗药物浓度测定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CJCB9000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结核分枝杆菌药敏定量实验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HFC65301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耳道异物取出术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HQE64601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经内镜胆管内支架取出术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咽部麻醉，镇静，润滑，消泡，电子十二指肠镜经口插至十二指肠乳头部位，胆管造影，经乏特氏壶腹插入导丝，应用支架回收器取出胆管内支架。图文报告。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造影导管，导丝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床旁B超检查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包括术中B超检查、彩色多普勒超声检查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此项目为辅助操作项目加收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强化磁共振血管成象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包括血管斑块成像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平扫费另收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LAETA001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妇科三管腔内后装放疗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摆位，体位固定，利用妇科操作放置施源器，剂量计算，机器操作及照射。不含影像学引导。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腹腔镜手术加收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腹腔镜手术时收取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胸腔镜手术加收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LAETA003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妇科卵型容器腔内后装放疗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摆位，体位固定，利用妇科操作放置施源器，剂量计算，机器操作及照射。不含影像学引导。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footerReference r:id="rId4" w:type="default"/>
          <w:pgSz w:w="16838" w:h="11906" w:orient="landscape"/>
          <w:pgMar w:top="1531" w:right="2098" w:bottom="1531" w:left="1417" w:header="851" w:footer="992" w:gutter="0"/>
          <w:pgNumType w:fmt="decimal"/>
          <w:cols w:space="0" w:num="1"/>
          <w:docGrid w:type="lines" w:linePitch="465" w:charSpace="0"/>
        </w:sect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6838" w:h="11906" w:orient="landscape"/>
          <w:pgMar w:top="1531" w:right="2098" w:bottom="1531" w:left="1417" w:header="851" w:footer="992" w:gutter="0"/>
          <w:pgNumType w:fmt="decimal"/>
          <w:cols w:space="0" w:num="1"/>
          <w:docGrid w:type="lines" w:linePitch="465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pPr w:leftFromText="181" w:rightFromText="181" w:vertAnchor="page" w:horzAnchor="page" w:tblpX="1512" w:tblpY="14335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ind w:left="0" w:leftChars="0" w:firstLine="280" w:firstLineChars="100"/>
              <w:jc w:val="both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抄送：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卫健委、市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市场监管局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20" w:rightChars="100" w:firstLine="2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淄博市医疗保障局综合科                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 xml:space="preserve">日印发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6" w:type="default"/>
      <w:type w:val="continuous"/>
      <w:pgSz w:w="11906" w:h="16838"/>
      <w:pgMar w:top="2098" w:right="1531" w:bottom="1417" w:left="1531" w:header="851" w:footer="992" w:gutter="0"/>
      <w:pgNumType w:fmt="decimal"/>
      <w:cols w:space="0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QzMDZiZjVmOTFiYmY3ZDgwMzg2N2RmMjU5ZDEifQ=="/>
  </w:docVars>
  <w:rsids>
    <w:rsidRoot w:val="00172A27"/>
    <w:rsid w:val="00057347"/>
    <w:rsid w:val="0007531E"/>
    <w:rsid w:val="000811C6"/>
    <w:rsid w:val="00130CB3"/>
    <w:rsid w:val="002B162C"/>
    <w:rsid w:val="003B122C"/>
    <w:rsid w:val="003B2C53"/>
    <w:rsid w:val="003E4157"/>
    <w:rsid w:val="0051782C"/>
    <w:rsid w:val="00562638"/>
    <w:rsid w:val="00593437"/>
    <w:rsid w:val="005B559C"/>
    <w:rsid w:val="005E3496"/>
    <w:rsid w:val="00762739"/>
    <w:rsid w:val="00876D62"/>
    <w:rsid w:val="00B03125"/>
    <w:rsid w:val="00BA1E75"/>
    <w:rsid w:val="00D875B8"/>
    <w:rsid w:val="00DF6CC4"/>
    <w:rsid w:val="00EC1FDC"/>
    <w:rsid w:val="05A224EF"/>
    <w:rsid w:val="0B9A054C"/>
    <w:rsid w:val="0C20325E"/>
    <w:rsid w:val="18B65662"/>
    <w:rsid w:val="1A501D28"/>
    <w:rsid w:val="1B1C0FA5"/>
    <w:rsid w:val="1FC60EE1"/>
    <w:rsid w:val="216264D2"/>
    <w:rsid w:val="22E91B93"/>
    <w:rsid w:val="252F2806"/>
    <w:rsid w:val="27FA98EB"/>
    <w:rsid w:val="3467195A"/>
    <w:rsid w:val="367A1BD8"/>
    <w:rsid w:val="3CB94246"/>
    <w:rsid w:val="3DA64D2D"/>
    <w:rsid w:val="3E51FE03"/>
    <w:rsid w:val="42185D72"/>
    <w:rsid w:val="42D334D2"/>
    <w:rsid w:val="4FC96BA2"/>
    <w:rsid w:val="526010E3"/>
    <w:rsid w:val="54A16996"/>
    <w:rsid w:val="579D2E49"/>
    <w:rsid w:val="57FF61DC"/>
    <w:rsid w:val="5BFA20ED"/>
    <w:rsid w:val="5F7E0645"/>
    <w:rsid w:val="5FDF486D"/>
    <w:rsid w:val="631F58F6"/>
    <w:rsid w:val="649C6FB3"/>
    <w:rsid w:val="6C9024CA"/>
    <w:rsid w:val="6DDC2FAD"/>
    <w:rsid w:val="6E6B1FF2"/>
    <w:rsid w:val="6F3AE5E7"/>
    <w:rsid w:val="6FFA174F"/>
    <w:rsid w:val="71121CE9"/>
    <w:rsid w:val="72001B41"/>
    <w:rsid w:val="7375ECC5"/>
    <w:rsid w:val="78886285"/>
    <w:rsid w:val="79B6163A"/>
    <w:rsid w:val="7BDF2A7E"/>
    <w:rsid w:val="7DF52F8E"/>
    <w:rsid w:val="8E7961D5"/>
    <w:rsid w:val="9F7F1040"/>
    <w:rsid w:val="BA7B23C6"/>
    <w:rsid w:val="BBDC20B3"/>
    <w:rsid w:val="BBFE73E0"/>
    <w:rsid w:val="BC24D60C"/>
    <w:rsid w:val="D34F80F3"/>
    <w:rsid w:val="DDD5ACD2"/>
    <w:rsid w:val="DDFF3986"/>
    <w:rsid w:val="DFEE2E4A"/>
    <w:rsid w:val="ED3E7577"/>
    <w:rsid w:val="EDFD1322"/>
    <w:rsid w:val="EF7BBDBC"/>
    <w:rsid w:val="F3DEB0AD"/>
    <w:rsid w:val="F3E747BF"/>
    <w:rsid w:val="F3EFAF2E"/>
    <w:rsid w:val="F55FCD9C"/>
    <w:rsid w:val="F69223FC"/>
    <w:rsid w:val="F7FB2A3A"/>
    <w:rsid w:val="FAFFF306"/>
    <w:rsid w:val="FBFAD5EB"/>
    <w:rsid w:val="FD7A1A7E"/>
    <w:rsid w:val="FDFFF374"/>
    <w:rsid w:val="FE734873"/>
    <w:rsid w:val="FE7FD4BC"/>
    <w:rsid w:val="FF3DA4F0"/>
    <w:rsid w:val="FF9E3344"/>
    <w:rsid w:val="FFBA06C4"/>
    <w:rsid w:val="FFBFA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4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  <w:style w:type="character" w:customStyle="1" w:styleId="16">
    <w:name w:val="font6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34</Pages>
  <Words>7412</Words>
  <Characters>11607</Characters>
  <Lines>16</Lines>
  <Paragraphs>4</Paragraphs>
  <TotalTime>4</TotalTime>
  <ScaleCrop>false</ScaleCrop>
  <LinksUpToDate>false</LinksUpToDate>
  <CharactersWithSpaces>11670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2024-04-06T00:39:00Z</dcterms:created>
  <dc:creator>DELL</dc:creator>
  <cp:lastModifiedBy>谢鼎臣</cp:lastModifiedBy>
  <cp:lastPrinted>2024-04-29T02:02:00Z</cp:lastPrinted>
  <dcterms:modified xsi:type="dcterms:W3CDTF">2024-07-29T08:51:29Z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523F6AA310634DAE9BB892A5DD9A51AE</vt:lpwstr>
  </property>
</Properties>
</file>