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浙江省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第四批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“互联网+护理服务”项目</w:t>
      </w:r>
    </w:p>
    <w:p>
      <w:pPr>
        <w:pStyle w:val="2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3"/>
        <w:tblW w:w="139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677"/>
        <w:gridCol w:w="2628"/>
        <w:gridCol w:w="8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</w:rPr>
              <w:t>序号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</w:rPr>
              <w:t>类别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</w:rPr>
              <w:t>护理项目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</w:rPr>
              <w:t>工作内容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康复护理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骨关节康复护理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（居家）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根据出院计划或患者病情，提供运动方式、体位摆放、固定方法、支具正确佩戴、拐杖使用和调节、轮椅选择和使用等方面的指导。根据患者病情，提供日常生活、局部压力性损伤的预防、复诊、跌倒相关知识等方面健康宣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康复护理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脑卒中康复护理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（居家）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肢体功能障碍：根据患者病情，提供基本日常生活活动(BADL)、肌力、居家环境等评估，根据评估指导患者良肢位摆放、BADL训练、居家环境改造建议等，并指导肢体障碍患者进行主被动运动，促进患者肢体功能的恢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排尿障碍：根据出院计划或患者病情，开展膀胱功能（简易）评估，包括尿失禁、尿潴留、频次、尿量、残余尿测定等，并提供饮水计划、间歇性导尿、意念排尿、延迟排尿、失禁性皮炎预防与处理等健康宣教和技术指导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排便障碍：根据患者病情、便秘程度、自理能力等，宣教患者建立良好的排便习惯、建议进食可溶性膳食纤维，如鲜嫩的蔬菜瓜果，适宜的饮水量等，并指导患者或照护者如何进行腹部按摩、提肛肌锻炼等技术改善便秘情况。根据医嘱指导患者正确使用开塞露。评估患者大便失禁的次数、性状、量、皮肤等情况，宣教患者进行饮食调整，并提供失禁性皮炎的预防和处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康复护理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吞咽障碍康复护理（居家）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1.吞咽障碍筛查：根据患者病情或出院计划，提供如反复唾液吞咽试验、改良洼田饮水试验等吞咽障碍筛查。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.吞咽障碍训练技术指导：根据出院计划、患者病情、吞咽功能等，为经吞咽障碍筛查后符合经口进食的患者提供食物种类、性状、制作方法，进食一口量、进食方法、吞咽姿势（包括侧方吞咽、低头吞咽、空吞咽、用力吞咽）等方面的帮助和指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康复护理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床椅转移、轮椅使用的训练技术（居家）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通过床-轮椅转移指导及演示，让照顾者掌握床椅转移、轮椅使用知识、安全知识宣教，保证患者安全，为陪护人员节力。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康复护理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神经源性膀胱的训练技术指导（居家）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根据出院计划或患者病情，选择合适的神经源性膀胱训练技术指导（如间歇导尿、饮水计划、排尿日记、盆底肌训练等）和健康宣教（如疾病知识、外用集尿器使用指导、定期复查等）。采用导尿法或膀胱扫描仪测定残余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康复护理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脊髓损伤康复护理(居家）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1.肢体功能障碍：根据出院计划或患者病情提供轮椅选择和使用、床椅转移、良肢位摆放、辅助器具使用、关节活动度练习、患肢被动活动练习等方面的健康宣教和技术指导。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.呼吸功能障碍：根据患者病情或出院计划，提供吸气肌（膈肌、肋间肌）力量训练，心肺功能训练（有氧训练、吸气肌抗阻训练、发声训练等），翻身、扣背、有效咳嗽等排痰训练，改善患者缺氧状况，提高患者心肺功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专科护理（母婴）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婴儿臀部护理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（居家）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评估婴儿臀部情况，进行臀部护理，并指导家长或照顾者臀部护理方法，宣教相关注意事项。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（母婴）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婴儿足跟采血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（居家）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评估婴儿一般情况及采血项目，采集足底血，指导家长关注检查结果。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（母婴）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婴儿生长发育评估（居家）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婴儿体重、身高等测量；指导儿童身高/年龄、体重/年龄百分位标准曲线图绘制；根据绘制曲线评估婴儿生长发育情况，指导喂养。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（母婴）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产前家庭访视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（居家）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评估孕妇孕龄、本次妊娠一般情况、历次产检情况、既往生育史，以及关于妊娠分娩相关知识的知晓程度、生育观念与服务需求，根据评估结果提供妊娠期营养、体重管理、妊娠期安全起居、运动等咨询、指导和现场练习；孕晚期进行胎心听诊、胎儿体重估计、自然分娩评估、协助制定分娩计划；指导胎动监测、镇痛方法、临产征兆识别、分娩准备、母乳喂养健康教育等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（母婴）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产后康复操指导（居家）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评估产妇分娩方式、一般情况、活动情况，并根据评估结果进行产后保健操动作示范与指导及相关知识宣教。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（母婴）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盆底肌修复运动指导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（居家）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根据护理对象个体情况，提供盆底肌训练及呼吸训练指导，评估患者运动是否规范，并对服务对象进行运动频率、方法、运动要点等健康教育。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（母婴）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婴幼儿生命体征测量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居家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使用专业仪器，测量婴幼儿的体温、脉搏、呼吸等生命体征。根据测量结果，判断婴幼儿的身体状况，是否存在异常或潜在的健康问题。向家长解释测量结果，提供健康建议或就医指导。记录婴幼儿的生命体征数据，为后续的健康管理提供依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（肿瘤）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介入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术后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相关护理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线上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梗阻性黄疸患者的皮肤管理，经皮肝穿刺胆道引流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(PTCD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带管出院后出现渗血、渗液管理指导；钇90治疗及碘125粒子植入术后射线防护咨询；肝动脉持续灌注化疗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(HAIC)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术后居家期间出现穿刺处血肿不消退、肿胀管理指导；血栓及滤器植入术后居家管理；介入术后远期并发症（如疼痛、发热、感染、消化道出血等）的居家管理等。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（肿瘤）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化疗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相关护理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线上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骨髓抑制（尤其是粒细胞缺乏）、口腔黏膜炎、脱发、恶心呕吐、便秘腹泻、手足综合征、周围神经毒性等不良反应的健康指导；居家期间的口服化疗药及其他对症治疗用药、运动及饮食指导。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专科护理（肿瘤）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疗相关护理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线上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放射性皮炎、放射性中耳炎、放射性口腔黏膜炎、放射性龋齿、放射性食管炎、放射性肺炎、放射性胃炎、放射性肠炎等不良反应的健康指导；头颈功能（张口、吞咽、转颈）、肺功能、盆底功能、肢体等功能锻炼指导；电场治疗皮肤管理指导；肿瘤热疗不良反应（如脂肪硬结）的健康指导；放疗期间饮食指导及家庭肠内营养管理、癌性厌食干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（肿瘤）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免疫治疗相关护理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线上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免疫检查点抑制剂治疗后的不良反应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皮肤、胃肠道、内分泌系统、免疫性肺炎、免疫性肝炎、免疫性心肌炎等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护理及就诊指导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专科护理（肿瘤）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靶向治疗相关护理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线上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评估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靶向治疗后副作用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流感样症状及消化系统、循环系统、造血系统反应和干扰素所致的神经系统及皮肤反应等），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并提供相应的健康指导。宣教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口服靶向药物制剂的贮存和运输方式、注意事项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专科护理（肿瘤）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内分泌治疗相关护理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线上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肿瘤内分泌治疗常用药物介绍、用药注意事项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 w:bidi="ar"/>
              </w:rPr>
              <w:t>咨询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及常见不良反应应对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 w:bidi="ar"/>
              </w:rPr>
              <w:t>指导。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（肿瘤）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核素治疗相关护理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线上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碘-131治疗前准备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包括低碘饮食、停服甲状腺激素等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常见不良反应及应对措施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辐射防护的指导。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（肿瘤）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干细胞移植相关护理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线上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造血干细胞移植前患者准备（包括物品准备、患者自身准备等）及移植出院后的康复指导。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（中医）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脑卒中肢体功能障碍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刮痧技术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居家）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基于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中医经络腧穴理论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遵医嘱通过刮痧技术，在体表一定部位反复刮动，达到疏风散寒，平肝息风，益气补血，通络止痛为目的一种中医外治方法。选用砭石刮痧以温助阳气，疏通经络，改善微循环，促进肢体功能恢复的功效。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（中医）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脑卒中吞咽功能障碍-耳穴压豆技术、手指点穴技术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居家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遵医嘱通过耳穴贴压技术将王不留行籽贴于患者耳穴处，通过适度的揉、按、捏、压以刺激感应，以疏通经络、调和气血，促进吞咽功能恢复。经络腧穴理论为基础，通过刺激患者局部穴位，以疏通经络、调畅气机、调和气血，促进吞咽功能恢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（中医）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乳腺癌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术后肩关节功能障碍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-火龙罐综合灸技术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居家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基于温通理论，遵医嘱予火龙罐综合灸技术进行干预乳腺癌术后肩关节功能障碍，以达到温经通络、行气活血等功效，从而改善患者肩关节功能活动度。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（中医）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蛇串疮（带状疱疹-后遗神经痛）-铜砭刮痧技术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居家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基于中医皮部理论，选择身体特定部位，如阿是穴或特定穴，运用铜砭刮痧板在皮肤相关部位刮拭，以达到疏通经络、活血化瘀之效。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（中医）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过敏性鼻炎-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悬灸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、耳穴压豆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居家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悬灸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风门、肺俞穴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以通利鼻窍，缓解鼻鼽症状。遵医嘱通过耳穴压豆技术将王不留行籽贴于患者耳穴处，通过适度的揉、按、捏、压以刺激感应，以疏风宣肺、消风利窍。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（中医）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小儿遗尿症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火龙罐综合灸技术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居家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基于温通理论，遵医嘱予火龙罐综合灸治疗，沿经络或体表循行，通过点揉叩按等手法，操作时力度重而不滞、轻而不浮，达到温通经络、温肾补阳、振奋膀胱的作用，有效减轻患儿的遗尿症状。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（中医）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产后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推拿、耳穴压豆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居家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遵医嘱通过推拿按摩胸部及乳房周围，并根据不同证型取穴，用拇指按压穴位；通过耳穴压豆技术将王不留行籽贴于患者耳穴处，通过适度的揉、按、捏、压以刺激感应，促进乳汁分泌。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专科护理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（中医）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单纯性肥胖-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拔火罐技术、耳穴压豆技术（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居家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以玻璃罐为工具，利用燃烧形成罐内负压，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采用不同罐法作用于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人体背部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及腹部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腧穴，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疏通经络、调畅气血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、祛除痰湿，达到身体平衡，降脂减重的作用。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根据患者证型，将王不留行籽贴于患者对应的耳穴处，通过适度的揉、按、捏、压以刺激感应，达到消脂减肥的作用。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常用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临床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护理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管路居家护理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线上/居家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对带管出院患者的管路进行评估和维护、更换敷料或引流器、导管功能检查。观察引流液量和性状，指导病人及家属挤压引流管手法确保引流通畅。指导病人及家属康复训练、夹闭管路时的观察要点。指导携管期间活动、休息、饮食要点。指导患者及家属出现导管滑脱、堵塞、局部感染等异常情况需去医院就诊。</w:t>
            </w:r>
          </w:p>
        </w:tc>
      </w:tr>
    </w:tbl>
    <w:p>
      <w:pPr>
        <w:pStyle w:val="2"/>
        <w:rPr>
          <w:rFonts w:hint="default" w:cs="Times New Roman"/>
        </w:rPr>
        <w:sectPr>
          <w:footerReference r:id="rId3" w:type="default"/>
          <w:pgSz w:w="16838" w:h="11906" w:orient="landscape"/>
          <w:pgMar w:top="2098" w:right="1531" w:bottom="1440" w:left="1531" w:header="851" w:footer="1304" w:gutter="0"/>
          <w:cols w:space="720" w:num="1"/>
          <w:rtlGutter w:val="0"/>
          <w:docGrid w:type="lines" w:linePitch="312" w:charSpace="0"/>
        </w:sectPr>
      </w:pPr>
    </w:p>
    <w:p>
      <w:pPr>
        <w:pStyle w:val="2"/>
        <w:ind w:firstLine="0"/>
        <w:rPr>
          <w:rFonts w:hint="default" w:ascii="Times New Roman" w:hAnsi="Times New Roman" w:eastAsia="方正仿宋_GB2312" w:cs="Times New Roman"/>
          <w:sz w:val="28"/>
          <w:szCs w:val="28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12600" w:firstLineChars="4500"/>
      <w:jc w:val="both"/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C95CD"/>
    <w:multiLevelType w:val="singleLevel"/>
    <w:tmpl w:val="7EFC95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A33DA"/>
    <w:rsid w:val="5DBA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page number"/>
    <w:uiPriority w:val="0"/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2024-07-05T01:37:00Z</dcterms:created>
  <dc:creator>xxzx</dc:creator>
  <cp:lastModifiedBy>xxzx</cp:lastModifiedBy>
  <dcterms:modified xsi:type="dcterms:W3CDTF">2024-07-05T01:37:26Z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