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right="0"/>
        <w:jc w:val="left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right="0"/>
        <w:jc w:val="left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甘肃省非中医类别医师学习中医临床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实践基地申报指南</w:t>
      </w:r>
    </w:p>
    <w:p>
      <w:pPr>
        <w:pStyle w:val="5"/>
        <w:widowControl/>
        <w:spacing w:before="0" w:beforeAutospacing="0" w:after="0" w:afterAutospacing="0" w:line="33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widowControl/>
        <w:spacing w:before="0" w:beforeAutospacing="0" w:after="0" w:afterAutospacing="0" w:line="330" w:lineRule="atLeas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甘肃省非中医类别医师学习中医</w:t>
      </w:r>
      <w:r>
        <w:rPr>
          <w:rFonts w:hint="eastAsia" w:ascii="仿宋" w:hAnsi="仿宋" w:eastAsia="仿宋" w:cs="仿宋"/>
          <w:sz w:val="32"/>
          <w:szCs w:val="32"/>
        </w:rPr>
        <w:t>培训基地分为理论教学基地和临床实践基地。理论教学基地设在甘肃中医药大学，负责理论教学授课及课程安排工作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临床实践基地设在三级中医医院，负责临床实践工作。</w:t>
      </w:r>
    </w:p>
    <w:p>
      <w:pPr>
        <w:pStyle w:val="5"/>
        <w:widowControl/>
        <w:spacing w:before="0" w:beforeAutospacing="0" w:after="0" w:afterAutospacing="0" w:line="330" w:lineRule="atLeas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申报条件</w:t>
      </w:r>
    </w:p>
    <w:p>
      <w:pPr>
        <w:pStyle w:val="5"/>
        <w:widowControl/>
        <w:spacing w:before="0" w:beforeAutospacing="0" w:after="0" w:afterAutospacing="0" w:line="330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申请设立临床实践基地的机构原则上应设在三级中医医院，可根据当地实际情况，建立协同协作机制，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三级中医医院可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选择有条件的二级以上并</w:t>
      </w:r>
      <w:r>
        <w:rPr>
          <w:rFonts w:hint="eastAsia" w:ascii="仿宋" w:hAnsi="仿宋" w:eastAsia="仿宋" w:cs="仿宋"/>
          <w:sz w:val="32"/>
          <w:szCs w:val="32"/>
        </w:rPr>
        <w:t>设置有独立中医科室的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医疗机构签订协议作为协同实践基地，共同承担培训任务。临床实践基地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具备以下基本条件：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330" w:lineRule="atLeast"/>
        <w:ind w:firstLine="640" w:firstLineChars="200"/>
        <w:jc w:val="both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师资队伍</w:t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330" w:lineRule="atLeast"/>
        <w:ind w:right="0" w:righ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1.中医医师占医师的比例≥60%，中药专业技术人员占药剂人员总数≥60%。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2.带教医师应具备中医副高以上职称，与学员比例应达到1:2。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right="0" w:rightChars="0"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color w:val="00000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000000"/>
          <w:sz w:val="32"/>
          <w:szCs w:val="32"/>
          <w:lang w:eastAsia="zh-CN"/>
        </w:rPr>
        <w:t>（二）</w:t>
      </w:r>
      <w:r>
        <w:rPr>
          <w:rFonts w:hint="eastAsia" w:ascii="CESI楷体-GB2312" w:hAnsi="CESI楷体-GB2312" w:eastAsia="CESI楷体-GB2312" w:cs="CESI楷体-GB2312"/>
          <w:color w:val="000000"/>
          <w:sz w:val="32"/>
          <w:szCs w:val="32"/>
        </w:rPr>
        <w:t>教学场地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满足培训要求的教学设备和能容纳100人以上的教室。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2.有培训临床技能的实训室。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3.有满足培训所需的专业书籍和期刊，有互联网等获取专业信息的渠道和设施。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color w:val="000000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color w:val="000000"/>
          <w:sz w:val="32"/>
          <w:szCs w:val="32"/>
        </w:rPr>
        <w:t>（三）</w:t>
      </w:r>
      <w:r>
        <w:rPr>
          <w:rFonts w:hint="eastAsia" w:ascii="CESI楷体-GB2312" w:hAnsi="CESI楷体-GB2312" w:eastAsia="CESI楷体-GB2312" w:cs="CESI楷体-GB2312"/>
          <w:color w:val="000000"/>
          <w:sz w:val="32"/>
          <w:szCs w:val="32"/>
          <w:lang w:val="en-US" w:eastAsia="zh-CN"/>
        </w:rPr>
        <w:t>科室设置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应设置能满足“西学中”培训要求的中医内科、中医外科、中医妇科、中医儿科、针灸科、推拿科、中医康复科、中医骨伤科、中医耳鼻喉科、中医眼科、中药房等科室。</w:t>
      </w:r>
    </w:p>
    <w:p>
      <w:pPr>
        <w:pStyle w:val="5"/>
        <w:widowControl/>
        <w:spacing w:before="0" w:beforeAutospacing="0" w:after="0" w:afterAutospacing="0" w:line="330" w:lineRule="atLeast"/>
        <w:ind w:left="420" w:leftChars="200" w:firstLine="320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、申报程序</w:t>
      </w:r>
    </w:p>
    <w:p>
      <w:pPr>
        <w:pStyle w:val="5"/>
        <w:widowControl/>
        <w:spacing w:before="0" w:beforeAutospacing="0" w:after="0" w:afterAutospacing="0" w:line="33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（一）申报机构填写《甘肃省非中医类别医师学习中医临床实践基地申请表》（见附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），并提供相关佐证材料，装订成册，一式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份，经所属市州卫生健康行政部门推荐后（省直机构直接报送），于2024年5月31日前报送至省中医药管理局。</w:t>
      </w:r>
    </w:p>
    <w:p>
      <w:pPr>
        <w:pStyle w:val="5"/>
        <w:widowControl/>
        <w:spacing w:before="0" w:beforeAutospacing="0" w:after="0" w:afterAutospacing="0" w:line="33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（二）经省中医药管理局审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</w:t>
      </w:r>
      <w:r>
        <w:rPr>
          <w:rFonts w:hint="eastAsia" w:ascii="仿宋" w:hAnsi="仿宋" w:eastAsia="仿宋" w:cs="仿宋"/>
          <w:sz w:val="32"/>
          <w:szCs w:val="32"/>
        </w:rPr>
        <w:t>通过后，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确定为</w:t>
      </w:r>
      <w:r>
        <w:rPr>
          <w:rFonts w:hint="eastAsia" w:ascii="仿宋" w:hAnsi="仿宋" w:eastAsia="仿宋" w:cs="仿宋"/>
          <w:sz w:val="32"/>
          <w:szCs w:val="32"/>
        </w:rPr>
        <w:t>“甘肃省非中医类别医师学习中医临床实践基地”，予以授牌并向社会公布。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  <w:lang w:eastAsia="zh-CN"/>
        </w:rPr>
        <w:t>三</w:t>
      </w:r>
      <w:r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  <w:t>、有关要求</w:t>
      </w:r>
    </w:p>
    <w:p>
      <w:pPr>
        <w:pStyle w:val="5"/>
        <w:widowControl/>
        <w:spacing w:before="0" w:beforeAutospacing="0" w:after="0" w:afterAutospacing="0" w:line="330" w:lineRule="atLeas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（一）各相关部门要高度重视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“西学中”</w:t>
      </w:r>
      <w:r>
        <w:rPr>
          <w:rFonts w:hint="eastAsia" w:ascii="仿宋" w:hAnsi="仿宋" w:eastAsia="仿宋" w:cs="仿宋"/>
          <w:sz w:val="32"/>
          <w:szCs w:val="32"/>
        </w:rPr>
        <w:t>临床实践基地的申报工作，坚持公开、公平、公正，遵循优化布局、突出特色、资源共享、注重实效的原则，切实把培训基地打造成培养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西学中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人才的重要平台。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（二）申报单位按规定程序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申报，并对申报材料的真实性负责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未如实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上报或申报材料</w:t>
      </w:r>
      <w:r>
        <w:rPr>
          <w:rFonts w:hint="eastAsia" w:ascii="仿宋" w:hAnsi="仿宋" w:eastAsia="仿宋" w:cs="仿宋"/>
          <w:sz w:val="32"/>
          <w:szCs w:val="32"/>
        </w:rPr>
        <w:t>弄虚作假的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律</w:t>
      </w:r>
      <w:r>
        <w:rPr>
          <w:rFonts w:hint="eastAsia" w:ascii="仿宋" w:hAnsi="仿宋" w:eastAsia="仿宋" w:cs="仿宋"/>
          <w:sz w:val="32"/>
          <w:szCs w:val="32"/>
        </w:rPr>
        <w:t>取消申报资格。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（三）基地</w:t>
      </w:r>
      <w:r>
        <w:rPr>
          <w:rFonts w:hint="eastAsia" w:ascii="仿宋" w:hAnsi="仿宋" w:eastAsia="仿宋" w:cs="仿宋"/>
          <w:sz w:val="32"/>
          <w:szCs w:val="32"/>
        </w:rPr>
        <w:t>申报材料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按时报送省中医药管理局，电子版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同步</w:t>
      </w:r>
      <w:r>
        <w:rPr>
          <w:rFonts w:hint="eastAsia" w:ascii="仿宋" w:hAnsi="仿宋" w:eastAsia="仿宋" w:cs="仿宋"/>
          <w:sz w:val="32"/>
          <w:szCs w:val="32"/>
        </w:rPr>
        <w:t>发送至指定邮箱，邮件标题注明“基地申报”。</w:t>
      </w: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逾期不</w:t>
      </w: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予</w:t>
      </w:r>
      <w:r>
        <w:rPr>
          <w:rStyle w:val="9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受理。</w:t>
      </w:r>
    </w:p>
    <w:p>
      <w:pPr>
        <w:pStyle w:val="5"/>
        <w:widowControl/>
        <w:spacing w:before="0" w:beforeAutospacing="0" w:after="0" w:afterAutospacing="0" w:line="33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人：省中医药管理局   杨君</w:t>
      </w:r>
    </w:p>
    <w:p>
      <w:pPr>
        <w:pStyle w:val="5"/>
        <w:widowControl/>
        <w:spacing w:before="0" w:beforeAutospacing="0" w:after="0" w:afterAutospacing="0" w:line="33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联系电话：0931-8401735    15002598772</w:t>
      </w:r>
    </w:p>
    <w:p>
      <w:pPr>
        <w:pStyle w:val="5"/>
        <w:widowControl/>
        <w:spacing w:before="0" w:beforeAutospacing="0" w:after="0" w:afterAutospacing="0" w:line="330" w:lineRule="atLeast"/>
        <w:ind w:left="2238" w:leftChars="304" w:hanging="1600" w:hangingChars="5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  址：甘肃省兰州市城关区金都广场8楼</w:t>
      </w:r>
    </w:p>
    <w:p>
      <w:pPr>
        <w:pStyle w:val="5"/>
        <w:widowControl/>
        <w:spacing w:before="0" w:beforeAutospacing="0" w:after="0" w:afterAutospacing="0" w:line="33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gszykjc@163.com</w:t>
      </w:r>
    </w:p>
    <w:p>
      <w:pPr>
        <w:pStyle w:val="5"/>
        <w:widowControl/>
        <w:spacing w:before="0" w:beforeAutospacing="0" w:after="0" w:afterAutospacing="0" w:line="330" w:lineRule="atLeast"/>
        <w:ind w:left="1598" w:leftChars="304" w:hanging="960" w:hangingChars="3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="0" w:beforeAutospacing="0" w:after="0" w:afterAutospacing="0" w:line="330" w:lineRule="atLeast"/>
        <w:ind w:left="1598" w:leftChars="304" w:hanging="960" w:hangingChars="3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：甘肃省非中医类别医师学习中医临床实践基地申请表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pacing w:after="200" w:line="740" w:lineRule="exact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附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eastAsia="zh-CN"/>
        </w:rPr>
        <w:t>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3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甘肃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省非中医类别医师学习中医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临床实践基地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2"/>
        <w:gridCol w:w="578"/>
        <w:gridCol w:w="1995"/>
        <w:gridCol w:w="616"/>
        <w:gridCol w:w="394"/>
        <w:gridCol w:w="645"/>
        <w:gridCol w:w="178"/>
        <w:gridCol w:w="1216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</w:trPr>
        <w:tc>
          <w:tcPr>
            <w:tcW w:w="1852" w:type="dxa"/>
            <w:vMerge w:val="restart"/>
            <w:noWrap w:val="0"/>
            <w:vAlign w:val="center"/>
          </w:tcPr>
          <w:p>
            <w:pPr>
              <w:spacing w:line="437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</w:rPr>
              <w:t>申请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  <w:lang w:eastAsia="zh-CN"/>
              </w:rPr>
              <w:t>基地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spacing w:line="437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3901" w:type="dxa"/>
            <w:gridSpan w:val="6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atLeast"/>
        </w:trPr>
        <w:tc>
          <w:tcPr>
            <w:tcW w:w="1852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spacing w:line="437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437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方式</w:t>
            </w:r>
          </w:p>
        </w:tc>
        <w:tc>
          <w:tcPr>
            <w:tcW w:w="2246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852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spacing w:line="437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医院等级</w:t>
            </w:r>
          </w:p>
        </w:tc>
        <w:tc>
          <w:tcPr>
            <w:tcW w:w="3901" w:type="dxa"/>
            <w:gridSpan w:val="6"/>
            <w:noWrap w:val="0"/>
            <w:vAlign w:val="center"/>
          </w:tcPr>
          <w:p>
            <w:pPr>
              <w:spacing w:line="420" w:lineRule="exact"/>
              <w:ind w:left="580" w:firstLine="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852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spacing w:line="437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计划培训容量人数</w:t>
            </w:r>
          </w:p>
        </w:tc>
        <w:tc>
          <w:tcPr>
            <w:tcW w:w="3901" w:type="dxa"/>
            <w:gridSpan w:val="6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1852" w:type="dxa"/>
            <w:vMerge w:val="continue"/>
            <w:noWrap w:val="0"/>
            <w:vAlign w:val="top"/>
          </w:tcPr>
          <w:p>
            <w:pPr>
              <w:spacing w:line="9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73" w:type="dxa"/>
            <w:gridSpan w:val="2"/>
            <w:noWrap w:val="0"/>
            <w:vAlign w:val="top"/>
          </w:tcPr>
          <w:p>
            <w:pPr>
              <w:spacing w:before="132" w:line="35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已开设专业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科室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如：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中医学、针灸推拿、中西医结合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3901" w:type="dxa"/>
            <w:gridSpan w:val="6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atLeast"/>
        </w:trPr>
        <w:tc>
          <w:tcPr>
            <w:tcW w:w="1852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中医类别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高级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以上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及师资人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数</w:t>
            </w:r>
          </w:p>
        </w:tc>
        <w:tc>
          <w:tcPr>
            <w:tcW w:w="3901" w:type="dxa"/>
            <w:gridSpan w:val="6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atLeast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培训场地及设施</w:t>
            </w:r>
          </w:p>
        </w:tc>
        <w:tc>
          <w:tcPr>
            <w:tcW w:w="3901" w:type="dxa"/>
            <w:gridSpan w:val="6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atLeast"/>
        </w:trPr>
        <w:tc>
          <w:tcPr>
            <w:tcW w:w="1852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  <w:lang w:eastAsia="zh-CN"/>
              </w:rPr>
              <w:t>协同或实践基地</w:t>
            </w:r>
          </w:p>
        </w:tc>
        <w:tc>
          <w:tcPr>
            <w:tcW w:w="578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基地名称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协同医院等级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能够授课的高年资中医类别主治医师及以上医师人数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16" w:type="dxa"/>
            <w:vMerge w:val="continue"/>
            <w:noWrap w:val="0"/>
            <w:vAlign w:val="top"/>
          </w:tcPr>
          <w:p>
            <w:pPr>
              <w:spacing w:line="332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atLeast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16" w:type="dxa"/>
            <w:vMerge w:val="continue"/>
            <w:noWrap w:val="0"/>
            <w:vAlign w:val="top"/>
          </w:tcPr>
          <w:p>
            <w:pPr>
              <w:spacing w:line="332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16" w:type="dxa"/>
            <w:vMerge w:val="continue"/>
            <w:noWrap w:val="0"/>
            <w:vAlign w:val="top"/>
          </w:tcPr>
          <w:p>
            <w:pPr>
              <w:spacing w:line="332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atLeast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16" w:type="dxa"/>
            <w:vMerge w:val="continue"/>
            <w:noWrap w:val="0"/>
            <w:vAlign w:val="top"/>
          </w:tcPr>
          <w:p>
            <w:pPr>
              <w:spacing w:line="332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0" w:hRule="atLeast"/>
        </w:trPr>
        <w:tc>
          <w:tcPr>
            <w:tcW w:w="185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</w:rPr>
              <w:t>培训计划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spacing w:line="354" w:lineRule="exact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培训人数：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3901" w:type="dxa"/>
            <w:gridSpan w:val="6"/>
            <w:noWrap w:val="0"/>
            <w:vAlign w:val="center"/>
          </w:tcPr>
          <w:p>
            <w:pPr>
              <w:spacing w:line="420" w:lineRule="exact"/>
              <w:ind w:left="180" w:firstLine="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临床实践：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5" w:hRule="atLeast"/>
        </w:trPr>
        <w:tc>
          <w:tcPr>
            <w:tcW w:w="1852" w:type="dxa"/>
            <w:noWrap w:val="0"/>
            <w:vAlign w:val="center"/>
          </w:tcPr>
          <w:p>
            <w:pPr>
              <w:spacing w:line="437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  <w:lang w:eastAsia="zh-CN"/>
              </w:rPr>
              <w:t>基地简要培训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</w:rPr>
              <w:t>计划（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  <w:lang w:eastAsia="zh-CN"/>
              </w:rPr>
              <w:t>通过开展培训工作每年能够完成的培训人数、覆盖的区域以及达到的预期效果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6474" w:type="dxa"/>
            <w:gridSpan w:val="8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1" w:hRule="atLeast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申请单位意见</w:t>
            </w:r>
          </w:p>
        </w:tc>
        <w:tc>
          <w:tcPr>
            <w:tcW w:w="6474" w:type="dxa"/>
            <w:gridSpan w:val="8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  <w:p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位</w:t>
            </w:r>
          </w:p>
          <w:p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负责人（签字）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（单位盖章）</w:t>
            </w:r>
          </w:p>
          <w:p>
            <w:pPr>
              <w:ind w:firstLine="560" w:firstLineChars="200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8" w:hRule="atLeast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市州卫生健康委意见</w:t>
            </w:r>
          </w:p>
        </w:tc>
        <w:tc>
          <w:tcPr>
            <w:tcW w:w="6474" w:type="dxa"/>
            <w:gridSpan w:val="8"/>
            <w:noWrap w:val="0"/>
            <w:vAlign w:val="center"/>
          </w:tcPr>
          <w:p>
            <w:pPr>
              <w:ind w:firstLine="2520" w:firstLineChars="1200"/>
              <w:rPr>
                <w:rFonts w:hint="eastAsia"/>
                <w:lang w:val="en-US" w:eastAsia="zh-CN"/>
              </w:rPr>
            </w:pPr>
          </w:p>
          <w:p>
            <w:pPr>
              <w:ind w:firstLine="2520" w:firstLineChars="1200"/>
              <w:rPr>
                <w:rFonts w:hint="eastAsia"/>
                <w:lang w:val="en-US" w:eastAsia="zh-CN"/>
              </w:rPr>
            </w:pPr>
          </w:p>
          <w:p>
            <w:pPr>
              <w:ind w:firstLine="2520" w:firstLineChars="1200"/>
              <w:rPr>
                <w:rFonts w:hint="eastAsia"/>
                <w:lang w:val="en-US" w:eastAsia="zh-CN"/>
              </w:rPr>
            </w:pPr>
          </w:p>
          <w:p>
            <w:pPr>
              <w:ind w:firstLine="2520" w:firstLineChars="1200"/>
              <w:rPr>
                <w:rFonts w:hint="eastAsia"/>
                <w:lang w:val="en-US" w:eastAsia="zh-CN"/>
              </w:rPr>
            </w:pPr>
          </w:p>
          <w:p>
            <w:pPr>
              <w:ind w:firstLine="3920" w:firstLineChars="140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（单位盖章）</w:t>
            </w:r>
          </w:p>
          <w:p>
            <w:pPr>
              <w:ind w:firstLine="4200" w:firstLineChars="150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年  月  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省级申报单位不用填写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8" w:hRule="atLeast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省中医药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管理局意见</w:t>
            </w:r>
          </w:p>
        </w:tc>
        <w:tc>
          <w:tcPr>
            <w:tcW w:w="6474" w:type="dxa"/>
            <w:gridSpan w:val="8"/>
            <w:noWrap w:val="0"/>
            <w:vAlign w:val="center"/>
          </w:tcPr>
          <w:p>
            <w:pPr>
              <w:ind w:firstLine="3920" w:firstLineChars="140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ind w:firstLine="3920" w:firstLineChars="140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（单位盖章）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年  月  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right="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注：此表一式三份，省、市中医药管理部门（卫生健康行政部门）各留存一份，申报单位留存一份。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right="0"/>
        <w:jc w:val="left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甘肃省非中医类别医师学习中医培训大纲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一、培训目标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培训对象通过系统培训，普及中医药基础理论、基本知识和基本技能，能熟练运用中西医结合方法对临床常见疾病辨证施治，规范合理使用中医药技术方法，提高中医药临床应用水平。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leftChars="200" w:right="0" w:rightChars="0" w:firstLine="320" w:firstLineChars="1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二、培训对象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具备临床、口腔执业医师资格，在各级医疗机构从事临床诊疗工作人员。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leftChars="200" w:right="0" w:rightChars="0" w:firstLine="320" w:firstLineChars="1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三、培训形式及时间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培训包括理论教学与临床实践两部分，采用集中学习、课外自学、临床实践相结合的方式进行。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培训时间2年。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四、培训内容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both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（一）集中学习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2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1.中医基础课程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主要由中医基础理论、中医诊断学、中药学、方剂学、中医临床思维学等课程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成，通过中医药基础理论知识的学习，使学员了解中医药文化，掌握中医基础知识，为后续的中医临床各科的学习奠定基础。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pPr w:leftFromText="180" w:rightFromText="180" w:vertAnchor="text" w:horzAnchor="page" w:tblpX="1942" w:tblpY="-171"/>
        <w:tblOverlap w:val="never"/>
        <w:tblW w:w="83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384"/>
        <w:gridCol w:w="6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217" w:lineRule="auto"/>
              <w:ind w:left="0" w:right="0"/>
              <w:jc w:val="center"/>
              <w:textAlignment w:val="auto"/>
              <w:rPr>
                <w:rFonts w:hint="eastAsia"/>
                <w:b/>
                <w:bCs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217" w:lineRule="auto"/>
              <w:ind w:left="0" w:right="0"/>
              <w:jc w:val="center"/>
              <w:textAlignment w:val="auto"/>
              <w:rPr>
                <w:rFonts w:hint="eastAsia"/>
                <w:b/>
                <w:bCs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val="en-US" w:eastAsia="zh-CN"/>
              </w:rPr>
              <w:t>课程名称</w:t>
            </w:r>
          </w:p>
        </w:tc>
        <w:tc>
          <w:tcPr>
            <w:tcW w:w="6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217" w:lineRule="auto"/>
              <w:ind w:left="0" w:right="0"/>
              <w:jc w:val="center"/>
              <w:textAlignment w:val="auto"/>
              <w:rPr>
                <w:rFonts w:hint="eastAsia"/>
                <w:b/>
                <w:bCs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val="en-US" w:eastAsia="zh-CN"/>
              </w:rPr>
              <w:t>基本要求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179" w:lineRule="auto"/>
              <w:ind w:left="0" w:right="0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253" w:lineRule="auto"/>
              <w:ind w:left="0" w:right="213"/>
              <w:jc w:val="center"/>
              <w:textAlignment w:val="auto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12"/>
                <w:sz w:val="30"/>
                <w:szCs w:val="30"/>
              </w:rPr>
              <w:t>中医基础</w:t>
            </w:r>
            <w:r>
              <w:rPr>
                <w:rFonts w:hint="eastAsia"/>
                <w:spacing w:val="-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/>
                <w:spacing w:val="-5"/>
                <w:sz w:val="30"/>
                <w:szCs w:val="30"/>
              </w:rPr>
              <w:t>理</w:t>
            </w:r>
            <w:r>
              <w:rPr>
                <w:rFonts w:hint="eastAsia"/>
                <w:spacing w:val="-5"/>
                <w:sz w:val="30"/>
                <w:szCs w:val="30"/>
                <w:lang w:eastAsia="zh-CN"/>
              </w:rPr>
              <w:t>论</w:t>
            </w:r>
          </w:p>
        </w:tc>
        <w:tc>
          <w:tcPr>
            <w:tcW w:w="6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30"/>
                <w:szCs w:val="30"/>
              </w:rPr>
              <w:t>使</w:t>
            </w:r>
            <w:r>
              <w:rPr>
                <w:rFonts w:hint="eastAsia" w:ascii="方正仿宋_GBK" w:hAnsi="方正仿宋_GBK" w:eastAsia="方正仿宋_GBK" w:cs="方正仿宋_GBK"/>
                <w:spacing w:val="-52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30"/>
                <w:szCs w:val="30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pacing w:val="-55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30"/>
                <w:szCs w:val="30"/>
              </w:rPr>
              <w:t>员</w:t>
            </w:r>
            <w:r>
              <w:rPr>
                <w:rFonts w:hint="eastAsia" w:ascii="方正仿宋_GBK" w:hAnsi="方正仿宋_GBK" w:eastAsia="方正仿宋_GBK" w:cs="方正仿宋_GBK"/>
                <w:spacing w:val="-67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30"/>
                <w:szCs w:val="30"/>
              </w:rPr>
              <w:t>掌握中医基础理论</w:t>
            </w:r>
            <w:r>
              <w:rPr>
                <w:rFonts w:hint="eastAsia" w:ascii="方正仿宋_GBK" w:hAnsi="方正仿宋_GBK" w:eastAsia="方正仿宋_GBK" w:cs="方正仿宋_GBK"/>
                <w:spacing w:val="-60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30"/>
                <w:szCs w:val="30"/>
              </w:rPr>
              <w:t>的基本概</w:t>
            </w:r>
            <w:r>
              <w:rPr>
                <w:rFonts w:hint="eastAsia" w:ascii="方正仿宋_GBK" w:hAnsi="方正仿宋_GBK" w:eastAsia="方正仿宋_GBK" w:cs="方正仿宋_GBK"/>
                <w:spacing w:val="-67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30"/>
                <w:szCs w:val="30"/>
              </w:rPr>
              <w:t>念、</w:t>
            </w:r>
            <w:r>
              <w:rPr>
                <w:rFonts w:hint="eastAsia" w:ascii="方正仿宋_GBK" w:hAnsi="方正仿宋_GBK" w:eastAsia="方正仿宋_GBK" w:cs="方正仿宋_GBK"/>
                <w:spacing w:val="-58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30"/>
                <w:szCs w:val="30"/>
              </w:rPr>
              <w:t>基本知识</w:t>
            </w:r>
            <w:r>
              <w:rPr>
                <w:rFonts w:hint="eastAsia" w:ascii="方正仿宋_GBK" w:hAnsi="方正仿宋_GBK" w:eastAsia="方正仿宋_GBK" w:cs="方正仿宋_GBK"/>
                <w:spacing w:val="-57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30"/>
                <w:szCs w:val="30"/>
              </w:rPr>
              <w:t>，培养中医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30"/>
                <w:szCs w:val="30"/>
              </w:rPr>
              <w:t>的思维方法，</w:t>
            </w:r>
            <w:r>
              <w:rPr>
                <w:rFonts w:hint="eastAsia" w:ascii="方正仿宋_GBK" w:hAnsi="方正仿宋_GBK" w:eastAsia="方正仿宋_GBK" w:cs="方正仿宋_GBK"/>
                <w:spacing w:val="-65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30"/>
                <w:szCs w:val="30"/>
              </w:rPr>
              <w:t>为学习中医诊断学、中药学、方剂学及临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30"/>
                <w:szCs w:val="30"/>
              </w:rPr>
              <w:t>床各科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30"/>
                <w:szCs w:val="30"/>
              </w:rPr>
              <w:t>打下必要的基础。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178" w:lineRule="auto"/>
              <w:ind w:left="0" w:right="0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217" w:lineRule="auto"/>
              <w:ind w:left="0" w:right="0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8"/>
                <w:sz w:val="30"/>
                <w:szCs w:val="30"/>
              </w:rPr>
              <w:t>中医诊断学</w:t>
            </w:r>
          </w:p>
        </w:tc>
        <w:tc>
          <w:tcPr>
            <w:tcW w:w="6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7" w:lineRule="auto"/>
              <w:ind w:left="131" w:right="89" w:firstLine="1"/>
              <w:jc w:val="left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3"/>
                <w:sz w:val="30"/>
                <w:szCs w:val="30"/>
              </w:rPr>
              <w:t>使学员掌握中医诊断学的基本理论知识 ,掌握四诊基本技能，并具有辨别基本证候的能力</w:t>
            </w:r>
            <w:r>
              <w:rPr>
                <w:rFonts w:hint="eastAsia"/>
                <w:spacing w:val="-3"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spacing w:val="-3"/>
                <w:sz w:val="30"/>
                <w:szCs w:val="30"/>
              </w:rPr>
              <w:t>能正确书写病历， 为临床各科打好基础。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178" w:lineRule="auto"/>
              <w:ind w:left="0" w:right="0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218" w:lineRule="auto"/>
              <w:ind w:left="0" w:right="0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11"/>
                <w:sz w:val="30"/>
                <w:szCs w:val="30"/>
              </w:rPr>
              <w:t>中药学</w:t>
            </w:r>
          </w:p>
        </w:tc>
        <w:tc>
          <w:tcPr>
            <w:tcW w:w="6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247" w:lineRule="auto"/>
              <w:ind w:left="131" w:right="89" w:firstLine="1"/>
              <w:jc w:val="left"/>
              <w:textAlignment w:val="auto"/>
              <w:rPr>
                <w:rFonts w:hint="eastAsia"/>
                <w:spacing w:val="-3"/>
                <w:sz w:val="30"/>
                <w:szCs w:val="30"/>
              </w:rPr>
            </w:pPr>
            <w:r>
              <w:rPr>
                <w:rFonts w:hint="eastAsia"/>
                <w:spacing w:val="-3"/>
                <w:sz w:val="30"/>
                <w:szCs w:val="30"/>
              </w:rPr>
              <w:t>使学员掌握中药基础理论和常用中药的性味、功效和应用等，了解必要的炮制知识，能对常用中药进行正确辨别。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178" w:lineRule="auto"/>
              <w:ind w:left="0" w:right="0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5"/>
                <w:sz w:val="30"/>
                <w:szCs w:val="30"/>
              </w:rPr>
              <w:t>方剂学</w:t>
            </w:r>
          </w:p>
        </w:tc>
        <w:tc>
          <w:tcPr>
            <w:tcW w:w="6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beforeAutospacing="0" w:after="0" w:afterAutospacing="0" w:line="249" w:lineRule="auto"/>
              <w:ind w:left="134" w:right="119" w:hanging="2"/>
              <w:jc w:val="both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3"/>
                <w:sz w:val="30"/>
                <w:szCs w:val="30"/>
              </w:rPr>
              <w:t>使学员掌握方剂的组成原则及100首以上常用方剂的</w:t>
            </w:r>
            <w:r>
              <w:rPr>
                <w:rFonts w:hint="eastAsia"/>
                <w:spacing w:val="-3"/>
                <w:sz w:val="30"/>
                <w:szCs w:val="30"/>
                <w:lang w:eastAsia="zh-CN"/>
              </w:rPr>
              <w:t>组</w:t>
            </w:r>
            <w:r>
              <w:rPr>
                <w:rFonts w:hint="eastAsia"/>
                <w:spacing w:val="-3"/>
                <w:sz w:val="30"/>
                <w:szCs w:val="30"/>
              </w:rPr>
              <w:t>成、功效 、主治、方义、加减变化及临床运用，熟悉方剂与治法的关系及常用中成药的使用知识。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178" w:lineRule="auto"/>
              <w:ind w:left="0" w:right="0"/>
              <w:jc w:val="center"/>
              <w:textAlignment w:val="auto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中医临床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思维学</w:t>
            </w:r>
          </w:p>
        </w:tc>
        <w:tc>
          <w:tcPr>
            <w:tcW w:w="6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beforeAutospacing="0" w:after="0" w:afterAutospacing="0" w:line="270" w:lineRule="auto"/>
              <w:ind w:left="0" w:right="104"/>
              <w:jc w:val="both"/>
              <w:textAlignment w:val="auto"/>
              <w:rPr>
                <w:rFonts w:hint="eastAsia"/>
                <w:spacing w:val="-13"/>
                <w:sz w:val="30"/>
                <w:szCs w:val="30"/>
              </w:rPr>
            </w:pPr>
            <w:r>
              <w:rPr>
                <w:rFonts w:hint="eastAsia"/>
                <w:spacing w:val="-3"/>
                <w:sz w:val="30"/>
                <w:szCs w:val="30"/>
              </w:rPr>
              <w:t>通过本学科的学习，使学员能运用中医思维学对患者、病证及对通过四诊合参得来的临床资料进行思考分析，以探求疾病本质。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2.中医经典课程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由《黄帝内经》、《伤寒论》、《金匮要略》、《温病学》等课程组成，通过对经典著作的学习，使学员强化中医基础理论知识，培养阅读中医古典医籍的能力，提高中医辨证论治的水平和理法方药综合运用的能力。</w:t>
      </w:r>
    </w:p>
    <w:tbl>
      <w:tblPr>
        <w:tblStyle w:val="6"/>
        <w:tblW w:w="83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204"/>
        <w:gridCol w:w="64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tabs>
                <w:tab w:val="left" w:pos="1480"/>
              </w:tabs>
              <w:spacing w:before="78" w:beforeAutospacing="0" w:after="0" w:afterAutospacing="0" w:line="217" w:lineRule="auto"/>
              <w:ind w:left="0" w:right="0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tabs>
                <w:tab w:val="left" w:pos="1480"/>
              </w:tabs>
              <w:spacing w:before="78" w:beforeAutospacing="0" w:after="0" w:afterAutospacing="0" w:line="217" w:lineRule="auto"/>
              <w:ind w:left="0" w:right="0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val="en-US" w:eastAsia="zh-CN"/>
              </w:rPr>
              <w:t>课程名称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tabs>
                <w:tab w:val="left" w:pos="1480"/>
              </w:tabs>
              <w:spacing w:before="78" w:beforeAutospacing="0" w:after="0" w:afterAutospacing="0" w:line="217" w:lineRule="auto"/>
              <w:ind w:left="0" w:right="0"/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val="en-US" w:eastAsia="zh-CN"/>
              </w:rPr>
              <w:t>基本要求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78" w:beforeAutospacing="0" w:after="0" w:afterAutospacing="0" w:line="179" w:lineRule="auto"/>
              <w:ind w:left="0" w:right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11"/>
              <w:keepNext w:val="0"/>
              <w:keepLines w:val="0"/>
              <w:suppressLineNumbers w:val="0"/>
              <w:spacing w:before="268" w:beforeAutospacing="0" w:after="0" w:afterAutospacing="0" w:line="218" w:lineRule="auto"/>
              <w:ind w:left="0" w:right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3"/>
                <w:sz w:val="30"/>
                <w:szCs w:val="30"/>
              </w:rPr>
              <w:t>黄帝内经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11"/>
              <w:keepNext w:val="0"/>
              <w:keepLines w:val="0"/>
              <w:suppressLineNumbers w:val="0"/>
              <w:spacing w:before="147" w:beforeAutospacing="0" w:after="0" w:afterAutospacing="0" w:line="236" w:lineRule="auto"/>
              <w:ind w:left="163" w:right="155" w:hanging="28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12"/>
                <w:sz w:val="30"/>
                <w:szCs w:val="30"/>
              </w:rPr>
              <w:t>选择经典经文进行讲解，使学员掌握中医学形成</w:t>
            </w:r>
            <w:r>
              <w:rPr>
                <w:rFonts w:hint="eastAsia"/>
                <w:spacing w:val="-59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12"/>
                <w:sz w:val="30"/>
                <w:szCs w:val="30"/>
              </w:rPr>
              <w:t>的</w:t>
            </w:r>
            <w:r>
              <w:rPr>
                <w:rFonts w:hint="eastAsia"/>
                <w:spacing w:val="11"/>
                <w:sz w:val="30"/>
                <w:szCs w:val="30"/>
              </w:rPr>
              <w:t>渊源、</w:t>
            </w:r>
            <w:r>
              <w:rPr>
                <w:rFonts w:hint="eastAsia"/>
                <w:spacing w:val="8"/>
                <w:sz w:val="30"/>
                <w:szCs w:val="30"/>
              </w:rPr>
              <w:t>中医学理论建构</w:t>
            </w:r>
            <w:r>
              <w:rPr>
                <w:rFonts w:hint="eastAsia"/>
                <w:spacing w:val="-60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8"/>
                <w:sz w:val="30"/>
                <w:szCs w:val="30"/>
              </w:rPr>
              <w:t>的</w:t>
            </w:r>
            <w:r>
              <w:rPr>
                <w:rFonts w:hint="eastAsia"/>
                <w:spacing w:val="-65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8"/>
                <w:sz w:val="30"/>
                <w:szCs w:val="30"/>
              </w:rPr>
              <w:t>思维方式以及中医学理论的原貌。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78" w:beforeAutospacing="0" w:after="0" w:afterAutospacing="0" w:line="178" w:lineRule="auto"/>
              <w:ind w:left="0" w:right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78" w:beforeAutospacing="0" w:after="0" w:afterAutospacing="0" w:line="219" w:lineRule="auto"/>
              <w:ind w:left="0" w:right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6"/>
                <w:sz w:val="30"/>
                <w:szCs w:val="30"/>
              </w:rPr>
              <w:t>伤寒论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11"/>
              <w:keepNext w:val="0"/>
              <w:keepLines w:val="0"/>
              <w:suppressLineNumbers w:val="0"/>
              <w:spacing w:before="147" w:beforeAutospacing="0" w:after="0" w:afterAutospacing="0" w:line="236" w:lineRule="auto"/>
              <w:ind w:left="163" w:right="155" w:hanging="28"/>
              <w:jc w:val="left"/>
              <w:rPr>
                <w:rFonts w:hint="eastAsia"/>
                <w:spacing w:val="12"/>
                <w:sz w:val="30"/>
                <w:szCs w:val="30"/>
              </w:rPr>
            </w:pPr>
            <w:r>
              <w:rPr>
                <w:rFonts w:hint="eastAsia"/>
                <w:spacing w:val="12"/>
                <w:sz w:val="30"/>
                <w:szCs w:val="30"/>
              </w:rPr>
              <w:t>通过课堂讲授，使学员掌握六经辨证论治理论体系，各种证候辨证论治的基本理论，初步掌握辨证的方法与技能，为临床各科的辨证论治打好基础。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78" w:beforeAutospacing="0" w:after="0" w:afterAutospacing="0" w:line="178" w:lineRule="auto"/>
              <w:ind w:left="0" w:right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78" w:beforeAutospacing="0" w:after="0" w:afterAutospacing="0" w:line="218" w:lineRule="auto"/>
              <w:ind w:left="0" w:right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3"/>
                <w:sz w:val="30"/>
                <w:szCs w:val="30"/>
              </w:rPr>
              <w:t>金匮要略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11"/>
              <w:keepNext w:val="0"/>
              <w:keepLines w:val="0"/>
              <w:suppressLineNumbers w:val="0"/>
              <w:spacing w:before="147" w:beforeAutospacing="0" w:after="0" w:afterAutospacing="0" w:line="236" w:lineRule="auto"/>
              <w:ind w:left="163" w:right="155" w:hanging="28"/>
              <w:jc w:val="left"/>
              <w:rPr>
                <w:rFonts w:hint="eastAsia"/>
                <w:spacing w:val="12"/>
                <w:sz w:val="30"/>
                <w:szCs w:val="30"/>
              </w:rPr>
            </w:pPr>
            <w:r>
              <w:rPr>
                <w:rFonts w:hint="eastAsia"/>
                <w:spacing w:val="12"/>
                <w:sz w:val="30"/>
                <w:szCs w:val="30"/>
              </w:rPr>
              <w:t>本门课以脏腑经络辨证为核心，将理、法、方、药有机联系起来，并紧密结合临床，通过课堂讲授，为学员提高临床各科辨证论治水平打下坚实基础。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78" w:beforeAutospacing="0" w:after="0" w:afterAutospacing="0" w:line="178" w:lineRule="auto"/>
              <w:ind w:left="0" w:right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78" w:beforeAutospacing="0" w:after="0" w:afterAutospacing="0" w:line="219" w:lineRule="auto"/>
              <w:ind w:left="0" w:right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4"/>
                <w:sz w:val="30"/>
                <w:szCs w:val="30"/>
              </w:rPr>
              <w:t>温病学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11"/>
              <w:keepNext w:val="0"/>
              <w:keepLines w:val="0"/>
              <w:suppressLineNumbers w:val="0"/>
              <w:spacing w:before="147" w:beforeAutospacing="0" w:after="0" w:afterAutospacing="0" w:line="236" w:lineRule="auto"/>
              <w:ind w:left="163" w:right="155" w:hanging="28"/>
              <w:jc w:val="left"/>
              <w:rPr>
                <w:rFonts w:hint="eastAsia"/>
                <w:spacing w:val="12"/>
                <w:sz w:val="30"/>
                <w:szCs w:val="30"/>
              </w:rPr>
            </w:pPr>
            <w:r>
              <w:rPr>
                <w:rFonts w:hint="eastAsia"/>
                <w:spacing w:val="12"/>
                <w:sz w:val="30"/>
                <w:szCs w:val="30"/>
              </w:rPr>
              <w:t>通过学习，使学员掌握运用卫气营血辨证和三焦辨证等温病学理论，以诊断治疗外感热病以及内外妇儿等各科中的发热性病证。</w:t>
            </w:r>
          </w:p>
        </w:tc>
      </w:tr>
    </w:tbl>
    <w:p>
      <w:pPr>
        <w:numPr>
          <w:ilvl w:val="0"/>
          <w:numId w:val="0"/>
        </w:numPr>
        <w:ind w:firstLine="64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3.中医临床课程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主要由中医内科学、中医外科学、中医妇科学、中医儿科学、中医骨伤科学、针灸学、推拿学等课程组成，通过这一阶段的学习，使学员具备运用中医药知识处理临床各科常见疾病的能力。</w:t>
      </w:r>
    </w:p>
    <w:tbl>
      <w:tblPr>
        <w:tblStyle w:val="6"/>
        <w:tblW w:w="8651" w:type="dxa"/>
        <w:tblInd w:w="2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529"/>
        <w:gridCol w:w="64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tabs>
                <w:tab w:val="left" w:pos="1480"/>
              </w:tabs>
              <w:spacing w:before="78" w:beforeAutospacing="0" w:after="0" w:afterAutospacing="0" w:line="217" w:lineRule="auto"/>
              <w:ind w:left="0" w:right="0"/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tabs>
                <w:tab w:val="left" w:pos="1480"/>
              </w:tabs>
              <w:spacing w:before="78" w:beforeAutospacing="0" w:after="0" w:afterAutospacing="0" w:line="217" w:lineRule="auto"/>
              <w:ind w:left="0" w:right="0"/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val="en-US" w:eastAsia="zh-CN"/>
              </w:rPr>
              <w:t>课程名称</w:t>
            </w:r>
          </w:p>
        </w:tc>
        <w:tc>
          <w:tcPr>
            <w:tcW w:w="6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tabs>
                <w:tab w:val="left" w:pos="1480"/>
              </w:tabs>
              <w:spacing w:before="78" w:beforeAutospacing="0" w:after="0" w:afterAutospacing="0" w:line="217" w:lineRule="auto"/>
              <w:ind w:left="0" w:right="0"/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val="en-US" w:eastAsia="zh-CN"/>
              </w:rPr>
              <w:t>基本要求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78" w:beforeAutospacing="0" w:after="0" w:afterAutospacing="0" w:line="179" w:lineRule="auto"/>
              <w:ind w:left="0" w:right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78" w:beforeAutospacing="0" w:after="0" w:afterAutospacing="0" w:line="218" w:lineRule="auto"/>
              <w:ind w:left="0" w:right="32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10"/>
                <w:sz w:val="30"/>
                <w:szCs w:val="30"/>
              </w:rPr>
              <w:t>中医内科学</w:t>
            </w:r>
          </w:p>
        </w:tc>
        <w:tc>
          <w:tcPr>
            <w:tcW w:w="6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65" w:beforeAutospacing="0" w:after="0" w:afterAutospacing="0" w:line="246" w:lineRule="auto"/>
              <w:ind w:left="133" w:right="104" w:firstLine="3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3"/>
                <w:sz w:val="30"/>
                <w:szCs w:val="30"/>
              </w:rPr>
              <w:t>通过该课程的学习</w:t>
            </w:r>
            <w:r>
              <w:rPr>
                <w:rFonts w:hint="eastAsia"/>
                <w:spacing w:val="3"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spacing w:val="-43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3"/>
                <w:sz w:val="30"/>
                <w:szCs w:val="30"/>
              </w:rPr>
              <w:t>旨在使学员掌握中医内科常见病、多</w:t>
            </w:r>
            <w:r>
              <w:rPr>
                <w:rFonts w:hint="eastAsia"/>
                <w:spacing w:val="6"/>
                <w:sz w:val="30"/>
                <w:szCs w:val="30"/>
              </w:rPr>
              <w:t>发病</w:t>
            </w:r>
            <w:r>
              <w:rPr>
                <w:rFonts w:hint="eastAsia"/>
                <w:spacing w:val="-59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6"/>
                <w:sz w:val="30"/>
                <w:szCs w:val="30"/>
              </w:rPr>
              <w:t>的病因病机、辨证论治、处方用药规</w:t>
            </w:r>
            <w:r>
              <w:rPr>
                <w:rFonts w:hint="eastAsia"/>
                <w:spacing w:val="5"/>
                <w:sz w:val="30"/>
                <w:szCs w:val="30"/>
              </w:rPr>
              <w:t>律和临床治疗</w:t>
            </w:r>
            <w:r>
              <w:rPr>
                <w:rFonts w:hint="eastAsia"/>
                <w:spacing w:val="1"/>
                <w:sz w:val="30"/>
                <w:szCs w:val="30"/>
              </w:rPr>
              <w:t>技术，并</w:t>
            </w:r>
            <w:r>
              <w:rPr>
                <w:rFonts w:hint="eastAsia"/>
                <w:spacing w:val="-67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1"/>
                <w:sz w:val="30"/>
                <w:szCs w:val="30"/>
              </w:rPr>
              <w:t>熟</w:t>
            </w:r>
            <w:r>
              <w:rPr>
                <w:rFonts w:hint="eastAsia"/>
                <w:spacing w:val="-70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1"/>
                <w:sz w:val="30"/>
                <w:szCs w:val="30"/>
              </w:rPr>
              <w:t>悉内科疑难病的中医</w:t>
            </w:r>
            <w:r>
              <w:rPr>
                <w:rFonts w:hint="eastAsia"/>
                <w:spacing w:val="-70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1"/>
                <w:sz w:val="30"/>
                <w:szCs w:val="30"/>
              </w:rPr>
              <w:t>治疗原则和方法。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78" w:beforeAutospacing="0" w:after="0" w:afterAutospacing="0" w:line="178" w:lineRule="auto"/>
              <w:ind w:left="0" w:right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78" w:beforeAutospacing="0" w:after="0" w:afterAutospacing="0" w:line="218" w:lineRule="auto"/>
              <w:ind w:left="0" w:right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6"/>
                <w:sz w:val="30"/>
                <w:szCs w:val="30"/>
              </w:rPr>
              <w:t>临床各科学</w:t>
            </w:r>
          </w:p>
        </w:tc>
        <w:tc>
          <w:tcPr>
            <w:tcW w:w="6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41" w:beforeAutospacing="0" w:after="0" w:afterAutospacing="0" w:line="253" w:lineRule="auto"/>
              <w:ind w:left="132" w:right="0" w:firstLine="7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9"/>
                <w:sz w:val="30"/>
                <w:szCs w:val="30"/>
              </w:rPr>
              <w:t>主要讲授中医外科、妇科、儿科、骨伤科、针灸学、推拿学</w:t>
            </w:r>
            <w:r>
              <w:rPr>
                <w:rFonts w:hint="eastAsia"/>
                <w:spacing w:val="5"/>
                <w:sz w:val="30"/>
                <w:szCs w:val="30"/>
              </w:rPr>
              <w:t>等</w:t>
            </w:r>
            <w:r>
              <w:rPr>
                <w:rFonts w:hint="eastAsia"/>
                <w:spacing w:val="-60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5"/>
                <w:sz w:val="30"/>
                <w:szCs w:val="30"/>
              </w:rPr>
              <w:t>临床辨证诊</w:t>
            </w:r>
            <w:r>
              <w:rPr>
                <w:rFonts w:hint="eastAsia"/>
                <w:spacing w:val="-71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5"/>
                <w:sz w:val="30"/>
                <w:szCs w:val="30"/>
              </w:rPr>
              <w:t>疗特点</w:t>
            </w:r>
            <w:r>
              <w:rPr>
                <w:rFonts w:hint="eastAsia"/>
                <w:spacing w:val="-57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5"/>
                <w:sz w:val="30"/>
                <w:szCs w:val="30"/>
              </w:rPr>
              <w:t>，并着</w:t>
            </w:r>
            <w:r>
              <w:rPr>
                <w:rFonts w:hint="eastAsia"/>
                <w:spacing w:val="-67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5"/>
                <w:sz w:val="30"/>
                <w:szCs w:val="30"/>
              </w:rPr>
              <w:t>重讲解各科的</w:t>
            </w:r>
            <w:r>
              <w:rPr>
                <w:rFonts w:hint="eastAsia"/>
                <w:spacing w:val="8"/>
                <w:sz w:val="30"/>
                <w:szCs w:val="30"/>
              </w:rPr>
              <w:t>特色病种以</w:t>
            </w:r>
            <w:r>
              <w:rPr>
                <w:rFonts w:hint="eastAsia"/>
                <w:spacing w:val="-68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8"/>
                <w:sz w:val="30"/>
                <w:szCs w:val="30"/>
              </w:rPr>
              <w:t>帮助</w:t>
            </w:r>
            <w:r>
              <w:rPr>
                <w:rFonts w:hint="eastAsia"/>
                <w:spacing w:val="-64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8"/>
                <w:sz w:val="30"/>
                <w:szCs w:val="30"/>
              </w:rPr>
              <w:t>学员对各科治疗特色有进一步理解。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both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（二）课外自学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培训对象结合临床工作实际，可通过在线学习平台完成相应课程学时，巩固集中学习效果，提高中医理论知识与技能水平。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both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（三）临床实践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以门诊跟师为主，实习</w:t>
      </w:r>
      <w:r>
        <w:rPr>
          <w:rFonts w:hint="eastAsia" w:ascii="仿宋" w:hAnsi="仿宋" w:eastAsia="仿宋" w:cs="仿宋"/>
          <w:color w:val="000000"/>
          <w:spacing w:val="-1"/>
          <w:kern w:val="2"/>
          <w:sz w:val="32"/>
          <w:szCs w:val="32"/>
          <w:lang w:val="en-US" w:eastAsia="zh-CN" w:bidi="ar"/>
        </w:rPr>
        <w:t>科室包括中医内科和</w:t>
      </w:r>
      <w:r>
        <w:rPr>
          <w:rFonts w:hint="eastAsia" w:ascii="仿宋" w:hAnsi="仿宋" w:eastAsia="仿宋" w:cs="仿宋"/>
          <w:color w:val="auto"/>
          <w:spacing w:val="-1"/>
          <w:kern w:val="2"/>
          <w:sz w:val="32"/>
          <w:szCs w:val="32"/>
          <w:lang w:val="en-US" w:eastAsia="zh-CN" w:bidi="ar"/>
        </w:rPr>
        <w:t>其它</w:t>
      </w:r>
      <w:r>
        <w:rPr>
          <w:rFonts w:hint="eastAsia" w:ascii="仿宋" w:hAnsi="仿宋" w:eastAsia="仿宋" w:cs="仿宋"/>
          <w:color w:val="000000"/>
          <w:spacing w:val="-1"/>
          <w:kern w:val="2"/>
          <w:sz w:val="32"/>
          <w:szCs w:val="32"/>
          <w:lang w:val="en-US" w:eastAsia="zh-CN" w:bidi="ar"/>
        </w:rPr>
        <w:t>中医临床科室两个(可在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中医妇科、中医儿科、中医外科、中医骨伤科、针灸科等科室中选择)。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临床实践时间不少于6个月</w:t>
      </w:r>
      <w:r>
        <w:rPr>
          <w:rFonts w:hint="eastAsia" w:ascii="仿宋" w:hAnsi="仿宋" w:eastAsia="仿宋" w:cs="仿宋"/>
          <w:color w:val="000000"/>
          <w:spacing w:val="-1"/>
          <w:kern w:val="2"/>
          <w:sz w:val="31"/>
          <w:szCs w:val="31"/>
          <w:lang w:val="en-US"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其中中医内科临床实践时间不少于3个月。学员可选择临床实践基地进行集中实习，也可选择临床实践基地的协同基地就近实习。集中实习每月不少于6天，就近实习每周不少于3个半天。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right="0" w:rightChars="0" w:firstLine="616" w:firstLineChars="200"/>
        <w:jc w:val="both"/>
        <w:textAlignment w:val="auto"/>
        <w:rPr>
          <w:rFonts w:hint="default" w:ascii="Calibri" w:hAnsi="Calibri" w:cs="宋体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-1"/>
          <w:kern w:val="2"/>
          <w:sz w:val="31"/>
          <w:szCs w:val="31"/>
          <w:lang w:val="en-US" w:eastAsia="zh-CN" w:bidi="ar"/>
        </w:rPr>
        <w:t>学员跟师学习中医临床基本技能及中医适宜技术，实习期间完要求完成跟师</w:t>
      </w:r>
      <w:r>
        <w:rPr>
          <w:rFonts w:ascii="仿宋" w:hAnsi="仿宋" w:eastAsia="仿宋" w:cs="Times New Roman"/>
          <w:color w:val="000000"/>
          <w:spacing w:val="-1"/>
          <w:sz w:val="32"/>
          <w:szCs w:val="32"/>
        </w:rPr>
        <w:t>学习笔记</w:t>
      </w:r>
      <w:r>
        <w:rPr>
          <w:rFonts w:hint="eastAsia" w:ascii="仿宋" w:hAnsi="仿宋" w:eastAsia="仿宋" w:cs="Times New Roman"/>
          <w:color w:val="000000"/>
          <w:spacing w:val="-1"/>
          <w:sz w:val="32"/>
          <w:szCs w:val="32"/>
          <w:lang w:eastAsia="zh-CN"/>
        </w:rPr>
        <w:t>、</w:t>
      </w:r>
      <w:r>
        <w:rPr>
          <w:rFonts w:ascii="仿宋" w:hAnsi="仿宋" w:eastAsia="仿宋" w:cs="Times New Roman"/>
          <w:color w:val="000000"/>
          <w:spacing w:val="-1"/>
          <w:sz w:val="32"/>
          <w:szCs w:val="32"/>
        </w:rPr>
        <w:t>学习心得2篇</w:t>
      </w:r>
      <w:r>
        <w:rPr>
          <w:rFonts w:hint="eastAsia" w:ascii="仿宋" w:hAnsi="仿宋" w:eastAsia="仿宋" w:cs="Times New Roman"/>
          <w:color w:val="000000"/>
          <w:spacing w:val="-1"/>
          <w:sz w:val="32"/>
          <w:szCs w:val="32"/>
          <w:lang w:val="en-US" w:eastAsia="zh-CN"/>
        </w:rPr>
        <w:t>及医案15份。</w:t>
      </w:r>
      <w:r>
        <w:rPr>
          <w:rFonts w:hint="eastAsia" w:ascii="仿宋" w:hAnsi="仿宋" w:eastAsia="仿宋" w:cs="仿宋"/>
          <w:color w:val="000000"/>
          <w:spacing w:val="-1"/>
          <w:kern w:val="2"/>
          <w:sz w:val="31"/>
          <w:szCs w:val="31"/>
          <w:lang w:val="en-US" w:eastAsia="zh-CN" w:bidi="ar"/>
        </w:rPr>
        <w:t>实习结束后由带教老师出具实习鉴定。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80" w:lineRule="exact"/>
        <w:ind w:right="0" w:rightChars="0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课程安排</w:t>
      </w:r>
    </w:p>
    <w:tbl>
      <w:tblPr>
        <w:tblStyle w:val="6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548"/>
        <w:gridCol w:w="1394"/>
        <w:gridCol w:w="1423"/>
        <w:gridCol w:w="2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集中面授学时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线上自学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中医基础课程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中医基础理论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中医诊断学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方剂学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中医临床思维学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中医经典课程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黄帝内经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ab/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伤寒论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温病学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金匮要略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 医 临 床 课 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常见中成药的临床应用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          （四选二）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讲座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名医名家专题讲座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临床实践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必选（3个月）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其他中医临床科室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自选2个（3个月）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学时合计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五、平时考核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平时考核含理论课程考试和临床实践考核，由理论教学基地和临床实践基地负责。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一是理论课程考试在每门课程结束后进行，成绩采用百分制，考试成绩占85％，作业成绩占15％，评定指标由理论教学基地制定。60分及以上合格，不合格者允许补考1次，并注明补考。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二是临床实践考核在每科轮转结束后进行，由带教老师和单位结合学员考勤、跟师、考核等情况综合评定，分为优、良、合格、不及格，临床实践期间无故缺勤累计超过五分之一时间者直接判定为不合格。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六、师资要求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论课程培训师资应由具备副高及以上高校教师专业技术职称，具有相应课程教学经验并有一定临床经验的高校教师担任。临床实践指导师资由实践基地遴选，指导老师原则上应具备副高及以上中医、中西医专业技术职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七、其他要求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（一）培训单位要严格按照要求制定培训计划，不得随意减少学时、变更培训科目，对培训学员的培训、考勤、考核等情况及时登记存档，以备查阅。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（二）培训学员应根据培训情况制定个人学习计划，按时参加培训，做好学习笔记，结合临床实际研习相关中医书籍，及时总结医案等。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八、考核与颁证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（一）考核分为过程考核和结业考核，过程考核分为理论考核和临床实践考核，过程考核合格者方可参加结业考核。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（二）根据当年考试(考核)合格情况及相关规定授予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继续医学教育学分。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（三）培训期满，培训合格人员名单及相关材料，由省中医药管理局审核，通过后颁发培训合格证书。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CF5E49"/>
    <w:multiLevelType w:val="singleLevel"/>
    <w:tmpl w:val="EFCF5E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jg5Y2FkNWEzM2FmM2MwMjE4ZTBlNTQ1ZmIzZjAifQ=="/>
  </w:docVars>
  <w:rsids>
    <w:rsidRoot w:val="28FD4F9A"/>
    <w:rsid w:val="0D576E87"/>
    <w:rsid w:val="277E8E62"/>
    <w:rsid w:val="27BB76CA"/>
    <w:rsid w:val="28FD4F9A"/>
    <w:rsid w:val="31CF6A56"/>
    <w:rsid w:val="3FDF34C2"/>
    <w:rsid w:val="480E5CD9"/>
    <w:rsid w:val="587C3438"/>
    <w:rsid w:val="5B565FDC"/>
    <w:rsid w:val="6966551C"/>
    <w:rsid w:val="75D4A667"/>
    <w:rsid w:val="76F39F4F"/>
    <w:rsid w:val="7BB286DB"/>
    <w:rsid w:val="7EFEF44A"/>
    <w:rsid w:val="7F566160"/>
    <w:rsid w:val="AD4DCFBC"/>
    <w:rsid w:val="AF37AF4D"/>
    <w:rsid w:val="B7D1C9D2"/>
    <w:rsid w:val="D8B1916C"/>
    <w:rsid w:val="DBE7E962"/>
    <w:rsid w:val="FC3CF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semiHidden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2024-04-27T09:23:00Z</dcterms:created>
  <dc:creator>birthmark</dc:creator>
  <cp:lastModifiedBy>gsswjw</cp:lastModifiedBy>
  <cp:lastPrinted>2024-05-09T09:51:00Z</cp:lastPrinted>
  <dcterms:modified xsi:type="dcterms:W3CDTF">2024-05-17T16:18:18Z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FBCC2CC8746544148D36AA7C8225334E_13</vt:lpwstr>
  </property>
</Properties>
</file>