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sz w:val="44"/>
        </w:rPr>
      </w:pPr>
    </w:p>
    <w:p>
      <w:pPr>
        <w:jc w:val="center"/>
        <w:rPr>
          <w:rFonts w:ascii="宋体" w:hAnsi="宋体" w:cs="宋体"/>
          <w:sz w:val="44"/>
        </w:rPr>
      </w:pPr>
      <w:r>
        <w:rPr>
          <w:rFonts w:ascii="宋体" w:hAnsi="宋体" w:cs="宋体"/>
          <w:sz w:val="44"/>
        </w:rPr>
        <w:t>湖北省</w:t>
      </w:r>
      <w:r>
        <w:rPr>
          <w:rFonts w:hint="eastAsia" w:ascii="宋体" w:hAnsi="宋体" w:cs="宋体"/>
          <w:sz w:val="44"/>
        </w:rPr>
        <w:t>医用耗材</w:t>
      </w:r>
      <w:r>
        <w:rPr>
          <w:rFonts w:ascii="宋体" w:hAnsi="宋体" w:cs="宋体"/>
          <w:sz w:val="44"/>
        </w:rPr>
        <w:t>集中采购系统</w:t>
      </w:r>
    </w:p>
    <w:p>
      <w:pPr>
        <w:jc w:val="center"/>
        <w:rPr>
          <w:rFonts w:ascii="宋体" w:hAnsi="宋体" w:cs="宋体"/>
          <w:sz w:val="44"/>
        </w:rPr>
      </w:pPr>
      <w:r>
        <w:rPr>
          <w:rFonts w:hint="eastAsia" w:ascii="宋体" w:hAnsi="宋体" w:cs="宋体"/>
          <w:sz w:val="44"/>
          <w:lang w:eastAsia="zh-CN"/>
        </w:rPr>
        <w:t>耗材集采非中选产品比对</w:t>
      </w:r>
      <w:r>
        <w:rPr>
          <w:rFonts w:ascii="宋体" w:hAnsi="宋体" w:cs="宋体"/>
          <w:sz w:val="44"/>
        </w:rPr>
        <w:t>操作手册</w:t>
      </w:r>
      <w:bookmarkStart w:id="0" w:name="_GoBack"/>
      <w:bookmarkEnd w:id="0"/>
    </w:p>
    <w:p>
      <w:pPr>
        <w:rPr>
          <w:rFonts w:ascii="宋体" w:hAnsi="宋体" w:cs="宋体"/>
          <w:sz w:val="44"/>
        </w:rPr>
      </w:pPr>
    </w:p>
    <w:p>
      <w:pPr>
        <w:spacing w:line="360" w:lineRule="auto"/>
        <w:ind w:left="210" w:leftChars="100"/>
        <w:contextualSpacing/>
        <w:jc w:val="left"/>
        <w:rPr>
          <w:b/>
          <w:szCs w:val="21"/>
          <w:highlight w:val="yellow"/>
          <w:u w:val="single"/>
        </w:rPr>
      </w:pPr>
      <w:r>
        <w:rPr>
          <w:rFonts w:hint="eastAsia"/>
          <w:b/>
          <w:szCs w:val="21"/>
          <w:highlight w:val="yellow"/>
          <w:u w:val="single"/>
        </w:rPr>
        <w:t>温馨提示</w:t>
      </w:r>
      <w:r>
        <w:rPr>
          <w:b/>
          <w:szCs w:val="21"/>
          <w:highlight w:val="yellow"/>
          <w:u w:val="single"/>
        </w:rPr>
        <w:t>：</w:t>
      </w:r>
      <w:r>
        <w:rPr>
          <w:rFonts w:hint="eastAsia" w:ascii="微软雅黑" w:hAnsi="微软雅黑" w:eastAsia="微软雅黑"/>
          <w:color w:val="000000"/>
          <w:szCs w:val="21"/>
          <w:highlight w:val="yellow"/>
          <w:u w:val="single"/>
          <w:shd w:val="clear" w:color="auto" w:fill="FFEDC4"/>
        </w:rPr>
        <w:t>系统目前支持</w:t>
      </w:r>
      <w:r>
        <w:rPr>
          <w:rFonts w:hint="eastAsia" w:ascii="微软雅黑" w:hAnsi="微软雅黑" w:eastAsia="微软雅黑"/>
          <w:color w:val="000000"/>
          <w:szCs w:val="21"/>
          <w:highlight w:val="yellow"/>
          <w:u w:val="single"/>
          <w:shd w:val="clear" w:color="auto" w:fill="FFFF00"/>
        </w:rPr>
        <w:t>ie9</w:t>
      </w:r>
      <w:r>
        <w:rPr>
          <w:rFonts w:hint="eastAsia" w:ascii="微软雅黑" w:hAnsi="微软雅黑" w:eastAsia="微软雅黑"/>
          <w:color w:val="000000"/>
          <w:szCs w:val="21"/>
          <w:highlight w:val="yellow"/>
          <w:u w:val="single"/>
          <w:shd w:val="clear" w:color="auto" w:fill="FFEDC4"/>
        </w:rPr>
        <w:t>及以上、火狐、搜狗、谷歌 、360极速模式、QQ等主流浏览器，如果出现系统不能点的情况，可以换个浏览器试一下   建议用火狐或者谷歌，安全性和兼容性相对较好</w:t>
      </w:r>
      <w:r>
        <w:rPr>
          <w:rFonts w:hint="eastAsia"/>
          <w:b/>
          <w:szCs w:val="21"/>
          <w:highlight w:val="yellow"/>
          <w:u w:val="single"/>
        </w:rPr>
        <w:t>。</w:t>
      </w:r>
    </w:p>
    <w:p>
      <w:pPr>
        <w:spacing w:line="360" w:lineRule="auto"/>
        <w:ind w:left="210" w:leftChars="100"/>
        <w:contextualSpacing/>
        <w:jc w:val="left"/>
        <w:rPr>
          <w:b/>
          <w:szCs w:val="21"/>
          <w:highlight w:val="yellow"/>
          <w:u w:val="single"/>
        </w:rPr>
      </w:pPr>
    </w:p>
    <w:p>
      <w:pPr>
        <w:pStyle w:val="2"/>
      </w:pPr>
      <w:r>
        <w:t>登录系统</w:t>
      </w:r>
    </w:p>
    <w:p>
      <w:pPr>
        <w:ind w:firstLine="420"/>
        <w:rPr>
          <w:rFonts w:ascii="宋体" w:hAnsi="宋体" w:eastAsia="宋体" w:cs="宋体"/>
          <w:sz w:val="28"/>
          <w:szCs w:val="28"/>
        </w:rPr>
      </w:pPr>
      <w:r>
        <w:rPr>
          <w:rFonts w:hint="eastAsia" w:ascii="宋体" w:hAnsi="宋体" w:eastAsia="宋体" w:cs="宋体"/>
          <w:sz w:val="28"/>
          <w:szCs w:val="28"/>
        </w:rPr>
        <w:t>通过网址“</w:t>
      </w:r>
      <w:r>
        <w:rPr>
          <w:rFonts w:hint="eastAsia" w:ascii="宋体" w:hAnsi="宋体" w:eastAsia="宋体" w:cs="宋体"/>
          <w:color w:val="FF0000"/>
          <w:sz w:val="28"/>
          <w:szCs w:val="28"/>
        </w:rPr>
        <w:t>http://www.hbyxjzcg.cn/</w:t>
      </w:r>
      <w:r>
        <w:rPr>
          <w:rFonts w:hint="eastAsia" w:ascii="宋体" w:hAnsi="宋体" w:eastAsia="宋体" w:cs="宋体"/>
          <w:sz w:val="28"/>
          <w:szCs w:val="28"/>
        </w:rPr>
        <w:t>”打开“湖北省药械集中采购服务平台”后，</w:t>
      </w:r>
      <w:r>
        <w:rPr>
          <w:rFonts w:hint="eastAsia" w:ascii="宋体" w:hAnsi="宋体" w:eastAsia="宋体" w:cs="宋体"/>
          <w:color w:val="FF0000"/>
          <w:sz w:val="28"/>
          <w:szCs w:val="28"/>
        </w:rPr>
        <w:t>在“登录入口”模块找到“耗材系统”，点击该模块可看到“医用耗材集中采购系统”</w:t>
      </w:r>
      <w:r>
        <w:rPr>
          <w:rFonts w:hint="eastAsia" w:ascii="宋体" w:hAnsi="宋体" w:eastAsia="宋体" w:cs="宋体"/>
          <w:sz w:val="28"/>
          <w:szCs w:val="28"/>
        </w:rPr>
        <w:t>。如下图所示</w:t>
      </w:r>
    </w:p>
    <w:p>
      <w:r>
        <w:drawing>
          <wp:inline distT="0" distB="0" distL="0" distR="0">
            <wp:extent cx="5274310" cy="293497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stretch>
                      <a:fillRect/>
                    </a:stretch>
                  </pic:blipFill>
                  <pic:spPr>
                    <a:xfrm>
                      <a:off x="0" y="0"/>
                      <a:ext cx="5274310" cy="2934970"/>
                    </a:xfrm>
                    <a:prstGeom prst="rect">
                      <a:avLst/>
                    </a:prstGeom>
                  </pic:spPr>
                </pic:pic>
              </a:graphicData>
            </a:graphic>
          </wp:inline>
        </w:drawing>
      </w:r>
    </w:p>
    <w:p/>
    <w:p>
      <w:pPr>
        <w:pStyle w:val="10"/>
        <w:spacing w:line="360" w:lineRule="auto"/>
        <w:ind w:firstLine="0" w:firstLineChars="0"/>
        <w:contextualSpacing/>
        <w:rPr>
          <w:sz w:val="28"/>
          <w:szCs w:val="28"/>
        </w:rPr>
      </w:pPr>
      <w:r>
        <w:rPr>
          <w:rFonts w:hint="eastAsia" w:asciiTheme="majorEastAsia" w:hAnsiTheme="majorEastAsia" w:eastAsiaTheme="majorEastAsia" w:cstheme="majorEastAsia"/>
          <w:sz w:val="28"/>
          <w:szCs w:val="28"/>
        </w:rPr>
        <w:t>点击该按钮跳转到医用耗材集中采购系统登录页面，如图（1）所示。输入生产企业医用耗材集中采购系统账户、密码、验证码。登录系统。</w:t>
      </w:r>
    </w:p>
    <w:p>
      <w:pPr>
        <w:spacing w:line="360" w:lineRule="auto"/>
        <w:contextualSpacing/>
      </w:pPr>
      <w:r>
        <w:drawing>
          <wp:inline distT="0" distB="0" distL="0" distR="0">
            <wp:extent cx="5288915" cy="2461260"/>
            <wp:effectExtent l="0" t="0" r="698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88915" cy="2461260"/>
                    </a:xfrm>
                    <a:prstGeom prst="rect">
                      <a:avLst/>
                    </a:prstGeom>
                  </pic:spPr>
                </pic:pic>
              </a:graphicData>
            </a:graphic>
          </wp:inline>
        </w:drawing>
      </w:r>
    </w:p>
    <w:p>
      <w:pPr>
        <w:spacing w:line="360" w:lineRule="auto"/>
        <w:ind w:left="210" w:leftChars="100"/>
        <w:contextualSpacing/>
        <w:jc w:val="center"/>
      </w:pPr>
      <w:r>
        <w:rPr>
          <w:rFonts w:hint="eastAsia"/>
          <w:sz w:val="28"/>
          <w:szCs w:val="28"/>
        </w:rPr>
        <w:t>图(1)</w:t>
      </w:r>
    </w:p>
    <w:p>
      <w:pPr>
        <w:pStyle w:val="2"/>
      </w:pPr>
      <w:r>
        <w:rPr>
          <w:rFonts w:hint="eastAsia"/>
        </w:rPr>
        <w:t>修改</w:t>
      </w:r>
      <w:r>
        <w:t>密码</w:t>
      </w:r>
    </w:p>
    <w:p>
      <w:pPr>
        <w:spacing w:line="360" w:lineRule="auto"/>
        <w:ind w:left="210" w:leftChars="100" w:firstLine="418"/>
        <w:contextualSpacing/>
        <w:rPr>
          <w:rFonts w:ascii="宋体" w:hAnsi="宋体" w:eastAsia="宋体" w:cs="宋体"/>
          <w:sz w:val="28"/>
          <w:szCs w:val="28"/>
        </w:rPr>
      </w:pPr>
      <w:r>
        <w:rPr>
          <w:rFonts w:hint="eastAsia" w:ascii="宋体" w:hAnsi="宋体" w:eastAsia="宋体" w:cs="宋体"/>
          <w:sz w:val="28"/>
          <w:szCs w:val="28"/>
        </w:rPr>
        <w:t>登录系统后，点击右上方</w:t>
      </w:r>
      <w:r>
        <w:rPr>
          <w:rFonts w:hint="eastAsia" w:ascii="宋体" w:hAnsi="宋体" w:eastAsia="宋体" w:cs="宋体"/>
          <w:b/>
          <w:sz w:val="28"/>
          <w:szCs w:val="28"/>
        </w:rPr>
        <w:t>【修改密码】</w:t>
      </w:r>
      <w:r>
        <w:rPr>
          <w:rFonts w:hint="eastAsia" w:ascii="宋体" w:hAnsi="宋体" w:eastAsia="宋体" w:cs="宋体"/>
          <w:sz w:val="28"/>
          <w:szCs w:val="28"/>
        </w:rPr>
        <w:t>，对密码进行修改，如图（2）所示：</w:t>
      </w:r>
    </w:p>
    <w:p>
      <w:pPr>
        <w:spacing w:line="360" w:lineRule="auto"/>
        <w:contextualSpacing/>
        <w:rPr>
          <w:sz w:val="28"/>
          <w:szCs w:val="28"/>
        </w:rPr>
      </w:pPr>
      <w:r>
        <w:drawing>
          <wp:inline distT="0" distB="0" distL="0" distR="0">
            <wp:extent cx="5133975" cy="22409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133975" cy="2245011"/>
                    </a:xfrm>
                    <a:prstGeom prst="rect">
                      <a:avLst/>
                    </a:prstGeom>
                  </pic:spPr>
                </pic:pic>
              </a:graphicData>
            </a:graphic>
          </wp:inline>
        </w:drawing>
      </w:r>
    </w:p>
    <w:p>
      <w:pPr>
        <w:spacing w:line="360" w:lineRule="auto"/>
        <w:ind w:left="210" w:leftChars="100"/>
        <w:contextualSpacing/>
        <w:jc w:val="center"/>
        <w:rPr>
          <w:sz w:val="28"/>
          <w:szCs w:val="28"/>
        </w:rPr>
      </w:pPr>
      <w:r>
        <w:rPr>
          <w:rFonts w:hint="eastAsia"/>
          <w:sz w:val="28"/>
          <w:szCs w:val="28"/>
        </w:rPr>
        <w:t xml:space="preserve"> 图</w:t>
      </w:r>
      <w:r>
        <w:rPr>
          <w:sz w:val="28"/>
          <w:szCs w:val="28"/>
        </w:rPr>
        <w:t>(</w:t>
      </w:r>
      <w:r>
        <w:rPr>
          <w:rFonts w:hint="eastAsia"/>
          <w:sz w:val="28"/>
          <w:szCs w:val="28"/>
        </w:rPr>
        <w:t>2</w:t>
      </w:r>
      <w:r>
        <w:rPr>
          <w:sz w:val="28"/>
          <w:szCs w:val="28"/>
        </w:rPr>
        <w:t>)</w:t>
      </w:r>
    </w:p>
    <w:p>
      <w:pPr>
        <w:spacing w:line="360" w:lineRule="auto"/>
        <w:ind w:left="210" w:leftChars="100" w:firstLine="418"/>
        <w:contextualSpacing/>
        <w:rPr>
          <w:sz w:val="28"/>
          <w:szCs w:val="28"/>
        </w:rPr>
      </w:pPr>
      <w:r>
        <w:rPr>
          <w:rFonts w:hint="eastAsia"/>
          <w:sz w:val="28"/>
          <w:szCs w:val="28"/>
        </w:rPr>
        <w:t>输入原始密码和新密码后点击确定修改，如图（3）</w:t>
      </w:r>
      <w:r>
        <w:rPr>
          <w:sz w:val="28"/>
          <w:szCs w:val="28"/>
        </w:rPr>
        <w:t>所示：</w:t>
      </w:r>
    </w:p>
    <w:p>
      <w:r>
        <w:rPr>
          <w:rFonts w:hint="eastAsia"/>
        </w:rPr>
        <w:t xml:space="preserve"> </w:t>
      </w:r>
      <w:r>
        <w:drawing>
          <wp:inline distT="0" distB="0" distL="114300" distR="114300">
            <wp:extent cx="5155565" cy="2567305"/>
            <wp:effectExtent l="0" t="0" r="698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155565" cy="2567305"/>
                    </a:xfrm>
                    <a:prstGeom prst="rect">
                      <a:avLst/>
                    </a:prstGeom>
                    <a:noFill/>
                    <a:ln>
                      <a:noFill/>
                    </a:ln>
                  </pic:spPr>
                </pic:pic>
              </a:graphicData>
            </a:graphic>
          </wp:inline>
        </w:drawing>
      </w:r>
    </w:p>
    <w:p>
      <w:pPr>
        <w:jc w:val="center"/>
        <w:rPr>
          <w:sz w:val="28"/>
          <w:szCs w:val="28"/>
        </w:rPr>
      </w:pPr>
      <w:r>
        <w:rPr>
          <w:rFonts w:hint="eastAsia"/>
          <w:sz w:val="28"/>
          <w:szCs w:val="28"/>
        </w:rPr>
        <w:t>图（3）</w:t>
      </w:r>
    </w:p>
    <w:p>
      <w:pPr>
        <w:spacing w:line="360" w:lineRule="auto"/>
        <w:ind w:left="210" w:leftChars="100" w:firstLine="418"/>
        <w:contextualSpacing/>
        <w:rPr>
          <w:sz w:val="28"/>
          <w:szCs w:val="28"/>
        </w:rPr>
      </w:pPr>
      <w:r>
        <w:rPr>
          <w:rFonts w:hint="eastAsia"/>
          <w:sz w:val="28"/>
          <w:szCs w:val="28"/>
        </w:rPr>
        <w:t>登录成功以后如图（4）所示。</w:t>
      </w:r>
    </w:p>
    <w:p>
      <w:pPr>
        <w:spacing w:line="360" w:lineRule="auto"/>
        <w:ind w:left="210" w:leftChars="100"/>
        <w:contextualSpacing/>
        <w:rPr>
          <w:sz w:val="28"/>
          <w:szCs w:val="28"/>
        </w:rPr>
      </w:pPr>
      <w:r>
        <w:drawing>
          <wp:inline distT="0" distB="0" distL="0" distR="0">
            <wp:extent cx="5161280" cy="2193290"/>
            <wp:effectExtent l="0" t="0" r="127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5161280" cy="2194633"/>
                    </a:xfrm>
                    <a:prstGeom prst="rect">
                      <a:avLst/>
                    </a:prstGeom>
                  </pic:spPr>
                </pic:pic>
              </a:graphicData>
            </a:graphic>
          </wp:inline>
        </w:drawing>
      </w:r>
    </w:p>
    <w:p>
      <w:pPr>
        <w:spacing w:line="360" w:lineRule="auto"/>
        <w:ind w:left="210" w:leftChars="100"/>
        <w:contextualSpacing/>
        <w:rPr>
          <w:sz w:val="28"/>
          <w:szCs w:val="28"/>
        </w:rPr>
      </w:pPr>
      <w:r>
        <w:rPr>
          <w:rFonts w:hint="eastAsia"/>
          <w:sz w:val="28"/>
          <w:szCs w:val="28"/>
        </w:rPr>
        <w:t xml:space="preserve"> </w:t>
      </w:r>
      <w:r>
        <w:rPr>
          <w:sz w:val="28"/>
          <w:szCs w:val="28"/>
        </w:rPr>
        <w:t xml:space="preserve">                         </w:t>
      </w:r>
      <w:r>
        <w:rPr>
          <w:rFonts w:hint="eastAsia"/>
          <w:sz w:val="28"/>
          <w:szCs w:val="28"/>
        </w:rPr>
        <w:t>图（4）</w:t>
      </w:r>
    </w:p>
    <w:p>
      <w:pPr>
        <w:pStyle w:val="2"/>
      </w:pPr>
      <w:r>
        <w:rPr>
          <w:rFonts w:hint="eastAsia"/>
        </w:rPr>
        <w:t>基础库系统</w:t>
      </w:r>
    </w:p>
    <w:p>
      <w:pPr>
        <w:rPr>
          <w:sz w:val="24"/>
        </w:rPr>
      </w:pPr>
      <w:r>
        <w:rPr>
          <w:rFonts w:hint="eastAsia"/>
          <w:sz w:val="28"/>
          <w:szCs w:val="28"/>
        </w:rPr>
        <w:t>成功进入基础库系统后如图（5）所示。</w:t>
      </w:r>
    </w:p>
    <w:p>
      <w:r>
        <w:drawing>
          <wp:inline distT="0" distB="0" distL="0" distR="0">
            <wp:extent cx="5274310" cy="253301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2533015"/>
                    </a:xfrm>
                    <a:prstGeom prst="rect">
                      <a:avLst/>
                    </a:prstGeom>
                  </pic:spPr>
                </pic:pic>
              </a:graphicData>
            </a:graphic>
          </wp:inline>
        </w:drawing>
      </w:r>
    </w:p>
    <w:p>
      <w:pPr>
        <w:jc w:val="center"/>
        <w:rPr>
          <w:sz w:val="28"/>
          <w:szCs w:val="28"/>
        </w:rPr>
      </w:pPr>
      <w:r>
        <w:rPr>
          <w:rFonts w:hint="eastAsia"/>
          <w:sz w:val="28"/>
          <w:szCs w:val="28"/>
        </w:rPr>
        <w:t>图（5）</w:t>
      </w:r>
    </w:p>
    <w:p>
      <w:pPr>
        <w:pStyle w:val="3"/>
        <w:numPr>
          <w:ilvl w:val="0"/>
          <w:numId w:val="0"/>
        </w:numPr>
      </w:pPr>
      <w:r>
        <w:rPr>
          <w:rFonts w:hint="eastAsia"/>
        </w:rPr>
        <w:t>1、人工关节非中选系统价格填报</w:t>
      </w:r>
    </w:p>
    <w:p>
      <w:pPr>
        <w:spacing w:line="360" w:lineRule="auto"/>
        <w:ind w:left="210" w:leftChars="100" w:firstLine="280" w:firstLineChars="100"/>
        <w:contextualSpacing/>
        <w:jc w:val="left"/>
        <w:rPr>
          <w:sz w:val="28"/>
          <w:szCs w:val="28"/>
        </w:rPr>
      </w:pPr>
      <w:r>
        <w:rPr>
          <w:rFonts w:hint="eastAsia"/>
          <w:sz w:val="28"/>
          <w:szCs w:val="28"/>
        </w:rPr>
        <w:t>1、系统功能说明</w:t>
      </w:r>
      <w:r>
        <w:rPr>
          <w:sz w:val="28"/>
          <w:szCs w:val="28"/>
        </w:rPr>
        <w:t>：</w:t>
      </w:r>
    </w:p>
    <w:p>
      <w:pPr>
        <w:pStyle w:val="10"/>
        <w:spacing w:line="360" w:lineRule="auto"/>
        <w:ind w:left="210" w:leftChars="100" w:firstLine="280" w:firstLineChars="100"/>
        <w:contextualSpacing/>
        <w:jc w:val="left"/>
        <w:rPr>
          <w:sz w:val="28"/>
          <w:szCs w:val="28"/>
        </w:rPr>
      </w:pPr>
      <w:r>
        <w:rPr>
          <w:rFonts w:hint="eastAsia"/>
          <w:sz w:val="28"/>
          <w:szCs w:val="28"/>
        </w:rPr>
        <w:t>申报企业对人工关节非中选系统部件和规格型号进行选择比对，同时对非中选系统填报系统价格、伴随服务价、部件价格等操作。。</w:t>
      </w:r>
    </w:p>
    <w:p>
      <w:pPr>
        <w:spacing w:line="360" w:lineRule="auto"/>
        <w:ind w:left="210" w:leftChars="100" w:firstLine="280" w:firstLineChars="100"/>
        <w:contextualSpacing/>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w:t>
      </w:r>
    </w:p>
    <w:p>
      <w:pPr>
        <w:ind w:left="-6" w:hanging="11"/>
        <w:rPr>
          <w:rFonts w:eastAsia="Times New Roman"/>
          <w:sz w:val="28"/>
        </w:rPr>
      </w:pPr>
      <w:r>
        <w:rPr>
          <w:rFonts w:hint="eastAsia" w:ascii="宋体" w:hAnsi="宋体" w:cs="宋体"/>
          <w:sz w:val="28"/>
        </w:rPr>
        <w:t>（1）</w:t>
      </w:r>
      <w:r>
        <w:rPr>
          <w:rFonts w:ascii="宋体" w:hAnsi="宋体" w:cs="宋体"/>
          <w:sz w:val="28"/>
        </w:rPr>
        <w:t>点击左侧菜单【</w:t>
      </w:r>
      <w:r>
        <w:rPr>
          <w:rFonts w:hint="eastAsia" w:ascii="宋体" w:hAnsi="宋体" w:cs="宋体"/>
          <w:sz w:val="28"/>
        </w:rPr>
        <w:t>带量采购数据比对</w:t>
      </w:r>
      <w:r>
        <w:rPr>
          <w:rFonts w:eastAsia="Times New Roman"/>
          <w:b/>
          <w:sz w:val="28"/>
        </w:rPr>
        <w:t>-</w:t>
      </w:r>
      <w:r>
        <w:rPr>
          <w:rFonts w:hint="eastAsia" w:eastAsia="宋体"/>
          <w:b/>
          <w:sz w:val="28"/>
        </w:rPr>
        <w:t>人工关节非中选系统</w:t>
      </w:r>
      <w:r>
        <w:rPr>
          <w:rFonts w:ascii="宋体" w:hAnsi="宋体" w:cs="宋体"/>
          <w:sz w:val="28"/>
        </w:rPr>
        <w:t>】，</w:t>
      </w:r>
      <w:r>
        <w:rPr>
          <w:rFonts w:eastAsia="Times New Roman"/>
          <w:sz w:val="28"/>
        </w:rPr>
        <w:t xml:space="preserve"> </w:t>
      </w:r>
      <w:r>
        <w:rPr>
          <w:rFonts w:ascii="宋体" w:hAnsi="宋体" w:cs="宋体"/>
          <w:sz w:val="28"/>
        </w:rPr>
        <w:t>进入</w:t>
      </w:r>
      <w:r>
        <w:rPr>
          <w:rFonts w:hint="eastAsia" w:ascii="宋体" w:hAnsi="宋体" w:cs="宋体"/>
          <w:sz w:val="28"/>
        </w:rPr>
        <w:t>本机构的人工关节非中选比对</w:t>
      </w:r>
      <w:r>
        <w:rPr>
          <w:rFonts w:ascii="宋体" w:hAnsi="宋体" w:cs="宋体"/>
          <w:sz w:val="28"/>
        </w:rPr>
        <w:t>界面，如图（</w:t>
      </w:r>
      <w:r>
        <w:rPr>
          <w:rFonts w:hint="eastAsia" w:eastAsia="宋体"/>
          <w:sz w:val="28"/>
        </w:rPr>
        <w:t>6</w:t>
      </w:r>
      <w:r>
        <w:rPr>
          <w:rFonts w:ascii="宋体" w:hAnsi="宋体" w:cs="宋体"/>
          <w:sz w:val="28"/>
        </w:rPr>
        <w:t>）所示：</w:t>
      </w:r>
      <w:r>
        <w:rPr>
          <w:rFonts w:eastAsia="Times New Roman"/>
          <w:sz w:val="28"/>
        </w:rPr>
        <w:t xml:space="preserve"> </w:t>
      </w:r>
    </w:p>
    <w:p>
      <w:pPr>
        <w:spacing w:after="259"/>
        <w:ind w:left="-5" w:hanging="10"/>
        <w:rPr>
          <w:rFonts w:eastAsia="Times New Roman"/>
          <w:sz w:val="28"/>
        </w:rPr>
      </w:pPr>
      <w:r>
        <w:rPr>
          <w:rFonts w:hint="eastAsia"/>
        </w:rPr>
        <w:t xml:space="preserve"> </w:t>
      </w:r>
      <w:r>
        <w:drawing>
          <wp:inline distT="0" distB="0" distL="114300" distR="114300">
            <wp:extent cx="5270500" cy="2533650"/>
            <wp:effectExtent l="0" t="0" r="635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5270500" cy="2533650"/>
                    </a:xfrm>
                    <a:prstGeom prst="rect">
                      <a:avLst/>
                    </a:prstGeom>
                    <a:noFill/>
                    <a:ln>
                      <a:noFill/>
                    </a:ln>
                  </pic:spPr>
                </pic:pic>
              </a:graphicData>
            </a:graphic>
          </wp:inline>
        </w:drawing>
      </w:r>
    </w:p>
    <w:p>
      <w:pPr>
        <w:jc w:val="center"/>
        <w:rPr>
          <w:rFonts w:ascii="宋体" w:hAnsi="宋体" w:cs="宋体"/>
          <w:sz w:val="28"/>
        </w:rPr>
      </w:pPr>
      <w:r>
        <w:rPr>
          <w:rFonts w:ascii="宋体" w:hAnsi="宋体" w:cs="宋体"/>
          <w:sz w:val="28"/>
        </w:rPr>
        <w:t>图（</w:t>
      </w:r>
      <w:r>
        <w:rPr>
          <w:rFonts w:hint="eastAsia" w:ascii="宋体" w:hAnsi="宋体" w:cs="宋体"/>
          <w:sz w:val="28"/>
        </w:rPr>
        <w:t>6</w:t>
      </w:r>
      <w:r>
        <w:rPr>
          <w:rFonts w:ascii="宋体" w:hAnsi="宋体" w:cs="宋体"/>
          <w:sz w:val="28"/>
        </w:rPr>
        <w:t>）</w:t>
      </w:r>
    </w:p>
    <w:p>
      <w:pPr>
        <w:ind w:firstLine="420"/>
        <w:rPr>
          <w:rFonts w:ascii="宋体" w:hAnsi="宋体" w:cs="宋体"/>
          <w:sz w:val="28"/>
        </w:rPr>
      </w:pPr>
      <w:r>
        <w:rPr>
          <w:rFonts w:hint="eastAsia" w:ascii="宋体" w:hAnsi="宋体" w:cs="宋体"/>
          <w:sz w:val="28"/>
        </w:rPr>
        <w:t>功能按钮说明：</w:t>
      </w:r>
    </w:p>
    <w:p>
      <w:pPr>
        <w:ind w:firstLine="420"/>
        <w:rPr>
          <w:rFonts w:ascii="宋体" w:hAnsi="宋体" w:cs="宋体"/>
          <w:sz w:val="28"/>
        </w:rPr>
      </w:pPr>
      <w:r>
        <w:rPr>
          <w:rFonts w:hint="eastAsia" w:ascii="宋体" w:hAnsi="宋体" w:cs="宋体"/>
          <w:sz w:val="28"/>
        </w:rPr>
        <w:t>点击</w:t>
      </w:r>
      <w:r>
        <w:rPr>
          <w:rFonts w:hint="eastAsia" w:ascii="宋体" w:hAnsi="宋体" w:cs="宋体"/>
          <w:b/>
          <w:bCs/>
          <w:sz w:val="28"/>
        </w:rPr>
        <w:t>“价格设置”</w:t>
      </w:r>
      <w:r>
        <w:rPr>
          <w:rFonts w:hint="eastAsia" w:ascii="宋体" w:hAnsi="宋体" w:cs="宋体"/>
          <w:sz w:val="28"/>
        </w:rPr>
        <w:t>按钮后跳转系统价格填报页面，如图（7）所示，在该页面填报非中选系统系统价格和伴随服务价，输入价格后点击“保存”即可，如系统价格填报超过限价则将给出提示，不允许保存。</w:t>
      </w:r>
    </w:p>
    <w:p>
      <w:pPr>
        <w:rPr>
          <w:rFonts w:ascii="宋体" w:hAnsi="宋体" w:cs="宋体"/>
          <w:sz w:val="28"/>
        </w:rPr>
      </w:pPr>
      <w:r>
        <w:drawing>
          <wp:inline distT="0" distB="0" distL="114300" distR="114300">
            <wp:extent cx="5272405" cy="3066415"/>
            <wp:effectExtent l="0" t="0" r="4445" b="6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272405" cy="3066415"/>
                    </a:xfrm>
                    <a:prstGeom prst="rect">
                      <a:avLst/>
                    </a:prstGeom>
                    <a:noFill/>
                    <a:ln>
                      <a:noFill/>
                    </a:ln>
                  </pic:spPr>
                </pic:pic>
              </a:graphicData>
            </a:graphic>
          </wp:inline>
        </w:drawing>
      </w:r>
    </w:p>
    <w:p>
      <w:pPr>
        <w:ind w:firstLine="420"/>
        <w:jc w:val="center"/>
        <w:rPr>
          <w:rFonts w:ascii="宋体" w:hAnsi="宋体" w:cs="宋体"/>
          <w:sz w:val="28"/>
        </w:rPr>
      </w:pPr>
      <w:r>
        <w:rPr>
          <w:rFonts w:hint="eastAsia" w:ascii="宋体" w:hAnsi="宋体" w:cs="宋体"/>
          <w:sz w:val="28"/>
        </w:rPr>
        <w:t>图（7）</w:t>
      </w:r>
    </w:p>
    <w:p>
      <w:pPr>
        <w:ind w:firstLine="420"/>
        <w:rPr>
          <w:rFonts w:ascii="宋体" w:hAnsi="宋体" w:cs="宋体"/>
          <w:sz w:val="28"/>
        </w:rPr>
      </w:pPr>
      <w:r>
        <w:rPr>
          <w:rFonts w:hint="eastAsia" w:ascii="宋体" w:hAnsi="宋体" w:cs="宋体"/>
          <w:sz w:val="28"/>
        </w:rPr>
        <w:t>点击</w:t>
      </w:r>
      <w:r>
        <w:rPr>
          <w:rFonts w:hint="eastAsia" w:ascii="宋体" w:hAnsi="宋体" w:cs="宋体"/>
          <w:b/>
          <w:bCs/>
          <w:sz w:val="28"/>
        </w:rPr>
        <w:t>“部件设置”</w:t>
      </w:r>
      <w:r>
        <w:rPr>
          <w:rFonts w:hint="eastAsia" w:ascii="宋体" w:hAnsi="宋体" w:cs="宋体"/>
          <w:sz w:val="28"/>
        </w:rPr>
        <w:t>按钮后跳转非中选系统部件信息比对页面，如图（8）所示，在该页面比对选择部件对应省内系统的组件编号。</w:t>
      </w:r>
    </w:p>
    <w:p>
      <w:r>
        <w:drawing>
          <wp:inline distT="0" distB="0" distL="114300" distR="114300">
            <wp:extent cx="5264785" cy="2431415"/>
            <wp:effectExtent l="0" t="0" r="2540" b="698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5264785" cy="2431415"/>
                    </a:xfrm>
                    <a:prstGeom prst="rect">
                      <a:avLst/>
                    </a:prstGeom>
                    <a:noFill/>
                    <a:ln>
                      <a:noFill/>
                    </a:ln>
                  </pic:spPr>
                </pic:pic>
              </a:graphicData>
            </a:graphic>
          </wp:inline>
        </w:drawing>
      </w:r>
    </w:p>
    <w:p>
      <w:pPr>
        <w:ind w:firstLine="420"/>
        <w:rPr>
          <w:rFonts w:ascii="宋体" w:hAnsi="宋体" w:cs="宋体"/>
          <w:sz w:val="28"/>
        </w:rPr>
      </w:pPr>
      <w:r>
        <w:rPr>
          <w:rFonts w:hint="eastAsia" w:ascii="宋体" w:hAnsi="宋体" w:cs="宋体"/>
          <w:sz w:val="28"/>
        </w:rPr>
        <w:t>点击</w:t>
      </w:r>
      <w:r>
        <w:rPr>
          <w:rFonts w:hint="eastAsia" w:ascii="宋体" w:hAnsi="宋体" w:cs="宋体"/>
          <w:b/>
          <w:bCs/>
          <w:sz w:val="28"/>
        </w:rPr>
        <w:t>“提交”</w:t>
      </w:r>
      <w:r>
        <w:rPr>
          <w:rFonts w:hint="eastAsia" w:ascii="宋体" w:hAnsi="宋体" w:cs="宋体"/>
          <w:sz w:val="28"/>
        </w:rPr>
        <w:t>按钮后将企业勾选选择的非中选系统进行确认提交操作，</w:t>
      </w:r>
      <w:r>
        <w:rPr>
          <w:rFonts w:hint="eastAsia" w:ascii="宋体" w:hAnsi="宋体" w:cs="宋体"/>
          <w:color w:val="FF0000"/>
          <w:sz w:val="28"/>
        </w:rPr>
        <w:t>提交时如该非中选系统未填报系统价格和伴随服务价格或者该系统下的部件存在未比对或者规格型号全都没比对及价格未填报的情况则不可提交，</w:t>
      </w:r>
      <w:r>
        <w:rPr>
          <w:rFonts w:hint="eastAsia" w:ascii="宋体" w:hAnsi="宋体" w:cs="宋体"/>
          <w:color w:val="FF0000"/>
          <w:sz w:val="28"/>
          <w:highlight w:val="yellow"/>
        </w:rPr>
        <w:t>企业提交时请核对非中选系统状态是否为“已提交确认”</w:t>
      </w:r>
      <w:r>
        <w:rPr>
          <w:rFonts w:hint="eastAsia" w:ascii="宋体" w:hAnsi="宋体" w:cs="宋体"/>
          <w:sz w:val="28"/>
        </w:rPr>
        <w:t>。</w:t>
      </w:r>
    </w:p>
    <w:p>
      <w:pPr>
        <w:ind w:firstLine="420"/>
        <w:rPr>
          <w:rFonts w:ascii="宋体" w:hAnsi="宋体" w:cs="宋体"/>
          <w:sz w:val="28"/>
        </w:rPr>
      </w:pPr>
      <w:r>
        <w:rPr>
          <w:rFonts w:hint="eastAsia" w:ascii="宋体" w:hAnsi="宋体" w:cs="宋体"/>
          <w:sz w:val="28"/>
        </w:rPr>
        <w:t>点击“撤回”按钮，企业可对已提交确认的非中选系统进行撤回后重新编辑后再重新提交。</w:t>
      </w:r>
    </w:p>
    <w:p>
      <w:pPr>
        <w:pStyle w:val="3"/>
        <w:numPr>
          <w:ilvl w:val="0"/>
          <w:numId w:val="0"/>
        </w:numPr>
      </w:pPr>
      <w:r>
        <w:rPr>
          <w:rFonts w:hint="eastAsia"/>
        </w:rPr>
        <w:t>2、人工关节非中选系统部件比对</w:t>
      </w:r>
    </w:p>
    <w:p>
      <w:pPr>
        <w:ind w:firstLine="420"/>
        <w:rPr>
          <w:rFonts w:ascii="宋体" w:hAnsi="宋体" w:cs="宋体"/>
          <w:sz w:val="28"/>
        </w:rPr>
      </w:pPr>
      <w:r>
        <w:rPr>
          <w:rFonts w:hint="eastAsia" w:ascii="宋体" w:hAnsi="宋体" w:cs="宋体"/>
          <w:sz w:val="28"/>
        </w:rPr>
        <w:t>在第一步点击</w:t>
      </w:r>
      <w:r>
        <w:rPr>
          <w:rFonts w:hint="eastAsia" w:ascii="宋体" w:hAnsi="宋体" w:cs="宋体"/>
          <w:b/>
          <w:bCs/>
          <w:sz w:val="28"/>
        </w:rPr>
        <w:t>“部件设置”</w:t>
      </w:r>
      <w:r>
        <w:rPr>
          <w:rFonts w:hint="eastAsia" w:ascii="宋体" w:hAnsi="宋体" w:cs="宋体"/>
          <w:sz w:val="28"/>
        </w:rPr>
        <w:t>按钮后跳转非中选系统部件信息比对页面，如图（8）所示，在该页面比对选择部件对应省内系统的组件编号。</w:t>
      </w:r>
    </w:p>
    <w:p>
      <w:pPr>
        <w:ind w:firstLine="420"/>
        <w:rPr>
          <w:rFonts w:ascii="宋体" w:hAnsi="宋体" w:cs="宋体"/>
          <w:sz w:val="28"/>
        </w:rPr>
      </w:pPr>
      <w:r>
        <w:rPr>
          <w:rFonts w:hint="eastAsia" w:ascii="宋体" w:hAnsi="宋体" w:cs="宋体"/>
          <w:sz w:val="28"/>
        </w:rPr>
        <w:t>功能按钮说明：</w:t>
      </w:r>
    </w:p>
    <w:p>
      <w:pPr>
        <w:ind w:firstLine="420"/>
        <w:rPr>
          <w:rFonts w:ascii="宋体" w:hAnsi="宋体" w:cs="宋体"/>
          <w:sz w:val="28"/>
        </w:rPr>
      </w:pPr>
      <w:r>
        <w:rPr>
          <w:rFonts w:hint="eastAsia" w:ascii="宋体" w:hAnsi="宋体" w:cs="宋体"/>
          <w:sz w:val="28"/>
        </w:rPr>
        <w:t>点击</w:t>
      </w:r>
      <w:r>
        <w:rPr>
          <w:rFonts w:hint="eastAsia" w:ascii="宋体" w:hAnsi="宋体" w:cs="宋体"/>
          <w:b/>
          <w:bCs/>
          <w:sz w:val="28"/>
        </w:rPr>
        <w:t>“组件匹配”</w:t>
      </w:r>
      <w:r>
        <w:rPr>
          <w:rFonts w:hint="eastAsia" w:ascii="宋体" w:hAnsi="宋体" w:cs="宋体"/>
          <w:sz w:val="28"/>
        </w:rPr>
        <w:t>按钮后根据该部件的注册证号查询省内该注册证下所有已提交的组件供选择，如图（9）所示，在该页面找到本省的组件信息后点击“选择”即可绑定到人工关节非中选系统部件上。</w:t>
      </w:r>
    </w:p>
    <w:p>
      <w:pPr>
        <w:rPr>
          <w:rFonts w:ascii="宋体" w:hAnsi="宋体" w:cs="宋体"/>
          <w:sz w:val="28"/>
        </w:rPr>
      </w:pPr>
      <w:r>
        <w:drawing>
          <wp:inline distT="0" distB="0" distL="114300" distR="114300">
            <wp:extent cx="5269230" cy="2127250"/>
            <wp:effectExtent l="0" t="0" r="7620" b="635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3"/>
                    <a:stretch>
                      <a:fillRect/>
                    </a:stretch>
                  </pic:blipFill>
                  <pic:spPr>
                    <a:xfrm>
                      <a:off x="0" y="0"/>
                      <a:ext cx="5269230" cy="2127250"/>
                    </a:xfrm>
                    <a:prstGeom prst="rect">
                      <a:avLst/>
                    </a:prstGeom>
                    <a:noFill/>
                    <a:ln>
                      <a:noFill/>
                    </a:ln>
                  </pic:spPr>
                </pic:pic>
              </a:graphicData>
            </a:graphic>
          </wp:inline>
        </w:drawing>
      </w:r>
    </w:p>
    <w:p>
      <w:pPr>
        <w:jc w:val="center"/>
        <w:rPr>
          <w:rFonts w:ascii="宋体" w:hAnsi="宋体" w:cs="宋体"/>
          <w:sz w:val="28"/>
        </w:rPr>
      </w:pPr>
      <w:r>
        <w:rPr>
          <w:rFonts w:hint="eastAsia" w:ascii="宋体" w:hAnsi="宋体" w:cs="宋体"/>
          <w:sz w:val="28"/>
        </w:rPr>
        <w:t>图（9）</w:t>
      </w:r>
    </w:p>
    <w:p>
      <w:pPr>
        <w:ind w:firstLine="420"/>
        <w:rPr>
          <w:rFonts w:ascii="宋体" w:hAnsi="宋体" w:cs="宋体"/>
          <w:sz w:val="28"/>
        </w:rPr>
      </w:pPr>
      <w:r>
        <w:rPr>
          <w:rFonts w:hint="eastAsia" w:ascii="宋体" w:hAnsi="宋体" w:cs="宋体"/>
          <w:sz w:val="28"/>
        </w:rPr>
        <w:t>点击</w:t>
      </w:r>
      <w:r>
        <w:rPr>
          <w:rFonts w:hint="eastAsia" w:ascii="宋体" w:hAnsi="宋体" w:cs="宋体"/>
          <w:b/>
          <w:bCs/>
          <w:sz w:val="28"/>
        </w:rPr>
        <w:t>“设置规格型号”</w:t>
      </w:r>
      <w:r>
        <w:rPr>
          <w:rFonts w:hint="eastAsia" w:ascii="宋体" w:hAnsi="宋体" w:cs="宋体"/>
          <w:sz w:val="28"/>
        </w:rPr>
        <w:t>按钮后跳转规格型号信息比对和价格填报页面，如图（10）所示，在该页面比对选择部件对应省内系统的CODE编号。</w:t>
      </w:r>
    </w:p>
    <w:p>
      <w:r>
        <w:drawing>
          <wp:inline distT="0" distB="0" distL="114300" distR="114300">
            <wp:extent cx="5265420" cy="2427605"/>
            <wp:effectExtent l="0" t="0" r="1905" b="127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4"/>
                    <a:stretch>
                      <a:fillRect/>
                    </a:stretch>
                  </pic:blipFill>
                  <pic:spPr>
                    <a:xfrm>
                      <a:off x="0" y="0"/>
                      <a:ext cx="5265420" cy="2427605"/>
                    </a:xfrm>
                    <a:prstGeom prst="rect">
                      <a:avLst/>
                    </a:prstGeom>
                    <a:noFill/>
                    <a:ln>
                      <a:noFill/>
                    </a:ln>
                  </pic:spPr>
                </pic:pic>
              </a:graphicData>
            </a:graphic>
          </wp:inline>
        </w:drawing>
      </w:r>
    </w:p>
    <w:p>
      <w:pPr>
        <w:jc w:val="center"/>
      </w:pPr>
      <w:r>
        <w:rPr>
          <w:rFonts w:hint="eastAsia" w:ascii="宋体" w:hAnsi="宋体" w:cs="宋体"/>
          <w:sz w:val="28"/>
        </w:rPr>
        <w:t>图（10）</w:t>
      </w:r>
    </w:p>
    <w:p>
      <w:pPr>
        <w:ind w:firstLine="420"/>
        <w:rPr>
          <w:rFonts w:ascii="宋体" w:hAnsi="宋体" w:cs="宋体"/>
          <w:sz w:val="28"/>
        </w:rPr>
      </w:pPr>
      <w:r>
        <w:rPr>
          <w:rFonts w:hint="eastAsia" w:ascii="宋体" w:hAnsi="宋体" w:cs="宋体"/>
          <w:sz w:val="28"/>
        </w:rPr>
        <w:t>点击</w:t>
      </w:r>
      <w:r>
        <w:rPr>
          <w:rFonts w:hint="eastAsia" w:ascii="宋体" w:hAnsi="宋体" w:cs="宋体"/>
          <w:b/>
          <w:bCs/>
          <w:sz w:val="28"/>
        </w:rPr>
        <w:t>“清除比对</w:t>
      </w:r>
      <w:r>
        <w:rPr>
          <w:rFonts w:hint="eastAsia" w:ascii="宋体" w:hAnsi="宋体" w:cs="宋体"/>
          <w:b/>
          <w:bCs/>
          <w:sz w:val="28"/>
        </w:rPr>
        <w:tab/>
      </w:r>
      <w:r>
        <w:rPr>
          <w:rFonts w:hint="eastAsia" w:ascii="宋体" w:hAnsi="宋体" w:cs="宋体"/>
          <w:b/>
          <w:bCs/>
          <w:sz w:val="28"/>
        </w:rPr>
        <w:t>”</w:t>
      </w:r>
      <w:r>
        <w:rPr>
          <w:rFonts w:hint="eastAsia" w:ascii="宋体" w:hAnsi="宋体" w:cs="宋体"/>
          <w:sz w:val="28"/>
        </w:rPr>
        <w:t>按钮，可将已比对的部件进行清除后重新比对绑定。</w:t>
      </w:r>
    </w:p>
    <w:p>
      <w:pPr>
        <w:ind w:firstLine="420"/>
        <w:rPr>
          <w:rFonts w:ascii="宋体" w:hAnsi="宋体" w:cs="宋体"/>
          <w:sz w:val="28"/>
        </w:rPr>
      </w:pPr>
      <w:r>
        <w:rPr>
          <w:rFonts w:hint="eastAsia" w:ascii="宋体" w:hAnsi="宋体" w:cs="宋体"/>
          <w:sz w:val="28"/>
        </w:rPr>
        <w:t>点击</w:t>
      </w:r>
      <w:r>
        <w:rPr>
          <w:rFonts w:hint="eastAsia" w:ascii="宋体" w:hAnsi="宋体" w:cs="宋体"/>
          <w:b/>
          <w:bCs/>
          <w:sz w:val="28"/>
        </w:rPr>
        <w:t>“返回”</w:t>
      </w:r>
      <w:r>
        <w:rPr>
          <w:rFonts w:hint="eastAsia" w:ascii="宋体" w:hAnsi="宋体" w:cs="宋体"/>
          <w:sz w:val="28"/>
        </w:rPr>
        <w:t>按钮，可返回上一页</w:t>
      </w:r>
      <w:r>
        <w:rPr>
          <w:rFonts w:hint="eastAsia" w:ascii="宋体" w:hAnsi="宋体" w:cs="宋体"/>
          <w:sz w:val="28"/>
        </w:rPr>
        <w:tab/>
      </w:r>
      <w:r>
        <w:rPr>
          <w:rFonts w:hint="eastAsia" w:ascii="宋体" w:hAnsi="宋体" w:cs="宋体"/>
          <w:sz w:val="28"/>
        </w:rPr>
        <w:t>。</w:t>
      </w:r>
    </w:p>
    <w:p/>
    <w:p>
      <w:pPr>
        <w:pStyle w:val="3"/>
        <w:numPr>
          <w:ilvl w:val="0"/>
          <w:numId w:val="0"/>
        </w:numPr>
      </w:pPr>
      <w:r>
        <w:rPr>
          <w:rFonts w:hint="eastAsia"/>
        </w:rPr>
        <w:t>3、人工关节非中选系统规格系统比对</w:t>
      </w:r>
    </w:p>
    <w:p>
      <w:pPr>
        <w:ind w:firstLine="420"/>
        <w:rPr>
          <w:rFonts w:ascii="宋体" w:hAnsi="宋体" w:cs="宋体"/>
          <w:sz w:val="28"/>
        </w:rPr>
      </w:pPr>
      <w:r>
        <w:rPr>
          <w:rFonts w:hint="eastAsia" w:ascii="宋体" w:hAnsi="宋体" w:cs="宋体"/>
          <w:sz w:val="28"/>
        </w:rPr>
        <w:t>在第一步点击</w:t>
      </w:r>
      <w:r>
        <w:rPr>
          <w:rFonts w:hint="eastAsia" w:ascii="宋体" w:hAnsi="宋体" w:cs="宋体"/>
          <w:b/>
          <w:bCs/>
          <w:sz w:val="28"/>
        </w:rPr>
        <w:t>“设置规格型号”</w:t>
      </w:r>
      <w:r>
        <w:rPr>
          <w:rFonts w:hint="eastAsia" w:ascii="宋体" w:hAnsi="宋体" w:cs="宋体"/>
          <w:sz w:val="28"/>
        </w:rPr>
        <w:t>按钮后跳转非中选系统规格型号信息比对页面，如图（10）所示，在该页面比对选择部件对应省内系统的CODE编号。</w:t>
      </w:r>
    </w:p>
    <w:p>
      <w:pPr>
        <w:ind w:firstLine="420"/>
        <w:rPr>
          <w:rFonts w:ascii="宋体" w:hAnsi="宋体" w:cs="宋体"/>
          <w:sz w:val="28"/>
        </w:rPr>
      </w:pPr>
      <w:r>
        <w:rPr>
          <w:rFonts w:hint="eastAsia" w:ascii="宋体" w:hAnsi="宋体" w:cs="宋体"/>
          <w:sz w:val="28"/>
        </w:rPr>
        <w:t>功能按钮说明：</w:t>
      </w:r>
    </w:p>
    <w:p>
      <w:pPr>
        <w:ind w:firstLine="420"/>
        <w:rPr>
          <w:rFonts w:ascii="宋体" w:hAnsi="宋体" w:cs="宋体"/>
          <w:sz w:val="28"/>
        </w:rPr>
      </w:pPr>
      <w:r>
        <w:rPr>
          <w:rFonts w:hint="eastAsia" w:ascii="宋体" w:hAnsi="宋体" w:cs="宋体"/>
          <w:sz w:val="28"/>
        </w:rPr>
        <w:t>点击</w:t>
      </w:r>
      <w:r>
        <w:rPr>
          <w:rFonts w:hint="eastAsia" w:ascii="宋体" w:hAnsi="宋体" w:cs="宋体"/>
          <w:b/>
          <w:bCs/>
          <w:sz w:val="28"/>
        </w:rPr>
        <w:t>“CODE匹配”</w:t>
      </w:r>
      <w:r>
        <w:rPr>
          <w:rFonts w:hint="eastAsia" w:ascii="宋体" w:hAnsi="宋体" w:cs="宋体"/>
          <w:sz w:val="28"/>
        </w:rPr>
        <w:t>按钮后根据第二步选择的组件编号查询省内该组件下所有已提交的CODE信息供选择，如图（11）所示，在该页面找到本省的CODE信息后点击“选择”即可绑定到人工关节非中选系统规格型号上。</w:t>
      </w:r>
    </w:p>
    <w:p>
      <w:pPr>
        <w:rPr>
          <w:rFonts w:ascii="宋体" w:hAnsi="宋体" w:cs="宋体"/>
          <w:sz w:val="28"/>
        </w:rPr>
      </w:pPr>
      <w:r>
        <w:drawing>
          <wp:inline distT="0" distB="0" distL="114300" distR="114300">
            <wp:extent cx="5268595" cy="3048000"/>
            <wp:effectExtent l="0" t="0" r="8255"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5"/>
                    <a:stretch>
                      <a:fillRect/>
                    </a:stretch>
                  </pic:blipFill>
                  <pic:spPr>
                    <a:xfrm>
                      <a:off x="0" y="0"/>
                      <a:ext cx="5268595" cy="3048000"/>
                    </a:xfrm>
                    <a:prstGeom prst="rect">
                      <a:avLst/>
                    </a:prstGeom>
                    <a:noFill/>
                    <a:ln>
                      <a:noFill/>
                    </a:ln>
                  </pic:spPr>
                </pic:pic>
              </a:graphicData>
            </a:graphic>
          </wp:inline>
        </w:drawing>
      </w:r>
    </w:p>
    <w:p>
      <w:pPr>
        <w:jc w:val="center"/>
        <w:rPr>
          <w:rFonts w:ascii="宋体" w:hAnsi="宋体" w:cs="宋体"/>
          <w:sz w:val="28"/>
        </w:rPr>
      </w:pPr>
      <w:r>
        <w:rPr>
          <w:rFonts w:hint="eastAsia" w:ascii="宋体" w:hAnsi="宋体" w:cs="宋体"/>
          <w:sz w:val="28"/>
        </w:rPr>
        <w:t>图（11）</w:t>
      </w:r>
    </w:p>
    <w:p>
      <w:pPr>
        <w:ind w:firstLine="420"/>
        <w:rPr>
          <w:rFonts w:ascii="宋体" w:hAnsi="宋体" w:cs="宋体"/>
          <w:sz w:val="28"/>
        </w:rPr>
      </w:pPr>
      <w:r>
        <w:rPr>
          <w:rFonts w:hint="eastAsia" w:ascii="宋体" w:hAnsi="宋体" w:cs="宋体"/>
          <w:sz w:val="28"/>
        </w:rPr>
        <w:t>点击</w:t>
      </w:r>
      <w:r>
        <w:rPr>
          <w:rFonts w:hint="eastAsia" w:ascii="宋体" w:hAnsi="宋体" w:cs="宋体"/>
          <w:b/>
          <w:bCs/>
          <w:sz w:val="28"/>
        </w:rPr>
        <w:t>“价格维护”</w:t>
      </w:r>
      <w:r>
        <w:rPr>
          <w:rFonts w:hint="eastAsia" w:ascii="宋体" w:hAnsi="宋体" w:cs="宋体"/>
          <w:sz w:val="28"/>
        </w:rPr>
        <w:t>列的铅笔图标可改规格型号填报部件价格。如图（12）所示，输入部件价格后，点击“保存”按钮即可。</w:t>
      </w:r>
    </w:p>
    <w:p>
      <w:r>
        <w:drawing>
          <wp:inline distT="0" distB="0" distL="114300" distR="114300">
            <wp:extent cx="5271135" cy="2441575"/>
            <wp:effectExtent l="0" t="0" r="5715" b="635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6"/>
                    <a:stretch>
                      <a:fillRect/>
                    </a:stretch>
                  </pic:blipFill>
                  <pic:spPr>
                    <a:xfrm>
                      <a:off x="0" y="0"/>
                      <a:ext cx="5271135" cy="2441575"/>
                    </a:xfrm>
                    <a:prstGeom prst="rect">
                      <a:avLst/>
                    </a:prstGeom>
                    <a:noFill/>
                    <a:ln>
                      <a:noFill/>
                    </a:ln>
                  </pic:spPr>
                </pic:pic>
              </a:graphicData>
            </a:graphic>
          </wp:inline>
        </w:drawing>
      </w:r>
    </w:p>
    <w:p>
      <w:pPr>
        <w:jc w:val="center"/>
        <w:rPr>
          <w:rFonts w:ascii="宋体" w:hAnsi="宋体" w:cs="宋体"/>
          <w:sz w:val="28"/>
        </w:rPr>
      </w:pPr>
      <w:r>
        <w:rPr>
          <w:rFonts w:hint="eastAsia" w:ascii="宋体" w:hAnsi="宋体" w:cs="宋体"/>
          <w:sz w:val="28"/>
        </w:rPr>
        <w:t>图（12）</w:t>
      </w:r>
    </w:p>
    <w:p/>
    <w:p>
      <w:pPr>
        <w:ind w:firstLine="420"/>
        <w:rPr>
          <w:rFonts w:hint="eastAsia" w:ascii="宋体" w:hAnsi="宋体" w:cs="宋体"/>
          <w:sz w:val="28"/>
        </w:rPr>
      </w:pPr>
      <w:r>
        <w:rPr>
          <w:rFonts w:hint="eastAsia" w:ascii="宋体" w:hAnsi="宋体" w:cs="宋体"/>
          <w:sz w:val="28"/>
        </w:rPr>
        <w:t>点击</w:t>
      </w:r>
      <w:r>
        <w:rPr>
          <w:rFonts w:hint="eastAsia" w:ascii="宋体" w:hAnsi="宋体" w:cs="宋体"/>
          <w:b/>
          <w:bCs/>
          <w:sz w:val="28"/>
        </w:rPr>
        <w:t>“返回”</w:t>
      </w:r>
      <w:r>
        <w:rPr>
          <w:rFonts w:hint="eastAsia" w:ascii="宋体" w:hAnsi="宋体" w:cs="宋体"/>
          <w:sz w:val="28"/>
        </w:rPr>
        <w:t>按钮，可返回上一页</w:t>
      </w:r>
      <w:r>
        <w:rPr>
          <w:rFonts w:hint="eastAsia" w:ascii="宋体" w:hAnsi="宋体" w:cs="宋体"/>
          <w:sz w:val="28"/>
        </w:rPr>
        <w:tab/>
      </w:r>
      <w:r>
        <w:rPr>
          <w:rFonts w:hint="eastAsia" w:ascii="宋体" w:hAnsi="宋体" w:cs="宋体"/>
          <w:sz w:val="28"/>
        </w:rPr>
        <w:t>。</w:t>
      </w:r>
    </w:p>
    <w:p>
      <w:pPr>
        <w:pStyle w:val="3"/>
        <w:numPr>
          <w:ilvl w:val="0"/>
          <w:numId w:val="0"/>
        </w:numPr>
        <w:ind w:left="420" w:hanging="420"/>
        <w:rPr>
          <w:b w:val="0"/>
          <w:sz w:val="28"/>
          <w:szCs w:val="28"/>
        </w:rPr>
      </w:pPr>
      <w:r>
        <w:rPr>
          <w:rFonts w:hint="eastAsia"/>
        </w:rPr>
        <w:t>4、</w:t>
      </w:r>
      <w:r>
        <w:rPr>
          <w:rFonts w:hint="eastAsia"/>
          <w:b w:val="0"/>
          <w:sz w:val="28"/>
          <w:szCs w:val="28"/>
        </w:rPr>
        <w:t>冠脉支架</w:t>
      </w:r>
      <w:r>
        <w:rPr>
          <w:rFonts w:hint="eastAsia"/>
          <w:sz w:val="28"/>
          <w:szCs w:val="28"/>
        </w:rPr>
        <w:t>非中选</w:t>
      </w:r>
      <w:r>
        <w:rPr>
          <w:rFonts w:hint="eastAsia"/>
          <w:b w:val="0"/>
          <w:sz w:val="28"/>
          <w:szCs w:val="28"/>
        </w:rPr>
        <w:t>系统价</w:t>
      </w:r>
      <w:r>
        <w:rPr>
          <w:rFonts w:hint="eastAsia"/>
          <w:sz w:val="28"/>
          <w:szCs w:val="28"/>
        </w:rPr>
        <w:t>格填报</w:t>
      </w:r>
    </w:p>
    <w:p>
      <w:pPr>
        <w:spacing w:line="360" w:lineRule="auto"/>
        <w:ind w:left="210" w:leftChars="100" w:firstLine="281" w:firstLineChars="100"/>
        <w:contextualSpacing/>
        <w:jc w:val="left"/>
        <w:rPr>
          <w:b/>
          <w:sz w:val="28"/>
          <w:szCs w:val="28"/>
        </w:rPr>
      </w:pPr>
      <w:r>
        <w:rPr>
          <w:rFonts w:hint="eastAsia"/>
          <w:b/>
          <w:sz w:val="28"/>
          <w:szCs w:val="28"/>
        </w:rPr>
        <w:t>1、系统功能说明</w:t>
      </w:r>
      <w:r>
        <w:rPr>
          <w:b/>
          <w:sz w:val="28"/>
          <w:szCs w:val="28"/>
        </w:rPr>
        <w:t>：</w:t>
      </w:r>
    </w:p>
    <w:p>
      <w:pPr>
        <w:pStyle w:val="10"/>
        <w:spacing w:line="360" w:lineRule="auto"/>
        <w:ind w:left="210" w:leftChars="100" w:firstLine="280" w:firstLineChars="100"/>
        <w:contextualSpacing/>
        <w:jc w:val="left"/>
        <w:rPr>
          <w:sz w:val="28"/>
          <w:szCs w:val="28"/>
        </w:rPr>
      </w:pPr>
      <w:r>
        <w:rPr>
          <w:rFonts w:hint="eastAsia"/>
          <w:sz w:val="28"/>
          <w:szCs w:val="28"/>
        </w:rPr>
        <w:t>申报企业对冠脉支架非中选的价格进行申报，其中</w:t>
      </w:r>
      <w:r>
        <w:rPr>
          <w:rFonts w:hint="eastAsia"/>
          <w:color w:val="FF0000"/>
          <w:sz w:val="28"/>
          <w:szCs w:val="28"/>
        </w:rPr>
        <w:t xml:space="preserve">价格包含产品价格和伴随服务价 </w:t>
      </w:r>
      <w:r>
        <w:rPr>
          <w:rFonts w:hint="eastAsia"/>
          <w:sz w:val="28"/>
          <w:szCs w:val="28"/>
        </w:rPr>
        <w:t>。</w:t>
      </w:r>
    </w:p>
    <w:p>
      <w:pPr>
        <w:spacing w:line="360" w:lineRule="auto"/>
        <w:ind w:left="210" w:leftChars="100" w:firstLine="280" w:firstLineChars="100"/>
        <w:contextualSpacing/>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w:t>
      </w:r>
    </w:p>
    <w:p>
      <w:pPr>
        <w:widowControl/>
        <w:jc w:val="left"/>
        <w:rPr>
          <w:rFonts w:hint="eastAsia"/>
          <w:sz w:val="28"/>
          <w:szCs w:val="28"/>
        </w:rPr>
      </w:pPr>
      <w:r>
        <w:rPr>
          <w:rFonts w:hint="eastAsia" w:ascii="宋体" w:hAnsi="宋体" w:cs="宋体"/>
          <w:sz w:val="28"/>
        </w:rPr>
        <w:t>（1）</w:t>
      </w:r>
      <w:r>
        <w:rPr>
          <w:rFonts w:ascii="宋体" w:hAnsi="宋体" w:cs="宋体"/>
          <w:sz w:val="28"/>
        </w:rPr>
        <w:t>点击左侧菜单【</w:t>
      </w:r>
      <w:r>
        <w:rPr>
          <w:rFonts w:hint="eastAsia" w:eastAsia="宋体"/>
          <w:b/>
          <w:sz w:val="28"/>
        </w:rPr>
        <w:t>带量非中选数据联动</w:t>
      </w:r>
      <w:r>
        <w:rPr>
          <w:rFonts w:eastAsia="宋体"/>
          <w:b/>
          <w:sz w:val="28"/>
        </w:rPr>
        <w:t>-</w:t>
      </w:r>
      <w:r>
        <w:rPr>
          <w:rFonts w:hint="eastAsia" w:eastAsia="宋体"/>
          <w:b/>
          <w:sz w:val="28"/>
        </w:rPr>
        <w:t>冠脉支架</w:t>
      </w:r>
      <w:r>
        <w:rPr>
          <w:rFonts w:ascii="宋体" w:hAnsi="宋体" w:cs="宋体"/>
          <w:sz w:val="28"/>
        </w:rPr>
        <w:t>】，</w:t>
      </w:r>
      <w:r>
        <w:rPr>
          <w:rFonts w:eastAsia="Times New Roman"/>
          <w:sz w:val="28"/>
        </w:rPr>
        <w:t xml:space="preserve"> </w:t>
      </w:r>
      <w:r>
        <w:rPr>
          <w:rFonts w:ascii="宋体" w:hAnsi="宋体" w:cs="宋体"/>
          <w:sz w:val="28"/>
        </w:rPr>
        <w:t>进入</w:t>
      </w:r>
      <w:r>
        <w:rPr>
          <w:rFonts w:hint="eastAsia" w:ascii="宋体" w:hAnsi="宋体" w:cs="宋体"/>
          <w:sz w:val="28"/>
        </w:rPr>
        <w:t>本机构的冠脉支架非中选比对</w:t>
      </w:r>
      <w:r>
        <w:rPr>
          <w:rFonts w:ascii="宋体" w:hAnsi="宋体" w:cs="宋体"/>
          <w:sz w:val="28"/>
        </w:rPr>
        <w:t>界面，如下图所示：</w:t>
      </w:r>
    </w:p>
    <w:p>
      <w:pPr>
        <w:widowControl/>
        <w:jc w:val="left"/>
        <w:rPr>
          <w:rFonts w:hint="eastAsia"/>
          <w:sz w:val="28"/>
          <w:szCs w:val="28"/>
        </w:rPr>
      </w:pPr>
      <w:r>
        <w:drawing>
          <wp:inline distT="0" distB="0" distL="0" distR="0">
            <wp:extent cx="5274310" cy="2467610"/>
            <wp:effectExtent l="0" t="0" r="2540" b="889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17"/>
                    <a:stretch>
                      <a:fillRect/>
                    </a:stretch>
                  </pic:blipFill>
                  <pic:spPr>
                    <a:xfrm>
                      <a:off x="0" y="0"/>
                      <a:ext cx="5274310" cy="2468060"/>
                    </a:xfrm>
                    <a:prstGeom prst="rect">
                      <a:avLst/>
                    </a:prstGeom>
                  </pic:spPr>
                </pic:pic>
              </a:graphicData>
            </a:graphic>
          </wp:inline>
        </w:drawing>
      </w:r>
    </w:p>
    <w:p>
      <w:pPr>
        <w:rPr>
          <w:rFonts w:hint="eastAsia"/>
        </w:rPr>
      </w:pPr>
      <w:r>
        <w:rPr>
          <w:rFonts w:hint="eastAsia"/>
        </w:rPr>
        <w:t>根据将要申报组件的类型，点击【进入申报】后，如下图：</w:t>
      </w:r>
    </w:p>
    <w:p>
      <w:pPr>
        <w:rPr>
          <w:rFonts w:hint="eastAsia"/>
        </w:rPr>
      </w:pPr>
      <w:r>
        <w:drawing>
          <wp:inline distT="0" distB="0" distL="0" distR="0">
            <wp:extent cx="5274310" cy="2480945"/>
            <wp:effectExtent l="0" t="0" r="254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18"/>
                    <a:stretch>
                      <a:fillRect/>
                    </a:stretch>
                  </pic:blipFill>
                  <pic:spPr>
                    <a:xfrm>
                      <a:off x="0" y="0"/>
                      <a:ext cx="5274310" cy="2481490"/>
                    </a:xfrm>
                    <a:prstGeom prst="rect">
                      <a:avLst/>
                    </a:prstGeom>
                  </pic:spPr>
                </pic:pic>
              </a:graphicData>
            </a:graphic>
          </wp:inline>
        </w:drawing>
      </w:r>
    </w:p>
    <w:p>
      <w:r>
        <w:rPr>
          <w:rFonts w:hint="eastAsia"/>
        </w:rPr>
        <w:t>【勾选组件】：选择为</w:t>
      </w:r>
      <w:r>
        <w:t>“</w:t>
      </w:r>
      <w:r>
        <w:rPr>
          <w:rFonts w:hint="eastAsia"/>
        </w:rPr>
        <w:t>冠脉支架类</w:t>
      </w:r>
      <w:r>
        <w:t>”</w:t>
      </w:r>
      <w:r>
        <w:rPr>
          <w:rFonts w:hint="eastAsia"/>
        </w:rPr>
        <w:t>的组件。选择组件后，则该组件下的CODE都将添加到当前页面的列表中，如下图中的操作顺序：</w:t>
      </w:r>
    </w:p>
    <w:p>
      <w:r>
        <w:drawing>
          <wp:inline distT="0" distB="0" distL="0" distR="0">
            <wp:extent cx="5274310" cy="2953385"/>
            <wp:effectExtent l="0" t="0" r="254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pic:cNvPicPr>
                  </pic:nvPicPr>
                  <pic:blipFill>
                    <a:blip r:embed="rId19"/>
                    <a:stretch>
                      <a:fillRect/>
                    </a:stretch>
                  </pic:blipFill>
                  <pic:spPr>
                    <a:xfrm>
                      <a:off x="0" y="0"/>
                      <a:ext cx="5274310" cy="2953980"/>
                    </a:xfrm>
                    <a:prstGeom prst="rect">
                      <a:avLst/>
                    </a:prstGeom>
                  </pic:spPr>
                </pic:pic>
              </a:graphicData>
            </a:graphic>
          </wp:inline>
        </w:drawing>
      </w:r>
    </w:p>
    <w:p>
      <w:r>
        <w:rPr>
          <w:rFonts w:hint="eastAsia"/>
        </w:rPr>
        <w:t>勾选组件之后，如下图：</w:t>
      </w:r>
    </w:p>
    <w:p>
      <w:pPr>
        <w:rPr>
          <w:rFonts w:hint="eastAsia"/>
        </w:rPr>
      </w:pPr>
      <w:r>
        <w:drawing>
          <wp:inline distT="0" distB="0" distL="0" distR="0">
            <wp:extent cx="5274310" cy="2520950"/>
            <wp:effectExtent l="0" t="0" r="254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pic:cNvPicPr>
                  </pic:nvPicPr>
                  <pic:blipFill>
                    <a:blip r:embed="rId20"/>
                    <a:stretch>
                      <a:fillRect/>
                    </a:stretch>
                  </pic:blipFill>
                  <pic:spPr>
                    <a:xfrm>
                      <a:off x="0" y="0"/>
                      <a:ext cx="5274310" cy="2521169"/>
                    </a:xfrm>
                    <a:prstGeom prst="rect">
                      <a:avLst/>
                    </a:prstGeom>
                  </pic:spPr>
                </pic:pic>
              </a:graphicData>
            </a:graphic>
          </wp:inline>
        </w:drawing>
      </w:r>
    </w:p>
    <w:p>
      <w:pPr>
        <w:rPr>
          <w:color w:val="FF0000"/>
        </w:rPr>
      </w:pPr>
      <w:r>
        <w:rPr>
          <w:rFonts w:hint="eastAsia"/>
          <w:color w:val="FF0000"/>
        </w:rPr>
        <w:t>填写组件对应的产品价格，如有相应的伴随服务价，则填写伴随服务价，没有伴随服务价则可不填写，其中【产品价格+伴随服务价】之和不可高于</w:t>
      </w:r>
      <w:r>
        <w:rPr>
          <w:color w:val="FF0000"/>
        </w:rPr>
        <w:t>2021年1月15日省医保局公布的《湖北省国家组织冠脉支架集中采购非中选供应清单》的价格</w:t>
      </w:r>
    </w:p>
    <w:p>
      <w:r>
        <w:rPr>
          <w:rFonts w:hint="eastAsia"/>
        </w:rPr>
        <w:t>【保存】：先勾选列表中的数据，再填写对应的产品价格和伴随服务价(无伴随服务价，则默认为0) ，最后点击保存。</w:t>
      </w:r>
    </w:p>
    <w:p>
      <w:r>
        <w:rPr>
          <w:rFonts w:hint="eastAsia"/>
        </w:rPr>
        <w:t>【提交】：将勾选数据的价格提交。</w:t>
      </w:r>
    </w:p>
    <w:p>
      <w:r>
        <w:rPr>
          <w:rFonts w:hint="eastAsia"/>
        </w:rPr>
        <w:t>【重置CODE价格】:在价格公示之前，保存和提交的数据均可以重置。</w:t>
      </w:r>
    </w:p>
    <w:p>
      <w:pPr>
        <w:rPr>
          <w:rFonts w:hint="eastAsia"/>
          <w:color w:val="FF0000"/>
        </w:rPr>
      </w:pPr>
      <w:r>
        <w:rPr>
          <w:color w:val="FF0000"/>
        </w:rPr>
        <w:t>注：CODE价格均不可高于对应耗材类别的限价（页面上有限价的价格提示）</w:t>
      </w:r>
    </w:p>
    <w:p>
      <w:pPr>
        <w:rPr>
          <w:color w:val="FF0000"/>
        </w:rPr>
      </w:pPr>
    </w:p>
    <w:p>
      <w:pPr>
        <w:pStyle w:val="3"/>
        <w:numPr>
          <w:ilvl w:val="0"/>
          <w:numId w:val="0"/>
        </w:numPr>
        <w:ind w:left="420" w:hanging="420"/>
        <w:rPr>
          <w:rFonts w:hint="eastAsia"/>
        </w:rPr>
      </w:pPr>
      <w:r>
        <w:rPr>
          <w:rFonts w:hint="eastAsia"/>
        </w:rPr>
        <w:t>5、【冠脉扩张球囊】，【药物球囊】，【人工晶体】，【冠脉导引导丝合导管】，【吻合器】，【骨科创伤】的价格申报</w:t>
      </w:r>
    </w:p>
    <w:p>
      <w:r>
        <w:rPr>
          <w:rFonts w:hint="eastAsia"/>
        </w:rPr>
        <w:t>带量采购非中选的耗材分类：</w:t>
      </w:r>
      <w:r>
        <w:rPr>
          <w:rFonts w:hint="eastAsia"/>
          <w:highlight w:val="yellow"/>
        </w:rPr>
        <w:t>【冠脉扩张球囊】，【药物球囊】，【人工晶体】，【冠脉导引导丝合导管】，【吻合器】，【骨科创伤】</w:t>
      </w:r>
      <w:r>
        <w:rPr>
          <w:rFonts w:hint="eastAsia"/>
        </w:rPr>
        <w:t>的价格申报操作如下（此处以【冠脉扩张球囊】为例）：</w:t>
      </w:r>
    </w:p>
    <w:p>
      <w:r>
        <w:rPr>
          <w:rFonts w:hint="eastAsia"/>
        </w:rPr>
        <w:t>1. 选耗材分类的菜单，如下图：</w:t>
      </w:r>
    </w:p>
    <w:p>
      <w:r>
        <w:drawing>
          <wp:inline distT="0" distB="0" distL="0" distR="0">
            <wp:extent cx="5274310" cy="2485390"/>
            <wp:effectExtent l="0" t="0" r="254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21"/>
                    <a:stretch>
                      <a:fillRect/>
                    </a:stretch>
                  </pic:blipFill>
                  <pic:spPr>
                    <a:xfrm>
                      <a:off x="0" y="0"/>
                      <a:ext cx="5274310" cy="2485763"/>
                    </a:xfrm>
                    <a:prstGeom prst="rect">
                      <a:avLst/>
                    </a:prstGeom>
                  </pic:spPr>
                </pic:pic>
              </a:graphicData>
            </a:graphic>
          </wp:inline>
        </w:drawing>
      </w:r>
    </w:p>
    <w:p>
      <w:r>
        <w:rPr>
          <w:rFonts w:hint="eastAsia"/>
        </w:rPr>
        <w:t>根据将要申报组件的类型，选择对应的行，点击【进入申报】，如果选择的组件是“非顺应性冠脉扩张球囊”，则选择第1条数据，点击【进入申报】后，如下图：</w:t>
      </w:r>
    </w:p>
    <w:p>
      <w:r>
        <w:drawing>
          <wp:inline distT="0" distB="0" distL="0" distR="0">
            <wp:extent cx="5274310" cy="2214880"/>
            <wp:effectExtent l="0" t="0" r="254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22"/>
                    <a:stretch>
                      <a:fillRect/>
                    </a:stretch>
                  </pic:blipFill>
                  <pic:spPr>
                    <a:xfrm>
                      <a:off x="0" y="0"/>
                      <a:ext cx="5274310" cy="2215332"/>
                    </a:xfrm>
                    <a:prstGeom prst="rect">
                      <a:avLst/>
                    </a:prstGeom>
                  </pic:spPr>
                </pic:pic>
              </a:graphicData>
            </a:graphic>
          </wp:inline>
        </w:drawing>
      </w:r>
    </w:p>
    <w:p>
      <w:r>
        <w:rPr>
          <w:rFonts w:hint="eastAsia"/>
        </w:rPr>
        <w:t>根据页面上的提示的内容选择组件。</w:t>
      </w:r>
    </w:p>
    <w:p>
      <w:r>
        <w:rPr>
          <w:rFonts w:hint="eastAsia"/>
        </w:rPr>
        <w:t>【勾选组件】：选择为</w:t>
      </w:r>
      <w:r>
        <w:t>“</w:t>
      </w:r>
      <w:r>
        <w:rPr>
          <w:rFonts w:hint="eastAsia"/>
        </w:rPr>
        <w:t>非顺应性冠脉扩张球囊</w:t>
      </w:r>
      <w:r>
        <w:t>”</w:t>
      </w:r>
      <w:r>
        <w:rPr>
          <w:rFonts w:hint="eastAsia"/>
        </w:rPr>
        <w:t>的组件。选择组件后，则该组件下的CODE都加添加到当前页面的列表中，如下图中的操作顺序：</w:t>
      </w:r>
    </w:p>
    <w:p>
      <w:r>
        <w:drawing>
          <wp:inline distT="0" distB="0" distL="0" distR="0">
            <wp:extent cx="5274310" cy="2760980"/>
            <wp:effectExtent l="0" t="0" r="2540" b="127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23"/>
                    <a:stretch>
                      <a:fillRect/>
                    </a:stretch>
                  </pic:blipFill>
                  <pic:spPr>
                    <a:xfrm>
                      <a:off x="0" y="0"/>
                      <a:ext cx="5274310" cy="2761077"/>
                    </a:xfrm>
                    <a:prstGeom prst="rect">
                      <a:avLst/>
                    </a:prstGeom>
                  </pic:spPr>
                </pic:pic>
              </a:graphicData>
            </a:graphic>
          </wp:inline>
        </w:drawing>
      </w:r>
      <w:r>
        <w:rPr>
          <w:rFonts w:hint="eastAsia"/>
        </w:rPr>
        <w:t>勾选组件之后，如下图：</w:t>
      </w:r>
    </w:p>
    <w:p>
      <w:r>
        <w:drawing>
          <wp:inline distT="0" distB="0" distL="0" distR="0">
            <wp:extent cx="5274310" cy="1597025"/>
            <wp:effectExtent l="0" t="0" r="2540" b="317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24"/>
                    <a:stretch>
                      <a:fillRect/>
                    </a:stretch>
                  </pic:blipFill>
                  <pic:spPr>
                    <a:xfrm>
                      <a:off x="0" y="0"/>
                      <a:ext cx="5274310" cy="1597554"/>
                    </a:xfrm>
                    <a:prstGeom prst="rect">
                      <a:avLst/>
                    </a:prstGeom>
                  </pic:spPr>
                </pic:pic>
              </a:graphicData>
            </a:graphic>
          </wp:inline>
        </w:drawing>
      </w:r>
    </w:p>
    <w:p>
      <w:r>
        <w:rPr>
          <w:rFonts w:hint="eastAsia"/>
        </w:rPr>
        <w:t>【保存】：先勾选列表中的数据，再数据对应的价格数据，最后保存。</w:t>
      </w:r>
    </w:p>
    <w:p>
      <w:r>
        <w:rPr>
          <w:rFonts w:hint="eastAsia"/>
        </w:rPr>
        <w:t>【提交】：将勾选数据的价格提交。</w:t>
      </w:r>
    </w:p>
    <w:p>
      <w:r>
        <w:rPr>
          <w:rFonts w:hint="eastAsia"/>
        </w:rPr>
        <w:t>【重置CODE价格】:在价格公示之前，保存和提交的数据均可以重置。</w:t>
      </w:r>
    </w:p>
    <w:p>
      <w:pPr>
        <w:rPr>
          <w:color w:val="FF0000"/>
        </w:rPr>
      </w:pPr>
      <w:r>
        <w:rPr>
          <w:color w:val="FF0000"/>
        </w:rPr>
        <w:t>注：CODE价格均不可高于对应耗材类别的限价（页面上有限价的价格提示）</w:t>
      </w:r>
    </w:p>
    <w:p>
      <w:pPr>
        <w:pStyle w:val="3"/>
        <w:numPr>
          <w:ilvl w:val="0"/>
          <w:numId w:val="0"/>
        </w:numPr>
        <w:ind w:left="420" w:hanging="42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350EB9"/>
    <w:multiLevelType w:val="multilevel"/>
    <w:tmpl w:val="25350EB9"/>
    <w:lvl w:ilvl="0" w:tentative="0">
      <w:start w:val="1"/>
      <w:numFmt w:val="decimal"/>
      <w:pStyle w:val="3"/>
      <w:lvlText w:val="%1."/>
      <w:lvlJc w:val="left"/>
      <w:pPr>
        <w:ind w:left="704" w:hanging="420"/>
      </w:pPr>
    </w:lvl>
    <w:lvl w:ilvl="1" w:tentative="0">
      <w:start w:val="1"/>
      <w:numFmt w:val="decimal"/>
      <w:lvlText w:val="%2、"/>
      <w:lvlJc w:val="left"/>
      <w:pPr>
        <w:ind w:left="862" w:hanging="720"/>
      </w:pPr>
      <w:rPr>
        <w:rFonts w:hint="default"/>
      </w:r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
    <w:nsid w:val="54F04EB9"/>
    <w:multiLevelType w:val="multilevel"/>
    <w:tmpl w:val="54F04EB9"/>
    <w:lvl w:ilvl="0" w:tentative="0">
      <w:start w:val="1"/>
      <w:numFmt w:val="chineseCountingThousand"/>
      <w:pStyle w:val="2"/>
      <w:lvlText w:val="%1、"/>
      <w:lvlJc w:val="left"/>
      <w:pPr>
        <w:ind w:left="420" w:hanging="420"/>
      </w:pPr>
    </w:lvl>
    <w:lvl w:ilvl="1" w:tentative="0">
      <w:start w:val="1"/>
      <w:numFmt w:val="decimal"/>
      <w:lvlText w:val="%2、"/>
      <w:lvlJc w:val="left"/>
      <w:pPr>
        <w:ind w:left="862"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5Nzc2MDRjYjYxYTg2MTEzZjBmYzliMDVkMjhiYjIifQ=="/>
  </w:docVars>
  <w:rsids>
    <w:rsidRoot w:val="00701A10"/>
    <w:rsid w:val="00022670"/>
    <w:rsid w:val="000263C1"/>
    <w:rsid w:val="00091AA9"/>
    <w:rsid w:val="000D007A"/>
    <w:rsid w:val="001227B1"/>
    <w:rsid w:val="00197DE2"/>
    <w:rsid w:val="001D2078"/>
    <w:rsid w:val="001E2F04"/>
    <w:rsid w:val="00246D2B"/>
    <w:rsid w:val="00291F8C"/>
    <w:rsid w:val="002A4F36"/>
    <w:rsid w:val="002F10E0"/>
    <w:rsid w:val="00334022"/>
    <w:rsid w:val="003B4F66"/>
    <w:rsid w:val="003D559D"/>
    <w:rsid w:val="003F20C8"/>
    <w:rsid w:val="00473F3A"/>
    <w:rsid w:val="00484A10"/>
    <w:rsid w:val="00487BFC"/>
    <w:rsid w:val="004D5EA5"/>
    <w:rsid w:val="00530E15"/>
    <w:rsid w:val="005E57F2"/>
    <w:rsid w:val="005F1804"/>
    <w:rsid w:val="00643EF2"/>
    <w:rsid w:val="006D3EA0"/>
    <w:rsid w:val="00701A10"/>
    <w:rsid w:val="00733A4F"/>
    <w:rsid w:val="00834CCE"/>
    <w:rsid w:val="00882BE7"/>
    <w:rsid w:val="008B32D6"/>
    <w:rsid w:val="008D5F93"/>
    <w:rsid w:val="00920543"/>
    <w:rsid w:val="00972C14"/>
    <w:rsid w:val="00977AC4"/>
    <w:rsid w:val="00A969F3"/>
    <w:rsid w:val="00AA4DA3"/>
    <w:rsid w:val="00AD6A6E"/>
    <w:rsid w:val="00B16E3B"/>
    <w:rsid w:val="00B17EDD"/>
    <w:rsid w:val="00B25AF6"/>
    <w:rsid w:val="00BF36C8"/>
    <w:rsid w:val="00C54919"/>
    <w:rsid w:val="00C56907"/>
    <w:rsid w:val="00C66704"/>
    <w:rsid w:val="00C76130"/>
    <w:rsid w:val="00C763DE"/>
    <w:rsid w:val="00D00A28"/>
    <w:rsid w:val="00D1275A"/>
    <w:rsid w:val="00DB0D04"/>
    <w:rsid w:val="00E37621"/>
    <w:rsid w:val="00E85306"/>
    <w:rsid w:val="00EA51CB"/>
    <w:rsid w:val="00EA65B7"/>
    <w:rsid w:val="00EB752E"/>
    <w:rsid w:val="00F23C9A"/>
    <w:rsid w:val="00F74650"/>
    <w:rsid w:val="00FA2A7C"/>
    <w:rsid w:val="00FC6B2A"/>
    <w:rsid w:val="00FE66FA"/>
    <w:rsid w:val="012A041C"/>
    <w:rsid w:val="014043E5"/>
    <w:rsid w:val="01406143"/>
    <w:rsid w:val="016C1EC0"/>
    <w:rsid w:val="018F1FD0"/>
    <w:rsid w:val="01A13255"/>
    <w:rsid w:val="01DB5B59"/>
    <w:rsid w:val="01F15BBB"/>
    <w:rsid w:val="02203B3A"/>
    <w:rsid w:val="0225323A"/>
    <w:rsid w:val="028A07BE"/>
    <w:rsid w:val="029633ED"/>
    <w:rsid w:val="02AC2075"/>
    <w:rsid w:val="02F96CCA"/>
    <w:rsid w:val="039064EC"/>
    <w:rsid w:val="03AD1E1F"/>
    <w:rsid w:val="03BB1DBE"/>
    <w:rsid w:val="03CF2920"/>
    <w:rsid w:val="03F65EE3"/>
    <w:rsid w:val="03FA0E44"/>
    <w:rsid w:val="042A6DD7"/>
    <w:rsid w:val="043F0BEF"/>
    <w:rsid w:val="0441727D"/>
    <w:rsid w:val="046327E5"/>
    <w:rsid w:val="0469753F"/>
    <w:rsid w:val="04965ECC"/>
    <w:rsid w:val="04EC143B"/>
    <w:rsid w:val="04FB4DD3"/>
    <w:rsid w:val="050C4A82"/>
    <w:rsid w:val="05134F9A"/>
    <w:rsid w:val="052F1B61"/>
    <w:rsid w:val="052F660D"/>
    <w:rsid w:val="05566AEC"/>
    <w:rsid w:val="056337F9"/>
    <w:rsid w:val="05822A6A"/>
    <w:rsid w:val="05A560BA"/>
    <w:rsid w:val="05DC0B32"/>
    <w:rsid w:val="05DD58ED"/>
    <w:rsid w:val="05E540DF"/>
    <w:rsid w:val="06243BD1"/>
    <w:rsid w:val="06463BC9"/>
    <w:rsid w:val="06C20AD0"/>
    <w:rsid w:val="06C524A8"/>
    <w:rsid w:val="06E01FA6"/>
    <w:rsid w:val="06E3413B"/>
    <w:rsid w:val="071108C4"/>
    <w:rsid w:val="071C00C9"/>
    <w:rsid w:val="0725212E"/>
    <w:rsid w:val="076D283D"/>
    <w:rsid w:val="07835AAC"/>
    <w:rsid w:val="078D7EC3"/>
    <w:rsid w:val="079668C5"/>
    <w:rsid w:val="079F0ACF"/>
    <w:rsid w:val="07B70CA6"/>
    <w:rsid w:val="07CA07CF"/>
    <w:rsid w:val="07F56AAE"/>
    <w:rsid w:val="08075EF7"/>
    <w:rsid w:val="08105AF9"/>
    <w:rsid w:val="08417D02"/>
    <w:rsid w:val="08600783"/>
    <w:rsid w:val="08FD2A65"/>
    <w:rsid w:val="092F7200"/>
    <w:rsid w:val="093051F3"/>
    <w:rsid w:val="095C334D"/>
    <w:rsid w:val="09700BB3"/>
    <w:rsid w:val="09867537"/>
    <w:rsid w:val="09C60329"/>
    <w:rsid w:val="0A157D3B"/>
    <w:rsid w:val="0A200B7B"/>
    <w:rsid w:val="0A3B6828"/>
    <w:rsid w:val="0A656942"/>
    <w:rsid w:val="0A7C2AEA"/>
    <w:rsid w:val="0AA9067E"/>
    <w:rsid w:val="0AE170F6"/>
    <w:rsid w:val="0AFB1280"/>
    <w:rsid w:val="0B032E9E"/>
    <w:rsid w:val="0B182F08"/>
    <w:rsid w:val="0B492E89"/>
    <w:rsid w:val="0B9D4CB5"/>
    <w:rsid w:val="0C0D1E49"/>
    <w:rsid w:val="0C1174BE"/>
    <w:rsid w:val="0C285E01"/>
    <w:rsid w:val="0C3E2770"/>
    <w:rsid w:val="0C48030B"/>
    <w:rsid w:val="0C766A03"/>
    <w:rsid w:val="0C9017D4"/>
    <w:rsid w:val="0C956782"/>
    <w:rsid w:val="0CB91E3D"/>
    <w:rsid w:val="0CBA33AE"/>
    <w:rsid w:val="0CE70F89"/>
    <w:rsid w:val="0CFB4A19"/>
    <w:rsid w:val="0D213DB9"/>
    <w:rsid w:val="0D8B3B26"/>
    <w:rsid w:val="0D92184C"/>
    <w:rsid w:val="0DF00FE1"/>
    <w:rsid w:val="0E1B02AF"/>
    <w:rsid w:val="0E297CBA"/>
    <w:rsid w:val="0E334977"/>
    <w:rsid w:val="0E446DD4"/>
    <w:rsid w:val="0E8A6A3D"/>
    <w:rsid w:val="0E8E0963"/>
    <w:rsid w:val="0F0063AE"/>
    <w:rsid w:val="0F091448"/>
    <w:rsid w:val="0F1E66D9"/>
    <w:rsid w:val="0F1F69F5"/>
    <w:rsid w:val="0F497624"/>
    <w:rsid w:val="0F516AE0"/>
    <w:rsid w:val="0F98099D"/>
    <w:rsid w:val="0FBA454A"/>
    <w:rsid w:val="0FCC6063"/>
    <w:rsid w:val="100172E0"/>
    <w:rsid w:val="101E6768"/>
    <w:rsid w:val="10EC6C9D"/>
    <w:rsid w:val="11577C3B"/>
    <w:rsid w:val="11B56B72"/>
    <w:rsid w:val="11B91F1E"/>
    <w:rsid w:val="11D72467"/>
    <w:rsid w:val="11DC250C"/>
    <w:rsid w:val="1210190E"/>
    <w:rsid w:val="12211951"/>
    <w:rsid w:val="123708B2"/>
    <w:rsid w:val="12E50A06"/>
    <w:rsid w:val="12E56E05"/>
    <w:rsid w:val="13775FA6"/>
    <w:rsid w:val="13B158F3"/>
    <w:rsid w:val="13C70D55"/>
    <w:rsid w:val="13ED4A57"/>
    <w:rsid w:val="14603B80"/>
    <w:rsid w:val="147C77A1"/>
    <w:rsid w:val="150667BE"/>
    <w:rsid w:val="15066ED2"/>
    <w:rsid w:val="154253C7"/>
    <w:rsid w:val="157D4BDF"/>
    <w:rsid w:val="15AB60E4"/>
    <w:rsid w:val="163B419E"/>
    <w:rsid w:val="16857FCB"/>
    <w:rsid w:val="16BD0F90"/>
    <w:rsid w:val="16DB76B1"/>
    <w:rsid w:val="16E65FE5"/>
    <w:rsid w:val="16E66D61"/>
    <w:rsid w:val="172B354A"/>
    <w:rsid w:val="176C3651"/>
    <w:rsid w:val="18062DF3"/>
    <w:rsid w:val="18484FDA"/>
    <w:rsid w:val="187948EE"/>
    <w:rsid w:val="187C2730"/>
    <w:rsid w:val="18AA7ABB"/>
    <w:rsid w:val="18C7445B"/>
    <w:rsid w:val="18E07467"/>
    <w:rsid w:val="18F37C2D"/>
    <w:rsid w:val="19615E7E"/>
    <w:rsid w:val="19655B8A"/>
    <w:rsid w:val="197B318D"/>
    <w:rsid w:val="19A44D02"/>
    <w:rsid w:val="19B750E7"/>
    <w:rsid w:val="19BC4294"/>
    <w:rsid w:val="19DC4185"/>
    <w:rsid w:val="19FC6D1A"/>
    <w:rsid w:val="1A43518B"/>
    <w:rsid w:val="1AA2382E"/>
    <w:rsid w:val="1AA27581"/>
    <w:rsid w:val="1AAE111A"/>
    <w:rsid w:val="1ADB1F83"/>
    <w:rsid w:val="1B0A46EE"/>
    <w:rsid w:val="1B0E4247"/>
    <w:rsid w:val="1B1E1219"/>
    <w:rsid w:val="1B6D3B4C"/>
    <w:rsid w:val="1B9C4FA1"/>
    <w:rsid w:val="1BB84C24"/>
    <w:rsid w:val="1BC21AC6"/>
    <w:rsid w:val="1BC53AEF"/>
    <w:rsid w:val="1BCF3D70"/>
    <w:rsid w:val="1C5F4D79"/>
    <w:rsid w:val="1C6132FC"/>
    <w:rsid w:val="1C654F14"/>
    <w:rsid w:val="1C7F02C6"/>
    <w:rsid w:val="1C8A4642"/>
    <w:rsid w:val="1CD036F9"/>
    <w:rsid w:val="1CDF5030"/>
    <w:rsid w:val="1CEF5BFA"/>
    <w:rsid w:val="1D55037E"/>
    <w:rsid w:val="1D5A685B"/>
    <w:rsid w:val="1DD07253"/>
    <w:rsid w:val="1DDB1D29"/>
    <w:rsid w:val="1E5541DC"/>
    <w:rsid w:val="1E596C08"/>
    <w:rsid w:val="1E677F82"/>
    <w:rsid w:val="1E7E2D62"/>
    <w:rsid w:val="1E971EB9"/>
    <w:rsid w:val="1EAE09F3"/>
    <w:rsid w:val="1EB46D8D"/>
    <w:rsid w:val="1EB96107"/>
    <w:rsid w:val="1F0763AF"/>
    <w:rsid w:val="1F1B636D"/>
    <w:rsid w:val="1F6D38C1"/>
    <w:rsid w:val="1F8C0FA2"/>
    <w:rsid w:val="1FE606C1"/>
    <w:rsid w:val="200D4072"/>
    <w:rsid w:val="2010453B"/>
    <w:rsid w:val="20196340"/>
    <w:rsid w:val="204D53A9"/>
    <w:rsid w:val="20CA763A"/>
    <w:rsid w:val="20CF43C5"/>
    <w:rsid w:val="20EC2DBC"/>
    <w:rsid w:val="21AA591A"/>
    <w:rsid w:val="21D24566"/>
    <w:rsid w:val="21D342CD"/>
    <w:rsid w:val="221D2D3D"/>
    <w:rsid w:val="22372603"/>
    <w:rsid w:val="22794AD6"/>
    <w:rsid w:val="2290496A"/>
    <w:rsid w:val="22B14297"/>
    <w:rsid w:val="22C02ED0"/>
    <w:rsid w:val="22CD715C"/>
    <w:rsid w:val="22ED1C7A"/>
    <w:rsid w:val="22F470CF"/>
    <w:rsid w:val="231D0D03"/>
    <w:rsid w:val="231F36C8"/>
    <w:rsid w:val="235B31D1"/>
    <w:rsid w:val="236951A8"/>
    <w:rsid w:val="238C1E40"/>
    <w:rsid w:val="23BB7A3A"/>
    <w:rsid w:val="23C05D72"/>
    <w:rsid w:val="23E63FAF"/>
    <w:rsid w:val="23F114E4"/>
    <w:rsid w:val="24084E63"/>
    <w:rsid w:val="24097937"/>
    <w:rsid w:val="242F20A3"/>
    <w:rsid w:val="244F3EF5"/>
    <w:rsid w:val="249A42CC"/>
    <w:rsid w:val="251F78EB"/>
    <w:rsid w:val="253B02CF"/>
    <w:rsid w:val="258F3788"/>
    <w:rsid w:val="259C5FEC"/>
    <w:rsid w:val="25CE60D9"/>
    <w:rsid w:val="25F21D7F"/>
    <w:rsid w:val="26057304"/>
    <w:rsid w:val="261866F6"/>
    <w:rsid w:val="265746F9"/>
    <w:rsid w:val="26A56434"/>
    <w:rsid w:val="26E92435"/>
    <w:rsid w:val="27066A4E"/>
    <w:rsid w:val="271D772A"/>
    <w:rsid w:val="27344671"/>
    <w:rsid w:val="27646859"/>
    <w:rsid w:val="27956C74"/>
    <w:rsid w:val="27B83FE9"/>
    <w:rsid w:val="2814252C"/>
    <w:rsid w:val="28201DDD"/>
    <w:rsid w:val="284F4D82"/>
    <w:rsid w:val="28781D53"/>
    <w:rsid w:val="28B85D33"/>
    <w:rsid w:val="29034190"/>
    <w:rsid w:val="29045FF1"/>
    <w:rsid w:val="29167350"/>
    <w:rsid w:val="29480E9F"/>
    <w:rsid w:val="29840167"/>
    <w:rsid w:val="29C37B4C"/>
    <w:rsid w:val="29EB4962"/>
    <w:rsid w:val="29ED505D"/>
    <w:rsid w:val="2A415CE7"/>
    <w:rsid w:val="2A435740"/>
    <w:rsid w:val="2AD74E1C"/>
    <w:rsid w:val="2AD81F3E"/>
    <w:rsid w:val="2AD92680"/>
    <w:rsid w:val="2AE260BA"/>
    <w:rsid w:val="2AE96252"/>
    <w:rsid w:val="2AED7A70"/>
    <w:rsid w:val="2B0A17D0"/>
    <w:rsid w:val="2B4D23F4"/>
    <w:rsid w:val="2B5A04DB"/>
    <w:rsid w:val="2B926563"/>
    <w:rsid w:val="2BBD63FF"/>
    <w:rsid w:val="2BBE54D1"/>
    <w:rsid w:val="2BD5685A"/>
    <w:rsid w:val="2BD82C0B"/>
    <w:rsid w:val="2BD9459B"/>
    <w:rsid w:val="2C164FBE"/>
    <w:rsid w:val="2C46519D"/>
    <w:rsid w:val="2C465245"/>
    <w:rsid w:val="2C515AB3"/>
    <w:rsid w:val="2C5D0BD2"/>
    <w:rsid w:val="2CDC3D8D"/>
    <w:rsid w:val="2D3166E6"/>
    <w:rsid w:val="2D4E4D74"/>
    <w:rsid w:val="2D57768A"/>
    <w:rsid w:val="2DAB1AC6"/>
    <w:rsid w:val="2DB90335"/>
    <w:rsid w:val="2DE15DC8"/>
    <w:rsid w:val="2DE61645"/>
    <w:rsid w:val="2E4238A1"/>
    <w:rsid w:val="2E876734"/>
    <w:rsid w:val="2ED440C8"/>
    <w:rsid w:val="2ED44AFB"/>
    <w:rsid w:val="2EEE764A"/>
    <w:rsid w:val="2F0D2275"/>
    <w:rsid w:val="2F69692B"/>
    <w:rsid w:val="2F882C76"/>
    <w:rsid w:val="2FA469E4"/>
    <w:rsid w:val="2FDC3691"/>
    <w:rsid w:val="2FDD476F"/>
    <w:rsid w:val="2FF45F63"/>
    <w:rsid w:val="303A487F"/>
    <w:rsid w:val="30C75A01"/>
    <w:rsid w:val="311F0854"/>
    <w:rsid w:val="314E571E"/>
    <w:rsid w:val="31541D0B"/>
    <w:rsid w:val="3167042D"/>
    <w:rsid w:val="31894EB9"/>
    <w:rsid w:val="320A7897"/>
    <w:rsid w:val="3213011C"/>
    <w:rsid w:val="3240775C"/>
    <w:rsid w:val="328D0868"/>
    <w:rsid w:val="32B93904"/>
    <w:rsid w:val="32C41555"/>
    <w:rsid w:val="32F43DA3"/>
    <w:rsid w:val="33780822"/>
    <w:rsid w:val="337E754E"/>
    <w:rsid w:val="33C62F66"/>
    <w:rsid w:val="342C0C3D"/>
    <w:rsid w:val="34923057"/>
    <w:rsid w:val="34B429C8"/>
    <w:rsid w:val="352A3D8D"/>
    <w:rsid w:val="35885502"/>
    <w:rsid w:val="35951B6D"/>
    <w:rsid w:val="359A0E5B"/>
    <w:rsid w:val="35A85D44"/>
    <w:rsid w:val="35B132DA"/>
    <w:rsid w:val="35F41CE5"/>
    <w:rsid w:val="363B5AA0"/>
    <w:rsid w:val="36547E17"/>
    <w:rsid w:val="36656FE2"/>
    <w:rsid w:val="366C3B12"/>
    <w:rsid w:val="366D6A66"/>
    <w:rsid w:val="36890491"/>
    <w:rsid w:val="36B35C5A"/>
    <w:rsid w:val="370E6CEC"/>
    <w:rsid w:val="37100D31"/>
    <w:rsid w:val="371144BD"/>
    <w:rsid w:val="37393A73"/>
    <w:rsid w:val="37711450"/>
    <w:rsid w:val="37A95876"/>
    <w:rsid w:val="37D06E7E"/>
    <w:rsid w:val="38145C9F"/>
    <w:rsid w:val="38B854D5"/>
    <w:rsid w:val="38FA654F"/>
    <w:rsid w:val="38FC2000"/>
    <w:rsid w:val="391D18D7"/>
    <w:rsid w:val="394851A3"/>
    <w:rsid w:val="39B72299"/>
    <w:rsid w:val="3A3F5FFB"/>
    <w:rsid w:val="3A8A5D21"/>
    <w:rsid w:val="3AA751C4"/>
    <w:rsid w:val="3AE3061A"/>
    <w:rsid w:val="3B18326D"/>
    <w:rsid w:val="3B252FFF"/>
    <w:rsid w:val="3B3530DB"/>
    <w:rsid w:val="3B4F0706"/>
    <w:rsid w:val="3B5B5683"/>
    <w:rsid w:val="3B6273BD"/>
    <w:rsid w:val="3BA44EF5"/>
    <w:rsid w:val="3C0346EB"/>
    <w:rsid w:val="3C16002C"/>
    <w:rsid w:val="3C1A4569"/>
    <w:rsid w:val="3C243C4B"/>
    <w:rsid w:val="3C412597"/>
    <w:rsid w:val="3C673832"/>
    <w:rsid w:val="3CC9185B"/>
    <w:rsid w:val="3CE40D31"/>
    <w:rsid w:val="3CEB4784"/>
    <w:rsid w:val="3DA73DDB"/>
    <w:rsid w:val="3DE823CC"/>
    <w:rsid w:val="3DF16119"/>
    <w:rsid w:val="3E294AAB"/>
    <w:rsid w:val="3E8B1FCA"/>
    <w:rsid w:val="3E9C5D1B"/>
    <w:rsid w:val="3EA518DA"/>
    <w:rsid w:val="3F012522"/>
    <w:rsid w:val="3F2D0E26"/>
    <w:rsid w:val="3F3A58E0"/>
    <w:rsid w:val="3F451102"/>
    <w:rsid w:val="3FDD51B1"/>
    <w:rsid w:val="3FDE3680"/>
    <w:rsid w:val="3FEF31CA"/>
    <w:rsid w:val="4000449C"/>
    <w:rsid w:val="40147FFB"/>
    <w:rsid w:val="40320E7D"/>
    <w:rsid w:val="40503698"/>
    <w:rsid w:val="40630605"/>
    <w:rsid w:val="40C6025B"/>
    <w:rsid w:val="40D25BA6"/>
    <w:rsid w:val="410249A0"/>
    <w:rsid w:val="41323D1E"/>
    <w:rsid w:val="414A5DE4"/>
    <w:rsid w:val="41553118"/>
    <w:rsid w:val="41D34BA9"/>
    <w:rsid w:val="420C6209"/>
    <w:rsid w:val="42356C3F"/>
    <w:rsid w:val="42822E05"/>
    <w:rsid w:val="429473BD"/>
    <w:rsid w:val="42BE5EAA"/>
    <w:rsid w:val="42CA554C"/>
    <w:rsid w:val="432672A8"/>
    <w:rsid w:val="4336404C"/>
    <w:rsid w:val="433B4394"/>
    <w:rsid w:val="434500D6"/>
    <w:rsid w:val="435C3B81"/>
    <w:rsid w:val="4395535A"/>
    <w:rsid w:val="439D008C"/>
    <w:rsid w:val="43B34C59"/>
    <w:rsid w:val="43F16F69"/>
    <w:rsid w:val="4413171C"/>
    <w:rsid w:val="443C252A"/>
    <w:rsid w:val="44525341"/>
    <w:rsid w:val="44CE30BE"/>
    <w:rsid w:val="44EA7196"/>
    <w:rsid w:val="450A2D97"/>
    <w:rsid w:val="459C6924"/>
    <w:rsid w:val="462C4D4B"/>
    <w:rsid w:val="4697581E"/>
    <w:rsid w:val="46B74627"/>
    <w:rsid w:val="4701057F"/>
    <w:rsid w:val="47250DD5"/>
    <w:rsid w:val="4760136E"/>
    <w:rsid w:val="47651B60"/>
    <w:rsid w:val="47A24386"/>
    <w:rsid w:val="47C47D13"/>
    <w:rsid w:val="48065DF3"/>
    <w:rsid w:val="487064ED"/>
    <w:rsid w:val="4879613E"/>
    <w:rsid w:val="488855A6"/>
    <w:rsid w:val="48E16144"/>
    <w:rsid w:val="48ED2A54"/>
    <w:rsid w:val="49433501"/>
    <w:rsid w:val="4954040D"/>
    <w:rsid w:val="4954635C"/>
    <w:rsid w:val="49562689"/>
    <w:rsid w:val="4A0271B0"/>
    <w:rsid w:val="4A2E0504"/>
    <w:rsid w:val="4A8C5FD6"/>
    <w:rsid w:val="4A935A61"/>
    <w:rsid w:val="4A9715EF"/>
    <w:rsid w:val="4ACB13BD"/>
    <w:rsid w:val="4ADA74C6"/>
    <w:rsid w:val="4AFD7A58"/>
    <w:rsid w:val="4B0041E6"/>
    <w:rsid w:val="4B4F05A5"/>
    <w:rsid w:val="4B6055BF"/>
    <w:rsid w:val="4B687154"/>
    <w:rsid w:val="4B806E31"/>
    <w:rsid w:val="4B9575F5"/>
    <w:rsid w:val="4BA007AB"/>
    <w:rsid w:val="4C4E2456"/>
    <w:rsid w:val="4CA35D76"/>
    <w:rsid w:val="4CB425CE"/>
    <w:rsid w:val="4CE407C8"/>
    <w:rsid w:val="4D2F4E61"/>
    <w:rsid w:val="4D635F9A"/>
    <w:rsid w:val="4D8524EE"/>
    <w:rsid w:val="4D8B62D9"/>
    <w:rsid w:val="4D9850BE"/>
    <w:rsid w:val="4E027DE7"/>
    <w:rsid w:val="4E323586"/>
    <w:rsid w:val="4E731CF0"/>
    <w:rsid w:val="4F173F03"/>
    <w:rsid w:val="4F2A216C"/>
    <w:rsid w:val="4F5755EA"/>
    <w:rsid w:val="4F6B4D04"/>
    <w:rsid w:val="4F6E369B"/>
    <w:rsid w:val="4F712022"/>
    <w:rsid w:val="4F756E78"/>
    <w:rsid w:val="4F8300F6"/>
    <w:rsid w:val="4F92522A"/>
    <w:rsid w:val="4F975CCC"/>
    <w:rsid w:val="4FAB05D3"/>
    <w:rsid w:val="4FC97910"/>
    <w:rsid w:val="4FE1332E"/>
    <w:rsid w:val="50020BDF"/>
    <w:rsid w:val="500C5754"/>
    <w:rsid w:val="504306EC"/>
    <w:rsid w:val="506C616A"/>
    <w:rsid w:val="5078645D"/>
    <w:rsid w:val="50896D35"/>
    <w:rsid w:val="50B90650"/>
    <w:rsid w:val="50D24CC1"/>
    <w:rsid w:val="517B6737"/>
    <w:rsid w:val="51D33C43"/>
    <w:rsid w:val="520A7BF7"/>
    <w:rsid w:val="52B40D12"/>
    <w:rsid w:val="52C578AE"/>
    <w:rsid w:val="52F361DE"/>
    <w:rsid w:val="530D41E5"/>
    <w:rsid w:val="53104F87"/>
    <w:rsid w:val="53C526A2"/>
    <w:rsid w:val="53CC2283"/>
    <w:rsid w:val="53F900F9"/>
    <w:rsid w:val="54305865"/>
    <w:rsid w:val="545D31C2"/>
    <w:rsid w:val="54BB6711"/>
    <w:rsid w:val="54CD2171"/>
    <w:rsid w:val="54FF380C"/>
    <w:rsid w:val="551742F8"/>
    <w:rsid w:val="5525175F"/>
    <w:rsid w:val="55B62409"/>
    <w:rsid w:val="55BB5F4E"/>
    <w:rsid w:val="55D7069D"/>
    <w:rsid w:val="5616131F"/>
    <w:rsid w:val="56211215"/>
    <w:rsid w:val="56351866"/>
    <w:rsid w:val="563750D7"/>
    <w:rsid w:val="56452D24"/>
    <w:rsid w:val="565117CA"/>
    <w:rsid w:val="56561A6D"/>
    <w:rsid w:val="57065728"/>
    <w:rsid w:val="5739287F"/>
    <w:rsid w:val="577B459A"/>
    <w:rsid w:val="57AE07FF"/>
    <w:rsid w:val="57BF754E"/>
    <w:rsid w:val="57E221A2"/>
    <w:rsid w:val="58192CF7"/>
    <w:rsid w:val="58684A6F"/>
    <w:rsid w:val="58A579E3"/>
    <w:rsid w:val="58D53411"/>
    <w:rsid w:val="58F00F48"/>
    <w:rsid w:val="591C1ADA"/>
    <w:rsid w:val="592761C7"/>
    <w:rsid w:val="592D0029"/>
    <w:rsid w:val="597D015D"/>
    <w:rsid w:val="599A682A"/>
    <w:rsid w:val="599C14DC"/>
    <w:rsid w:val="5A106955"/>
    <w:rsid w:val="5A596185"/>
    <w:rsid w:val="5A72627E"/>
    <w:rsid w:val="5AE060EF"/>
    <w:rsid w:val="5AF16582"/>
    <w:rsid w:val="5AF42AF3"/>
    <w:rsid w:val="5B5E23AF"/>
    <w:rsid w:val="5B982DB3"/>
    <w:rsid w:val="5C78401F"/>
    <w:rsid w:val="5C7C076A"/>
    <w:rsid w:val="5C875887"/>
    <w:rsid w:val="5C9E460B"/>
    <w:rsid w:val="5CB00CAF"/>
    <w:rsid w:val="5CB422BC"/>
    <w:rsid w:val="5D113D71"/>
    <w:rsid w:val="5D42065D"/>
    <w:rsid w:val="5D444A18"/>
    <w:rsid w:val="5DC9344C"/>
    <w:rsid w:val="5DCC1641"/>
    <w:rsid w:val="5E0C7B75"/>
    <w:rsid w:val="5E1D15F5"/>
    <w:rsid w:val="5E536B72"/>
    <w:rsid w:val="5E56559F"/>
    <w:rsid w:val="5E6F618D"/>
    <w:rsid w:val="5E7612E4"/>
    <w:rsid w:val="5EAD3578"/>
    <w:rsid w:val="5EBF5465"/>
    <w:rsid w:val="5F4F5B70"/>
    <w:rsid w:val="5F7E4ABE"/>
    <w:rsid w:val="5F914EB6"/>
    <w:rsid w:val="5F9303B9"/>
    <w:rsid w:val="603369EA"/>
    <w:rsid w:val="6088435F"/>
    <w:rsid w:val="609E2292"/>
    <w:rsid w:val="60AE7E03"/>
    <w:rsid w:val="60E12866"/>
    <w:rsid w:val="61445D2C"/>
    <w:rsid w:val="61963AC6"/>
    <w:rsid w:val="61AB3CEA"/>
    <w:rsid w:val="61AD3F50"/>
    <w:rsid w:val="61E616EF"/>
    <w:rsid w:val="61FD22BB"/>
    <w:rsid w:val="62115C0E"/>
    <w:rsid w:val="62146F60"/>
    <w:rsid w:val="62167841"/>
    <w:rsid w:val="621E33C9"/>
    <w:rsid w:val="624D4BCC"/>
    <w:rsid w:val="627604AD"/>
    <w:rsid w:val="627B736A"/>
    <w:rsid w:val="62967EFA"/>
    <w:rsid w:val="62A15CB8"/>
    <w:rsid w:val="62A64C88"/>
    <w:rsid w:val="62AB6E85"/>
    <w:rsid w:val="62AD6EA7"/>
    <w:rsid w:val="62B21626"/>
    <w:rsid w:val="62B679DA"/>
    <w:rsid w:val="62BB2A66"/>
    <w:rsid w:val="62CC13AF"/>
    <w:rsid w:val="62DF57F3"/>
    <w:rsid w:val="63102EE9"/>
    <w:rsid w:val="631A0CCF"/>
    <w:rsid w:val="63306794"/>
    <w:rsid w:val="634D448F"/>
    <w:rsid w:val="635641E9"/>
    <w:rsid w:val="637D586B"/>
    <w:rsid w:val="63B54EB9"/>
    <w:rsid w:val="63EE241D"/>
    <w:rsid w:val="6424543D"/>
    <w:rsid w:val="644F6F10"/>
    <w:rsid w:val="6463748E"/>
    <w:rsid w:val="646703A1"/>
    <w:rsid w:val="64687EC5"/>
    <w:rsid w:val="64B516F7"/>
    <w:rsid w:val="64EC67B0"/>
    <w:rsid w:val="65017BFC"/>
    <w:rsid w:val="65022151"/>
    <w:rsid w:val="65586412"/>
    <w:rsid w:val="65814B71"/>
    <w:rsid w:val="6596491A"/>
    <w:rsid w:val="66583458"/>
    <w:rsid w:val="66681412"/>
    <w:rsid w:val="66805DB2"/>
    <w:rsid w:val="66BF66B9"/>
    <w:rsid w:val="66FA25AB"/>
    <w:rsid w:val="672B1D4A"/>
    <w:rsid w:val="675F64EB"/>
    <w:rsid w:val="67AA4398"/>
    <w:rsid w:val="67D603A4"/>
    <w:rsid w:val="68047435"/>
    <w:rsid w:val="680A3AE6"/>
    <w:rsid w:val="6818204C"/>
    <w:rsid w:val="683E7AC4"/>
    <w:rsid w:val="686E1DF2"/>
    <w:rsid w:val="689E6006"/>
    <w:rsid w:val="694E5D82"/>
    <w:rsid w:val="69726A2B"/>
    <w:rsid w:val="698D4C17"/>
    <w:rsid w:val="69B40096"/>
    <w:rsid w:val="6A5606B0"/>
    <w:rsid w:val="6A7F5CCF"/>
    <w:rsid w:val="6A972DF4"/>
    <w:rsid w:val="6AEA5EB0"/>
    <w:rsid w:val="6AF449F9"/>
    <w:rsid w:val="6B0914B0"/>
    <w:rsid w:val="6B1F175D"/>
    <w:rsid w:val="6B3F3493"/>
    <w:rsid w:val="6BCC7330"/>
    <w:rsid w:val="6BED3107"/>
    <w:rsid w:val="6C9C6BB5"/>
    <w:rsid w:val="6CA65AB0"/>
    <w:rsid w:val="6CAB4D9F"/>
    <w:rsid w:val="6CC835E5"/>
    <w:rsid w:val="6CDA3D2E"/>
    <w:rsid w:val="6CF76B39"/>
    <w:rsid w:val="6CFE35DB"/>
    <w:rsid w:val="6D700298"/>
    <w:rsid w:val="6D8029A0"/>
    <w:rsid w:val="6D8065C6"/>
    <w:rsid w:val="6D8C36B9"/>
    <w:rsid w:val="6DF23DB7"/>
    <w:rsid w:val="6E067204"/>
    <w:rsid w:val="6E3D782E"/>
    <w:rsid w:val="6E6A4AF7"/>
    <w:rsid w:val="6E847C66"/>
    <w:rsid w:val="6EAE2026"/>
    <w:rsid w:val="6EC57FB7"/>
    <w:rsid w:val="6ECE1532"/>
    <w:rsid w:val="6ED56F7A"/>
    <w:rsid w:val="6EF47B14"/>
    <w:rsid w:val="6EFB40A4"/>
    <w:rsid w:val="6F30541D"/>
    <w:rsid w:val="6F355B04"/>
    <w:rsid w:val="6FC645F2"/>
    <w:rsid w:val="6FEF0866"/>
    <w:rsid w:val="70084B32"/>
    <w:rsid w:val="701329E0"/>
    <w:rsid w:val="706B41B2"/>
    <w:rsid w:val="70750F99"/>
    <w:rsid w:val="70787F21"/>
    <w:rsid w:val="707C77C0"/>
    <w:rsid w:val="709B37D5"/>
    <w:rsid w:val="70A3558B"/>
    <w:rsid w:val="70CE4BEC"/>
    <w:rsid w:val="70D707F1"/>
    <w:rsid w:val="70ED2BEA"/>
    <w:rsid w:val="712E77C7"/>
    <w:rsid w:val="71852E8B"/>
    <w:rsid w:val="720E1EC9"/>
    <w:rsid w:val="721558C1"/>
    <w:rsid w:val="7224402F"/>
    <w:rsid w:val="722C1B85"/>
    <w:rsid w:val="72521D40"/>
    <w:rsid w:val="726876B7"/>
    <w:rsid w:val="728A261E"/>
    <w:rsid w:val="72B85BC5"/>
    <w:rsid w:val="72CB7F76"/>
    <w:rsid w:val="72F94CDA"/>
    <w:rsid w:val="735261C3"/>
    <w:rsid w:val="7364565D"/>
    <w:rsid w:val="736E32CF"/>
    <w:rsid w:val="73765ED9"/>
    <w:rsid w:val="73794F3F"/>
    <w:rsid w:val="73897BE5"/>
    <w:rsid w:val="73915108"/>
    <w:rsid w:val="73F16D68"/>
    <w:rsid w:val="74062B93"/>
    <w:rsid w:val="7426343C"/>
    <w:rsid w:val="745E79CA"/>
    <w:rsid w:val="748C1D34"/>
    <w:rsid w:val="74936505"/>
    <w:rsid w:val="74AC58AA"/>
    <w:rsid w:val="74CD5C80"/>
    <w:rsid w:val="74DE3E13"/>
    <w:rsid w:val="74F20AF4"/>
    <w:rsid w:val="75194F2C"/>
    <w:rsid w:val="756149F2"/>
    <w:rsid w:val="75642EA1"/>
    <w:rsid w:val="75995D66"/>
    <w:rsid w:val="75A0622B"/>
    <w:rsid w:val="75C31426"/>
    <w:rsid w:val="76174F2D"/>
    <w:rsid w:val="76286F0E"/>
    <w:rsid w:val="762F6AFC"/>
    <w:rsid w:val="763F78E9"/>
    <w:rsid w:val="768D0ECD"/>
    <w:rsid w:val="76D637A8"/>
    <w:rsid w:val="77043883"/>
    <w:rsid w:val="771026DC"/>
    <w:rsid w:val="773A238F"/>
    <w:rsid w:val="7752780A"/>
    <w:rsid w:val="776A4361"/>
    <w:rsid w:val="77740D0F"/>
    <w:rsid w:val="778B17DA"/>
    <w:rsid w:val="778F2DFC"/>
    <w:rsid w:val="77F342DF"/>
    <w:rsid w:val="78177678"/>
    <w:rsid w:val="78321BC5"/>
    <w:rsid w:val="788B412F"/>
    <w:rsid w:val="788F2D96"/>
    <w:rsid w:val="78F10BC6"/>
    <w:rsid w:val="79080B01"/>
    <w:rsid w:val="792B7B46"/>
    <w:rsid w:val="797D4E1E"/>
    <w:rsid w:val="7980415C"/>
    <w:rsid w:val="79950198"/>
    <w:rsid w:val="79EC5703"/>
    <w:rsid w:val="79FE4010"/>
    <w:rsid w:val="7A0B5E6F"/>
    <w:rsid w:val="7A28458B"/>
    <w:rsid w:val="7A421E4F"/>
    <w:rsid w:val="7A4F7BDE"/>
    <w:rsid w:val="7A564AC4"/>
    <w:rsid w:val="7AF17CB3"/>
    <w:rsid w:val="7B064440"/>
    <w:rsid w:val="7B0D60C5"/>
    <w:rsid w:val="7B2E22E1"/>
    <w:rsid w:val="7B802F29"/>
    <w:rsid w:val="7B901411"/>
    <w:rsid w:val="7BFD5375"/>
    <w:rsid w:val="7C0B719D"/>
    <w:rsid w:val="7C330755"/>
    <w:rsid w:val="7C720FD9"/>
    <w:rsid w:val="7C8D42CE"/>
    <w:rsid w:val="7CA801B8"/>
    <w:rsid w:val="7CED3F85"/>
    <w:rsid w:val="7D230DDA"/>
    <w:rsid w:val="7D2D5E51"/>
    <w:rsid w:val="7D555F76"/>
    <w:rsid w:val="7D583E3C"/>
    <w:rsid w:val="7D9F21D0"/>
    <w:rsid w:val="7DCB250B"/>
    <w:rsid w:val="7DDE2C2E"/>
    <w:rsid w:val="7E1A448D"/>
    <w:rsid w:val="7E1D7C91"/>
    <w:rsid w:val="7E440E72"/>
    <w:rsid w:val="7E616596"/>
    <w:rsid w:val="7E6D4B24"/>
    <w:rsid w:val="7E867E38"/>
    <w:rsid w:val="7F0F6F20"/>
    <w:rsid w:val="7F1D5EA6"/>
    <w:rsid w:val="7F3401C6"/>
    <w:rsid w:val="7F41133B"/>
    <w:rsid w:val="7F422064"/>
    <w:rsid w:val="7F4A2916"/>
    <w:rsid w:val="7F5617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numPr>
        <w:ilvl w:val="0"/>
        <w:numId w:val="1"/>
      </w:numPr>
      <w:spacing w:before="340" w:after="330" w:line="578" w:lineRule="auto"/>
      <w:outlineLvl w:val="0"/>
    </w:pPr>
    <w:rPr>
      <w:b/>
      <w:bCs/>
      <w:kern w:val="44"/>
      <w:sz w:val="32"/>
      <w:szCs w:val="44"/>
    </w:rPr>
  </w:style>
  <w:style w:type="paragraph" w:styleId="3">
    <w:name w:val="heading 2"/>
    <w:basedOn w:val="1"/>
    <w:next w:val="1"/>
    <w:unhideWhenUsed/>
    <w:qFormat/>
    <w:uiPriority w:val="9"/>
    <w:pPr>
      <w:keepNext/>
      <w:keepLines/>
      <w:numPr>
        <w:ilvl w:val="0"/>
        <w:numId w:val="2"/>
      </w:numPr>
      <w:spacing w:before="260" w:after="260" w:line="416" w:lineRule="auto"/>
      <w:ind w:left="420"/>
      <w:outlineLvl w:val="1"/>
    </w:pPr>
    <w:rPr>
      <w:rFonts w:asciiTheme="majorHAnsi" w:hAnsiTheme="majorHAnsi" w:eastAsiaTheme="majorEastAsia" w:cstheme="majorBidi"/>
      <w:b/>
      <w:bCs/>
      <w:sz w:val="30"/>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Balloon Text"/>
    <w:basedOn w:val="1"/>
    <w:link w:val="11"/>
    <w:qFormat/>
    <w:uiPriority w:val="0"/>
    <w:rPr>
      <w:sz w:val="18"/>
      <w:szCs w:val="18"/>
    </w:rPr>
  </w:style>
  <w:style w:type="paragraph" w:styleId="5">
    <w:name w:val="footer"/>
    <w:basedOn w:val="1"/>
    <w:link w:val="13"/>
    <w:uiPriority w:val="0"/>
    <w:pPr>
      <w:tabs>
        <w:tab w:val="center" w:pos="4153"/>
        <w:tab w:val="right" w:pos="8306"/>
      </w:tabs>
      <w:snapToGrid w:val="0"/>
      <w:jc w:val="left"/>
    </w:pPr>
    <w:rPr>
      <w:sz w:val="18"/>
      <w:szCs w:val="18"/>
    </w:rPr>
  </w:style>
  <w:style w:type="paragraph" w:styleId="6">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character" w:styleId="9">
    <w:name w:val="Hyperlink"/>
    <w:basedOn w:val="8"/>
    <w:unhideWhenUsed/>
    <w:qFormat/>
    <w:uiPriority w:val="99"/>
    <w:rPr>
      <w:color w:val="0563C1" w:themeColor="hyperlink"/>
      <w:u w:val="single"/>
      <w14:textFill>
        <w14:solidFill>
          <w14:schemeClr w14:val="hlink"/>
        </w14:solidFill>
      </w14:textFill>
    </w:rPr>
  </w:style>
  <w:style w:type="paragraph" w:styleId="10">
    <w:name w:val="List Paragraph"/>
    <w:basedOn w:val="1"/>
    <w:qFormat/>
    <w:uiPriority w:val="34"/>
    <w:pPr>
      <w:ind w:firstLine="420" w:firstLineChars="200"/>
    </w:pPr>
  </w:style>
  <w:style w:type="character" w:customStyle="1" w:styleId="11">
    <w:name w:val="批注框文本 Char"/>
    <w:basedOn w:val="8"/>
    <w:link w:val="4"/>
    <w:uiPriority w:val="0"/>
    <w:rPr>
      <w:rFonts w:asciiTheme="minorHAnsi" w:hAnsiTheme="minorHAnsi" w:eastAsiaTheme="minorEastAsia" w:cstheme="minorBidi"/>
      <w:kern w:val="2"/>
      <w:sz w:val="18"/>
      <w:szCs w:val="18"/>
    </w:rPr>
  </w:style>
  <w:style w:type="character" w:customStyle="1" w:styleId="12">
    <w:name w:val="页眉 Char"/>
    <w:basedOn w:val="8"/>
    <w:link w:val="6"/>
    <w:uiPriority w:val="0"/>
    <w:rPr>
      <w:rFonts w:asciiTheme="minorHAnsi" w:hAnsiTheme="minorHAnsi" w:eastAsiaTheme="minorEastAsia" w:cstheme="minorBidi"/>
      <w:kern w:val="2"/>
      <w:sz w:val="18"/>
      <w:szCs w:val="18"/>
    </w:rPr>
  </w:style>
  <w:style w:type="character" w:customStyle="1" w:styleId="13">
    <w:name w:val="页脚 Char"/>
    <w:basedOn w:val="8"/>
    <w:link w:val="5"/>
    <w:uiPriority w:val="0"/>
    <w:rPr>
      <w:rFonts w:asciiTheme="minorHAnsi" w:hAnsiTheme="minorHAnsi" w:eastAsiaTheme="minorEastAsia" w:cstheme="minorBidi"/>
      <w:kern w:val="2"/>
      <w:sz w:val="18"/>
      <w:szCs w:val="18"/>
    </w:rPr>
  </w:style>
  <w:style w:type="character" w:customStyle="1" w:styleId="14">
    <w:name w:val="Unresolved Mention"/>
    <w:basedOn w:val="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C5941-2E7F-4849-8DC7-F56D1B5D90C9}">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2249</Words>
  <Characters>2326</Characters>
  <Lines>17</Lines>
  <Paragraphs>4</Paragraphs>
  <TotalTime>6</TotalTime>
  <ScaleCrop>false</ScaleCrop>
  <LinksUpToDate>false</LinksUpToDate>
  <CharactersWithSpaces>2368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2021-04-20T05:21:00Z</dcterms:created>
  <dc:creator>zdp</dc:creator>
  <cp:lastModifiedBy>刘茜</cp:lastModifiedBy>
  <dcterms:modified xsi:type="dcterms:W3CDTF">2023-02-01T06:46:09Z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A451E50ABDFF4F0CBCDE8B56B6E05B92</vt:lpwstr>
  </property>
</Properties>
</file>