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9C0" w:rsidRDefault="00BF19C0" w:rsidP="0000618F">
      <w:pPr>
        <w:widowControl/>
        <w:snapToGrid w:val="0"/>
        <w:spacing w:line="360" w:lineRule="auto"/>
        <w:jc w:val="center"/>
        <w:rPr>
          <w:rFonts w:eastAsia="方正小标宋简体"/>
          <w:sz w:val="36"/>
          <w:szCs w:val="36"/>
        </w:rPr>
      </w:pPr>
      <w:bookmarkStart w:id="0" w:name="_GoBack"/>
      <w:bookmarkEnd w:id="0"/>
      <w:r>
        <w:rPr>
          <w:rFonts w:eastAsia="方正小标宋简体" w:hint="eastAsia"/>
          <w:sz w:val="36"/>
          <w:szCs w:val="36"/>
        </w:rPr>
        <w:t xml:space="preserve"> </w:t>
      </w:r>
      <w:r w:rsidRPr="00BF19C0">
        <w:rPr>
          <w:rFonts w:eastAsia="方正小标宋简体" w:hint="eastAsia"/>
          <w:sz w:val="36"/>
          <w:szCs w:val="36"/>
        </w:rPr>
        <w:t>复方药物临床试验技术指导原则（征求意见稿）</w:t>
      </w:r>
    </w:p>
    <w:p w:rsidR="008D5234" w:rsidRPr="004A1424" w:rsidRDefault="008D5234" w:rsidP="0000618F">
      <w:pPr>
        <w:widowControl/>
        <w:snapToGrid w:val="0"/>
        <w:spacing w:line="360" w:lineRule="auto"/>
        <w:jc w:val="center"/>
        <w:rPr>
          <w:rFonts w:ascii="方正小标宋简体" w:eastAsia="方正小标宋简体"/>
          <w:bCs/>
          <w:sz w:val="36"/>
          <w:szCs w:val="36"/>
        </w:rPr>
      </w:pPr>
      <w:r w:rsidRPr="004A1424">
        <w:rPr>
          <w:rFonts w:ascii="方正小标宋简体" w:eastAsia="方正小标宋简体" w:hint="eastAsia"/>
          <w:bCs/>
          <w:sz w:val="36"/>
          <w:szCs w:val="36"/>
        </w:rPr>
        <w:t>起草说明</w:t>
      </w:r>
    </w:p>
    <w:p w:rsidR="0005219F" w:rsidRPr="0005219F" w:rsidRDefault="0005219F" w:rsidP="0005219F">
      <w:pPr>
        <w:snapToGrid w:val="0"/>
        <w:spacing w:line="360" w:lineRule="auto"/>
        <w:ind w:firstLineChars="200" w:firstLine="640"/>
        <w:outlineLvl w:val="0"/>
        <w:rPr>
          <w:rFonts w:eastAsia="黑体"/>
          <w:color w:val="000000"/>
          <w:sz w:val="32"/>
          <w:szCs w:val="32"/>
        </w:rPr>
      </w:pPr>
      <w:r w:rsidRPr="0005219F">
        <w:rPr>
          <w:rFonts w:eastAsia="黑体"/>
          <w:color w:val="000000"/>
          <w:sz w:val="32"/>
          <w:szCs w:val="32"/>
        </w:rPr>
        <w:t>一、起草目的</w:t>
      </w:r>
    </w:p>
    <w:p w:rsidR="00992521" w:rsidRDefault="001B34FD" w:rsidP="00992521">
      <w:pPr>
        <w:ind w:firstLineChars="177" w:firstLine="566"/>
        <w:rPr>
          <w:rFonts w:eastAsia="仿宋_GB2312"/>
          <w:sz w:val="32"/>
          <w:szCs w:val="32"/>
        </w:rPr>
      </w:pPr>
      <w:r w:rsidRPr="001B34FD">
        <w:rPr>
          <w:rFonts w:eastAsia="仿宋_GB2312" w:hint="eastAsia"/>
          <w:sz w:val="32"/>
          <w:szCs w:val="32"/>
        </w:rPr>
        <w:t>复方药物是指含有两种或两种以上已知活性成份的药物</w:t>
      </w:r>
      <w:r w:rsidR="00ED0A92">
        <w:rPr>
          <w:rFonts w:eastAsia="仿宋_GB2312" w:hint="eastAsia"/>
          <w:sz w:val="32"/>
          <w:szCs w:val="32"/>
        </w:rPr>
        <w:t>，</w:t>
      </w:r>
      <w:r w:rsidR="00ED0A92" w:rsidRPr="00E9285E">
        <w:rPr>
          <w:rFonts w:eastAsia="仿宋_GB2312" w:hint="eastAsia"/>
          <w:sz w:val="32"/>
          <w:szCs w:val="32"/>
        </w:rPr>
        <w:t>是改良型新药的一种重要类型</w:t>
      </w:r>
      <w:r w:rsidR="00ED0A92">
        <w:rPr>
          <w:rFonts w:eastAsia="仿宋_GB2312" w:hint="eastAsia"/>
          <w:sz w:val="32"/>
          <w:szCs w:val="32"/>
        </w:rPr>
        <w:t>，其</w:t>
      </w:r>
      <w:r w:rsidR="00ED0A92">
        <w:rPr>
          <w:rFonts w:eastAsia="仿宋_GB2312"/>
          <w:sz w:val="32"/>
          <w:szCs w:val="32"/>
        </w:rPr>
        <w:t>临床研发具有特殊性</w:t>
      </w:r>
      <w:r w:rsidR="00ED0A92">
        <w:rPr>
          <w:rFonts w:eastAsia="仿宋_GB2312" w:hint="eastAsia"/>
          <w:sz w:val="32"/>
          <w:szCs w:val="32"/>
        </w:rPr>
        <w:t>。</w:t>
      </w:r>
      <w:r w:rsidR="00B56A3B">
        <w:rPr>
          <w:rFonts w:eastAsia="仿宋_GB2312" w:hint="eastAsia"/>
          <w:sz w:val="32"/>
          <w:szCs w:val="32"/>
        </w:rPr>
        <w:t>为了</w:t>
      </w:r>
      <w:r w:rsidR="00F77F9A">
        <w:rPr>
          <w:rFonts w:eastAsia="仿宋_GB2312" w:hint="eastAsia"/>
          <w:kern w:val="0"/>
          <w:sz w:val="32"/>
          <w:szCs w:val="32"/>
        </w:rPr>
        <w:t>科学</w:t>
      </w:r>
      <w:r w:rsidR="00B56A3B">
        <w:rPr>
          <w:rFonts w:eastAsia="仿宋_GB2312"/>
          <w:kern w:val="0"/>
          <w:sz w:val="32"/>
          <w:szCs w:val="32"/>
        </w:rPr>
        <w:t>引导企业合理开发复方药物</w:t>
      </w:r>
      <w:r w:rsidR="00B56A3B">
        <w:rPr>
          <w:rFonts w:eastAsia="仿宋_GB2312" w:hint="eastAsia"/>
          <w:kern w:val="0"/>
          <w:sz w:val="32"/>
          <w:szCs w:val="32"/>
        </w:rPr>
        <w:t>，</w:t>
      </w:r>
      <w:r w:rsidRPr="0005219F">
        <w:rPr>
          <w:rFonts w:eastAsia="仿宋_GB2312"/>
          <w:sz w:val="32"/>
          <w:szCs w:val="32"/>
        </w:rPr>
        <w:t>药品审评中心组织起草了</w:t>
      </w:r>
      <w:r w:rsidRPr="001B34FD">
        <w:rPr>
          <w:rFonts w:eastAsia="仿宋_GB2312"/>
          <w:sz w:val="32"/>
          <w:szCs w:val="32"/>
        </w:rPr>
        <w:t>《</w:t>
      </w:r>
      <w:r w:rsidRPr="001B34FD">
        <w:rPr>
          <w:rFonts w:eastAsia="仿宋_GB2312" w:hint="eastAsia"/>
          <w:sz w:val="32"/>
          <w:szCs w:val="32"/>
        </w:rPr>
        <w:t>复方药物临床试验技术指导原则（征求意见稿）</w:t>
      </w:r>
      <w:r w:rsidRPr="001B34FD">
        <w:rPr>
          <w:rFonts w:eastAsia="仿宋_GB2312"/>
          <w:sz w:val="32"/>
          <w:szCs w:val="32"/>
        </w:rPr>
        <w:t>》</w:t>
      </w:r>
      <w:r w:rsidRPr="001B34FD">
        <w:rPr>
          <w:rFonts w:eastAsia="仿宋_GB2312" w:hint="eastAsia"/>
          <w:sz w:val="32"/>
          <w:szCs w:val="32"/>
        </w:rPr>
        <w:t>，</w:t>
      </w:r>
      <w:r w:rsidR="00A04C51">
        <w:rPr>
          <w:rFonts w:eastAsia="仿宋_GB2312" w:hint="eastAsia"/>
          <w:sz w:val="32"/>
          <w:szCs w:val="32"/>
        </w:rPr>
        <w:t>旨在</w:t>
      </w:r>
      <w:r w:rsidR="00A04C51">
        <w:rPr>
          <w:rFonts w:eastAsia="仿宋_GB2312"/>
          <w:sz w:val="32"/>
          <w:szCs w:val="32"/>
        </w:rPr>
        <w:t>进一步</w:t>
      </w:r>
      <w:r w:rsidR="00A04C51" w:rsidRPr="00822CFF">
        <w:rPr>
          <w:rFonts w:eastAsia="仿宋_GB2312"/>
          <w:sz w:val="32"/>
          <w:szCs w:val="32"/>
        </w:rPr>
        <w:t>明确技术标准，</w:t>
      </w:r>
      <w:r w:rsidR="00A04C51">
        <w:rPr>
          <w:rFonts w:eastAsia="仿宋_GB2312" w:hint="eastAsia"/>
          <w:sz w:val="32"/>
          <w:szCs w:val="32"/>
        </w:rPr>
        <w:t>包括对复方</w:t>
      </w:r>
      <w:r w:rsidR="00A04C51">
        <w:rPr>
          <w:rFonts w:eastAsia="仿宋_GB2312"/>
          <w:sz w:val="32"/>
          <w:szCs w:val="32"/>
        </w:rPr>
        <w:t>药物的适应症定位、</w:t>
      </w:r>
      <w:r w:rsidR="00A04C51" w:rsidRPr="008C63E1">
        <w:rPr>
          <w:rFonts w:eastAsia="仿宋_GB2312" w:hint="eastAsia"/>
          <w:sz w:val="32"/>
          <w:szCs w:val="32"/>
        </w:rPr>
        <w:t>组方</w:t>
      </w:r>
      <w:r w:rsidR="00A04C51" w:rsidRPr="008C63E1">
        <w:rPr>
          <w:rFonts w:eastAsia="仿宋_GB2312"/>
          <w:sz w:val="32"/>
          <w:szCs w:val="32"/>
        </w:rPr>
        <w:t>合理性</w:t>
      </w:r>
      <w:r w:rsidR="00A04C51">
        <w:rPr>
          <w:rFonts w:eastAsia="仿宋_GB2312" w:hint="eastAsia"/>
          <w:sz w:val="32"/>
          <w:szCs w:val="32"/>
        </w:rPr>
        <w:t>评估的要点、以及</w:t>
      </w:r>
      <w:r w:rsidR="00A04C51" w:rsidRPr="001B34FD">
        <w:rPr>
          <w:rFonts w:eastAsia="仿宋_GB2312" w:hint="eastAsia"/>
          <w:sz w:val="32"/>
          <w:szCs w:val="32"/>
        </w:rPr>
        <w:t>临床试验设计的</w:t>
      </w:r>
      <w:r w:rsidR="00A04C51">
        <w:rPr>
          <w:rFonts w:eastAsia="仿宋_GB2312" w:hint="eastAsia"/>
          <w:sz w:val="32"/>
          <w:szCs w:val="32"/>
        </w:rPr>
        <w:t>具体考虑以及</w:t>
      </w:r>
      <w:r w:rsidR="00A04C51">
        <w:rPr>
          <w:rFonts w:eastAsia="仿宋_GB2312"/>
          <w:sz w:val="32"/>
          <w:szCs w:val="32"/>
        </w:rPr>
        <w:t>申报上市的</w:t>
      </w:r>
      <w:r w:rsidR="00A04C51" w:rsidRPr="009D00FE">
        <w:rPr>
          <w:rFonts w:eastAsia="仿宋_GB2312"/>
          <w:sz w:val="32"/>
          <w:szCs w:val="32"/>
        </w:rPr>
        <w:t>临床</w:t>
      </w:r>
      <w:r w:rsidR="00A04C51" w:rsidRPr="009D00FE">
        <w:rPr>
          <w:rFonts w:eastAsia="仿宋_GB2312" w:hint="eastAsia"/>
          <w:sz w:val="32"/>
          <w:szCs w:val="32"/>
        </w:rPr>
        <w:t>证据要求</w:t>
      </w:r>
      <w:r w:rsidR="00A04C51">
        <w:rPr>
          <w:rFonts w:eastAsia="仿宋_GB2312" w:hint="eastAsia"/>
          <w:sz w:val="32"/>
          <w:szCs w:val="32"/>
        </w:rPr>
        <w:t>等，</w:t>
      </w:r>
      <w:r w:rsidR="00A04C51" w:rsidRPr="008F4D13">
        <w:rPr>
          <w:rFonts w:eastAsia="仿宋_GB2312" w:hint="eastAsia"/>
          <w:sz w:val="32"/>
          <w:szCs w:val="32"/>
        </w:rPr>
        <w:t>为</w:t>
      </w:r>
      <w:r w:rsidR="00A04C51">
        <w:rPr>
          <w:rFonts w:eastAsia="仿宋_GB2312" w:hint="eastAsia"/>
          <w:sz w:val="32"/>
          <w:szCs w:val="32"/>
        </w:rPr>
        <w:t>复方药物</w:t>
      </w:r>
      <w:r w:rsidR="00A04C51">
        <w:rPr>
          <w:rFonts w:eastAsia="仿宋_GB2312"/>
          <w:sz w:val="32"/>
          <w:szCs w:val="32"/>
        </w:rPr>
        <w:t>的临床</w:t>
      </w:r>
      <w:r w:rsidR="00ED0A92">
        <w:rPr>
          <w:rFonts w:eastAsia="仿宋_GB2312" w:hint="eastAsia"/>
          <w:sz w:val="32"/>
          <w:szCs w:val="32"/>
        </w:rPr>
        <w:t>研发和</w:t>
      </w:r>
      <w:r w:rsidR="00ED0A92">
        <w:rPr>
          <w:rFonts w:eastAsia="仿宋_GB2312"/>
          <w:sz w:val="32"/>
          <w:szCs w:val="32"/>
        </w:rPr>
        <w:t>评价</w:t>
      </w:r>
      <w:r w:rsidR="00A04C51" w:rsidRPr="008F4D13">
        <w:rPr>
          <w:rFonts w:eastAsia="仿宋_GB2312" w:hint="eastAsia"/>
          <w:sz w:val="32"/>
          <w:szCs w:val="32"/>
        </w:rPr>
        <w:t>提供指导。</w:t>
      </w:r>
    </w:p>
    <w:p w:rsidR="00992521" w:rsidRDefault="0005219F" w:rsidP="00992521">
      <w:pPr>
        <w:snapToGrid w:val="0"/>
        <w:spacing w:line="360" w:lineRule="auto"/>
        <w:ind w:firstLineChars="200" w:firstLine="640"/>
        <w:outlineLvl w:val="0"/>
        <w:rPr>
          <w:rFonts w:eastAsia="黑体"/>
          <w:color w:val="000000"/>
          <w:sz w:val="32"/>
          <w:szCs w:val="32"/>
        </w:rPr>
      </w:pPr>
      <w:r>
        <w:rPr>
          <w:rFonts w:eastAsia="黑体" w:hint="eastAsia"/>
          <w:color w:val="000000"/>
          <w:sz w:val="32"/>
          <w:szCs w:val="32"/>
        </w:rPr>
        <w:t>二</w:t>
      </w:r>
      <w:r>
        <w:rPr>
          <w:rFonts w:eastAsia="黑体"/>
          <w:color w:val="000000"/>
          <w:sz w:val="32"/>
          <w:szCs w:val="32"/>
        </w:rPr>
        <w:t>、</w:t>
      </w:r>
      <w:r w:rsidRPr="0005219F">
        <w:rPr>
          <w:rFonts w:eastAsia="黑体"/>
          <w:color w:val="000000"/>
          <w:sz w:val="32"/>
          <w:szCs w:val="32"/>
        </w:rPr>
        <w:t>起草过程</w:t>
      </w:r>
    </w:p>
    <w:p w:rsidR="00992521" w:rsidRDefault="0005219F" w:rsidP="00992521">
      <w:pPr>
        <w:ind w:firstLineChars="177" w:firstLine="566"/>
        <w:rPr>
          <w:rFonts w:eastAsia="仿宋_GB2312"/>
          <w:sz w:val="32"/>
          <w:szCs w:val="32"/>
        </w:rPr>
      </w:pPr>
      <w:r w:rsidRPr="0005219F">
        <w:rPr>
          <w:rFonts w:eastAsia="仿宋_GB2312"/>
          <w:sz w:val="32"/>
          <w:szCs w:val="22"/>
        </w:rPr>
        <w:t>本指导原则由药审中心化药二部牵头立项</w:t>
      </w:r>
      <w:r w:rsidR="005C288E">
        <w:rPr>
          <w:rFonts w:eastAsia="仿宋_GB2312" w:hint="eastAsia"/>
          <w:sz w:val="32"/>
          <w:szCs w:val="22"/>
        </w:rPr>
        <w:t>并</w:t>
      </w:r>
      <w:r w:rsidR="005C288E">
        <w:rPr>
          <w:rFonts w:eastAsia="仿宋_GB2312"/>
          <w:sz w:val="32"/>
          <w:szCs w:val="22"/>
        </w:rPr>
        <w:t>起草</w:t>
      </w:r>
      <w:r w:rsidRPr="0005219F">
        <w:rPr>
          <w:rFonts w:eastAsia="仿宋_GB2312"/>
          <w:sz w:val="32"/>
          <w:szCs w:val="22"/>
        </w:rPr>
        <w:t>。</w:t>
      </w:r>
      <w:r w:rsidR="001B34FD" w:rsidRPr="00095E03">
        <w:rPr>
          <w:rFonts w:eastAsia="仿宋_GB2312"/>
          <w:kern w:val="0"/>
          <w:sz w:val="32"/>
          <w:szCs w:val="32"/>
        </w:rPr>
        <w:t>起草工作</w:t>
      </w:r>
      <w:r w:rsidR="001B34FD" w:rsidRPr="00095E03">
        <w:rPr>
          <w:rFonts w:eastAsia="仿宋_GB2312" w:hint="eastAsia"/>
          <w:kern w:val="0"/>
          <w:sz w:val="32"/>
          <w:szCs w:val="32"/>
        </w:rPr>
        <w:t>于</w:t>
      </w:r>
      <w:r w:rsidR="001B34FD" w:rsidRPr="00095E03">
        <w:rPr>
          <w:rFonts w:eastAsia="仿宋_GB2312"/>
          <w:kern w:val="0"/>
          <w:sz w:val="32"/>
          <w:szCs w:val="32"/>
        </w:rPr>
        <w:t>20</w:t>
      </w:r>
      <w:r w:rsidR="001B34FD">
        <w:rPr>
          <w:rFonts w:eastAsia="仿宋_GB2312"/>
          <w:kern w:val="0"/>
          <w:sz w:val="32"/>
          <w:szCs w:val="32"/>
        </w:rPr>
        <w:t>22</w:t>
      </w:r>
      <w:r w:rsidR="001B34FD" w:rsidRPr="00095E03">
        <w:rPr>
          <w:rFonts w:eastAsia="仿宋_GB2312"/>
          <w:kern w:val="0"/>
          <w:sz w:val="32"/>
          <w:szCs w:val="32"/>
        </w:rPr>
        <w:t>年</w:t>
      </w:r>
      <w:r w:rsidR="001B34FD" w:rsidRPr="00095E03">
        <w:rPr>
          <w:rFonts w:eastAsia="仿宋_GB2312"/>
          <w:kern w:val="0"/>
          <w:sz w:val="32"/>
          <w:szCs w:val="32"/>
        </w:rPr>
        <w:t>1</w:t>
      </w:r>
      <w:r w:rsidR="001B34FD">
        <w:rPr>
          <w:rFonts w:eastAsia="仿宋_GB2312"/>
          <w:kern w:val="0"/>
          <w:sz w:val="32"/>
          <w:szCs w:val="32"/>
        </w:rPr>
        <w:t xml:space="preserve"> </w:t>
      </w:r>
      <w:r w:rsidR="001B34FD" w:rsidRPr="00095E03">
        <w:rPr>
          <w:rFonts w:eastAsia="仿宋_GB2312"/>
          <w:kern w:val="0"/>
          <w:sz w:val="32"/>
          <w:szCs w:val="32"/>
        </w:rPr>
        <w:t>月启动，经</w:t>
      </w:r>
      <w:r w:rsidR="001B34FD" w:rsidRPr="00701E71">
        <w:rPr>
          <w:rFonts w:eastAsia="仿宋_GB2312" w:hint="eastAsia"/>
          <w:kern w:val="0"/>
          <w:sz w:val="32"/>
          <w:szCs w:val="32"/>
        </w:rPr>
        <w:t>起草小组</w:t>
      </w:r>
      <w:r w:rsidR="001B34FD" w:rsidRPr="00095E03">
        <w:rPr>
          <w:rFonts w:eastAsia="仿宋_GB2312"/>
          <w:kern w:val="0"/>
          <w:sz w:val="32"/>
          <w:szCs w:val="32"/>
        </w:rPr>
        <w:t>充分调研和讨论，在参考国内外相关指导原则基础上，明确了</w:t>
      </w:r>
      <w:r w:rsidR="005C288E">
        <w:rPr>
          <w:rFonts w:eastAsia="仿宋_GB2312" w:hint="eastAsia"/>
          <w:kern w:val="0"/>
          <w:sz w:val="32"/>
          <w:szCs w:val="32"/>
        </w:rPr>
        <w:t>复方</w:t>
      </w:r>
      <w:r w:rsidR="005C288E">
        <w:rPr>
          <w:rFonts w:eastAsia="仿宋_GB2312"/>
          <w:kern w:val="0"/>
          <w:sz w:val="32"/>
          <w:szCs w:val="32"/>
        </w:rPr>
        <w:t>药物临床</w:t>
      </w:r>
      <w:r w:rsidR="005C288E">
        <w:rPr>
          <w:rFonts w:eastAsia="仿宋_GB2312" w:hint="eastAsia"/>
          <w:kern w:val="0"/>
          <w:sz w:val="32"/>
          <w:szCs w:val="32"/>
        </w:rPr>
        <w:t>试验</w:t>
      </w:r>
      <w:r w:rsidR="001B34FD" w:rsidRPr="00095E03">
        <w:rPr>
          <w:rFonts w:eastAsia="仿宋_GB2312"/>
          <w:kern w:val="0"/>
          <w:sz w:val="32"/>
          <w:szCs w:val="32"/>
        </w:rPr>
        <w:t>技术指导原则的主要框架，</w:t>
      </w:r>
      <w:r w:rsidR="001B34FD">
        <w:rPr>
          <w:rFonts w:eastAsia="仿宋_GB2312" w:hint="eastAsia"/>
          <w:kern w:val="0"/>
          <w:sz w:val="32"/>
          <w:szCs w:val="32"/>
        </w:rPr>
        <w:t>在</w:t>
      </w:r>
      <w:r w:rsidR="001B34FD">
        <w:rPr>
          <w:rFonts w:eastAsia="仿宋_GB2312"/>
          <w:kern w:val="0"/>
          <w:sz w:val="32"/>
          <w:szCs w:val="32"/>
        </w:rPr>
        <w:t>借鉴欧盟相关指导原则的基础上，结合审评实践</w:t>
      </w:r>
      <w:r w:rsidR="001B34FD">
        <w:rPr>
          <w:rFonts w:eastAsia="仿宋_GB2312" w:hint="eastAsia"/>
          <w:kern w:val="0"/>
          <w:sz w:val="32"/>
          <w:szCs w:val="32"/>
        </w:rPr>
        <w:t>，</w:t>
      </w:r>
      <w:r w:rsidR="001B34FD" w:rsidRPr="00095E03">
        <w:rPr>
          <w:rFonts w:eastAsia="仿宋_GB2312"/>
          <w:kern w:val="0"/>
          <w:sz w:val="32"/>
          <w:szCs w:val="32"/>
        </w:rPr>
        <w:t>形成</w:t>
      </w:r>
      <w:r w:rsidR="001B34FD" w:rsidRPr="0005219F">
        <w:rPr>
          <w:rFonts w:eastAsia="仿宋_GB2312"/>
          <w:sz w:val="32"/>
          <w:szCs w:val="22"/>
        </w:rPr>
        <w:t>前期初稿</w:t>
      </w:r>
      <w:r w:rsidR="001B34FD" w:rsidRPr="00095E03">
        <w:rPr>
          <w:rFonts w:eastAsia="仿宋_GB2312"/>
          <w:kern w:val="0"/>
          <w:sz w:val="32"/>
          <w:szCs w:val="32"/>
        </w:rPr>
        <w:t>。</w:t>
      </w:r>
      <w:r w:rsidR="001B34FD">
        <w:rPr>
          <w:rFonts w:eastAsia="仿宋_GB2312" w:hint="eastAsia"/>
          <w:kern w:val="0"/>
          <w:sz w:val="32"/>
          <w:szCs w:val="32"/>
        </w:rPr>
        <w:t>于</w:t>
      </w:r>
      <w:r w:rsidR="001B34FD" w:rsidRPr="00095E03">
        <w:rPr>
          <w:rFonts w:eastAsia="仿宋_GB2312"/>
          <w:kern w:val="0"/>
          <w:sz w:val="32"/>
          <w:szCs w:val="32"/>
        </w:rPr>
        <w:t>202</w:t>
      </w:r>
      <w:r w:rsidR="001B34FD">
        <w:rPr>
          <w:rFonts w:eastAsia="仿宋_GB2312"/>
          <w:kern w:val="0"/>
          <w:sz w:val="32"/>
          <w:szCs w:val="32"/>
        </w:rPr>
        <w:t>2</w:t>
      </w:r>
      <w:r w:rsidR="001B34FD" w:rsidRPr="00095E03">
        <w:rPr>
          <w:rFonts w:eastAsia="仿宋_GB2312"/>
          <w:kern w:val="0"/>
          <w:sz w:val="32"/>
          <w:szCs w:val="32"/>
        </w:rPr>
        <w:t>年</w:t>
      </w:r>
      <w:r w:rsidR="001B34FD">
        <w:rPr>
          <w:rFonts w:eastAsia="仿宋_GB2312"/>
          <w:kern w:val="0"/>
          <w:sz w:val="32"/>
          <w:szCs w:val="32"/>
        </w:rPr>
        <w:t>7</w:t>
      </w:r>
      <w:r w:rsidR="001B34FD" w:rsidRPr="00095E03">
        <w:rPr>
          <w:rFonts w:eastAsia="仿宋_GB2312"/>
          <w:kern w:val="0"/>
          <w:sz w:val="32"/>
          <w:szCs w:val="32"/>
        </w:rPr>
        <w:t>月</w:t>
      </w:r>
      <w:r w:rsidR="001B34FD">
        <w:rPr>
          <w:rFonts w:eastAsia="仿宋_GB2312"/>
          <w:kern w:val="0"/>
          <w:sz w:val="32"/>
          <w:szCs w:val="32"/>
        </w:rPr>
        <w:t>30</w:t>
      </w:r>
      <w:r w:rsidR="001B34FD" w:rsidRPr="00095E03">
        <w:rPr>
          <w:rFonts w:eastAsia="仿宋_GB2312"/>
          <w:kern w:val="0"/>
          <w:sz w:val="32"/>
          <w:szCs w:val="32"/>
        </w:rPr>
        <w:t>日至</w:t>
      </w:r>
      <w:r w:rsidR="001B34FD">
        <w:rPr>
          <w:rFonts w:eastAsia="仿宋_GB2312"/>
          <w:kern w:val="0"/>
          <w:sz w:val="32"/>
          <w:szCs w:val="32"/>
        </w:rPr>
        <w:t>8</w:t>
      </w:r>
      <w:r w:rsidR="001B34FD" w:rsidRPr="00095E03">
        <w:rPr>
          <w:rFonts w:eastAsia="仿宋_GB2312"/>
          <w:kern w:val="0"/>
          <w:sz w:val="32"/>
          <w:szCs w:val="32"/>
        </w:rPr>
        <w:t>月</w:t>
      </w:r>
      <w:r w:rsidR="001B34FD">
        <w:rPr>
          <w:rFonts w:eastAsia="仿宋_GB2312"/>
          <w:kern w:val="0"/>
          <w:sz w:val="32"/>
          <w:szCs w:val="32"/>
        </w:rPr>
        <w:t>5</w:t>
      </w:r>
      <w:r w:rsidR="001B34FD" w:rsidRPr="00095E03">
        <w:rPr>
          <w:rFonts w:eastAsia="仿宋_GB2312"/>
          <w:kern w:val="0"/>
          <w:sz w:val="32"/>
          <w:szCs w:val="32"/>
        </w:rPr>
        <w:t>日完成</w:t>
      </w:r>
      <w:r w:rsidR="001B34FD">
        <w:rPr>
          <w:rFonts w:eastAsia="仿宋_GB2312" w:hint="eastAsia"/>
          <w:kern w:val="0"/>
          <w:sz w:val="32"/>
          <w:szCs w:val="32"/>
        </w:rPr>
        <w:t>了</w:t>
      </w:r>
      <w:r w:rsidR="001B34FD" w:rsidRPr="00095E03">
        <w:rPr>
          <w:rFonts w:eastAsia="仿宋_GB2312"/>
          <w:kern w:val="0"/>
          <w:sz w:val="32"/>
          <w:szCs w:val="32"/>
        </w:rPr>
        <w:t>中心内部征求意见</w:t>
      </w:r>
      <w:r w:rsidR="001B34FD" w:rsidRPr="00095E03">
        <w:rPr>
          <w:rFonts w:eastAsia="仿宋_GB2312" w:hint="eastAsia"/>
          <w:kern w:val="0"/>
          <w:sz w:val="32"/>
          <w:szCs w:val="32"/>
        </w:rPr>
        <w:t>。</w:t>
      </w:r>
      <w:r w:rsidR="001B34FD">
        <w:rPr>
          <w:rFonts w:eastAsia="仿宋_GB2312" w:hint="eastAsia"/>
          <w:kern w:val="0"/>
          <w:sz w:val="32"/>
          <w:szCs w:val="32"/>
        </w:rPr>
        <w:t>之后</w:t>
      </w:r>
      <w:r w:rsidR="001B34FD">
        <w:rPr>
          <w:rFonts w:eastAsia="仿宋_GB2312"/>
          <w:kern w:val="0"/>
          <w:sz w:val="32"/>
          <w:szCs w:val="32"/>
        </w:rPr>
        <w:t>，</w:t>
      </w:r>
      <w:r w:rsidR="001B34FD" w:rsidRPr="0005219F">
        <w:rPr>
          <w:rFonts w:eastAsia="仿宋_GB2312"/>
          <w:sz w:val="32"/>
          <w:szCs w:val="22"/>
        </w:rPr>
        <w:t>针对关键问题在指导原则工作组内讨论</w:t>
      </w:r>
      <w:r w:rsidR="001B34FD">
        <w:rPr>
          <w:rFonts w:eastAsia="仿宋_GB2312" w:hint="eastAsia"/>
          <w:sz w:val="32"/>
          <w:szCs w:val="22"/>
        </w:rPr>
        <w:t>后</w:t>
      </w:r>
      <w:r w:rsidR="001B34FD" w:rsidRPr="0005219F">
        <w:rPr>
          <w:rFonts w:eastAsia="仿宋_GB2312"/>
          <w:sz w:val="32"/>
          <w:szCs w:val="22"/>
        </w:rPr>
        <w:t>形成</w:t>
      </w:r>
      <w:r w:rsidR="001B34FD">
        <w:rPr>
          <w:rFonts w:eastAsia="仿宋_GB2312" w:hint="eastAsia"/>
          <w:sz w:val="32"/>
          <w:szCs w:val="22"/>
        </w:rPr>
        <w:t>初稿</w:t>
      </w:r>
      <w:r w:rsidR="001B34FD" w:rsidRPr="0005219F">
        <w:rPr>
          <w:rFonts w:eastAsia="仿宋_GB2312"/>
          <w:sz w:val="32"/>
          <w:szCs w:val="22"/>
        </w:rPr>
        <w:t>。</w:t>
      </w:r>
      <w:r w:rsidR="005C288E">
        <w:rPr>
          <w:rFonts w:eastAsia="仿宋_GB2312" w:hint="eastAsia"/>
          <w:sz w:val="32"/>
          <w:szCs w:val="22"/>
        </w:rPr>
        <w:t>于</w:t>
      </w:r>
      <w:r w:rsidR="005C288E">
        <w:rPr>
          <w:rFonts w:eastAsia="仿宋_GB2312" w:hint="eastAsia"/>
          <w:sz w:val="32"/>
          <w:szCs w:val="22"/>
        </w:rPr>
        <w:t>2022</w:t>
      </w:r>
      <w:r w:rsidR="005C288E">
        <w:rPr>
          <w:rFonts w:eastAsia="仿宋_GB2312" w:hint="eastAsia"/>
          <w:sz w:val="32"/>
          <w:szCs w:val="22"/>
        </w:rPr>
        <w:t>年</w:t>
      </w:r>
      <w:r w:rsidR="005C288E">
        <w:rPr>
          <w:rFonts w:eastAsia="仿宋_GB2312" w:hint="eastAsia"/>
          <w:sz w:val="32"/>
          <w:szCs w:val="22"/>
        </w:rPr>
        <w:t>8</w:t>
      </w:r>
      <w:r w:rsidR="005C288E">
        <w:rPr>
          <w:rFonts w:eastAsia="仿宋_GB2312" w:hint="eastAsia"/>
          <w:sz w:val="32"/>
          <w:szCs w:val="22"/>
        </w:rPr>
        <w:t>月</w:t>
      </w:r>
      <w:r w:rsidR="005C288E">
        <w:rPr>
          <w:rFonts w:eastAsia="仿宋_GB2312"/>
          <w:sz w:val="32"/>
          <w:szCs w:val="22"/>
        </w:rPr>
        <w:t>8</w:t>
      </w:r>
      <w:r w:rsidR="005C288E">
        <w:rPr>
          <w:rFonts w:eastAsia="仿宋_GB2312" w:hint="eastAsia"/>
          <w:sz w:val="32"/>
          <w:szCs w:val="22"/>
        </w:rPr>
        <w:t>日</w:t>
      </w:r>
      <w:r w:rsidR="001B34FD" w:rsidRPr="00176942">
        <w:rPr>
          <w:rFonts w:eastAsia="仿宋_GB2312" w:hint="eastAsia"/>
          <w:sz w:val="32"/>
          <w:szCs w:val="32"/>
        </w:rPr>
        <w:t>经</w:t>
      </w:r>
      <w:r w:rsidR="001B34FD" w:rsidRPr="00176942">
        <w:rPr>
          <w:rFonts w:eastAsia="仿宋_GB2312"/>
          <w:sz w:val="32"/>
          <w:szCs w:val="32"/>
        </w:rPr>
        <w:t>部门技术委员会</w:t>
      </w:r>
      <w:r w:rsidR="001B34FD" w:rsidRPr="00176942">
        <w:rPr>
          <w:rFonts w:eastAsia="仿宋_GB2312" w:hint="eastAsia"/>
          <w:sz w:val="32"/>
          <w:szCs w:val="32"/>
        </w:rPr>
        <w:t>审核，</w:t>
      </w:r>
      <w:r w:rsidR="001B34FD" w:rsidRPr="00176942">
        <w:rPr>
          <w:rFonts w:eastAsia="仿宋_GB2312"/>
          <w:sz w:val="32"/>
          <w:szCs w:val="32"/>
        </w:rPr>
        <w:t>形成征求意见稿。</w:t>
      </w:r>
    </w:p>
    <w:p w:rsidR="0005219F" w:rsidRPr="0005219F" w:rsidRDefault="0005219F" w:rsidP="00992521">
      <w:pPr>
        <w:snapToGrid w:val="0"/>
        <w:spacing w:line="360" w:lineRule="auto"/>
        <w:ind w:firstLineChars="200" w:firstLine="640"/>
        <w:outlineLvl w:val="0"/>
        <w:rPr>
          <w:rFonts w:eastAsia="黑体"/>
          <w:color w:val="000000"/>
          <w:sz w:val="32"/>
          <w:szCs w:val="32"/>
        </w:rPr>
      </w:pPr>
      <w:r w:rsidRPr="0005219F">
        <w:rPr>
          <w:rFonts w:eastAsia="黑体"/>
          <w:color w:val="000000"/>
          <w:sz w:val="32"/>
          <w:szCs w:val="32"/>
        </w:rPr>
        <w:t>三、起草思路</w:t>
      </w:r>
    </w:p>
    <w:p w:rsidR="006F70D3" w:rsidRDefault="0015355E" w:rsidP="00C86F8A">
      <w:pPr>
        <w:ind w:firstLineChars="177" w:firstLine="566"/>
        <w:rPr>
          <w:rFonts w:eastAsia="仿宋_GB2312"/>
          <w:sz w:val="32"/>
          <w:szCs w:val="32"/>
        </w:rPr>
      </w:pPr>
      <w:r w:rsidRPr="001B34FD">
        <w:rPr>
          <w:rFonts w:eastAsia="仿宋_GB2312" w:hint="eastAsia"/>
          <w:sz w:val="32"/>
          <w:szCs w:val="32"/>
        </w:rPr>
        <w:lastRenderedPageBreak/>
        <w:t>复方药物</w:t>
      </w:r>
      <w:r w:rsidRPr="0015355E">
        <w:rPr>
          <w:rFonts w:eastAsia="仿宋_GB2312" w:hint="eastAsia"/>
          <w:sz w:val="32"/>
          <w:szCs w:val="32"/>
        </w:rPr>
        <w:t>是改良型新药的</w:t>
      </w:r>
      <w:r>
        <w:rPr>
          <w:rFonts w:eastAsia="仿宋_GB2312" w:hint="eastAsia"/>
          <w:sz w:val="32"/>
          <w:szCs w:val="32"/>
        </w:rPr>
        <w:t>一种</w:t>
      </w:r>
      <w:r w:rsidRPr="0015355E">
        <w:rPr>
          <w:rFonts w:eastAsia="仿宋_GB2312" w:hint="eastAsia"/>
          <w:sz w:val="32"/>
          <w:szCs w:val="32"/>
        </w:rPr>
        <w:t>重要类型。</w:t>
      </w:r>
      <w:r w:rsidR="006F70D3">
        <w:rPr>
          <w:rFonts w:eastAsia="仿宋_GB2312" w:hint="eastAsia"/>
          <w:sz w:val="32"/>
          <w:szCs w:val="32"/>
        </w:rPr>
        <w:t>现行《化学药品注册分类及申报资料要求》明确要求改良型新药应具备明显</w:t>
      </w:r>
      <w:r w:rsidRPr="0015355E">
        <w:rPr>
          <w:rFonts w:eastAsia="仿宋_GB2312" w:hint="eastAsia"/>
          <w:sz w:val="32"/>
          <w:szCs w:val="32"/>
        </w:rPr>
        <w:t>的临床优势</w:t>
      </w:r>
      <w:r>
        <w:rPr>
          <w:rFonts w:eastAsia="仿宋_GB2312" w:hint="eastAsia"/>
          <w:sz w:val="32"/>
          <w:szCs w:val="32"/>
        </w:rPr>
        <w:t>。</w:t>
      </w:r>
    </w:p>
    <w:p w:rsidR="00C86F8A" w:rsidRPr="008F4D13" w:rsidRDefault="00E31B3E" w:rsidP="00C86F8A">
      <w:pPr>
        <w:ind w:firstLineChars="177" w:firstLine="566"/>
        <w:rPr>
          <w:rFonts w:eastAsia="仿宋_GB2312"/>
          <w:sz w:val="32"/>
          <w:szCs w:val="32"/>
        </w:rPr>
      </w:pPr>
      <w:r w:rsidRPr="00822CFF">
        <w:rPr>
          <w:rFonts w:eastAsia="仿宋_GB2312" w:hint="eastAsia"/>
          <w:sz w:val="32"/>
          <w:szCs w:val="32"/>
        </w:rPr>
        <w:t>复方药物临床试验的设计取决于复方的立题和治疗目标。</w:t>
      </w:r>
      <w:r w:rsidR="00C86F8A" w:rsidRPr="008F4D13">
        <w:rPr>
          <w:rFonts w:eastAsia="仿宋_GB2312" w:hint="eastAsia"/>
          <w:sz w:val="32"/>
          <w:szCs w:val="32"/>
        </w:rPr>
        <w:t>复方药物</w:t>
      </w:r>
      <w:r w:rsidR="00C86F8A" w:rsidRPr="008F4D13">
        <w:rPr>
          <w:rFonts w:eastAsia="仿宋_GB2312"/>
          <w:sz w:val="32"/>
          <w:szCs w:val="32"/>
        </w:rPr>
        <w:t>的</w:t>
      </w:r>
      <w:r w:rsidR="00F4374A">
        <w:rPr>
          <w:rFonts w:eastAsia="仿宋_GB2312" w:hint="eastAsia"/>
          <w:sz w:val="32"/>
          <w:szCs w:val="32"/>
        </w:rPr>
        <w:t>研发</w:t>
      </w:r>
      <w:r w:rsidR="00C86F8A" w:rsidRPr="008F4D13">
        <w:rPr>
          <w:rFonts w:eastAsia="仿宋_GB2312"/>
          <w:sz w:val="32"/>
          <w:szCs w:val="32"/>
        </w:rPr>
        <w:t>涉及诸多不同适应症领域</w:t>
      </w:r>
      <w:r w:rsidR="00175744">
        <w:rPr>
          <w:rFonts w:eastAsia="仿宋_GB2312" w:hint="eastAsia"/>
          <w:sz w:val="32"/>
          <w:szCs w:val="32"/>
        </w:rPr>
        <w:t>、</w:t>
      </w:r>
      <w:r w:rsidR="00C86F8A" w:rsidRPr="008F4D13">
        <w:rPr>
          <w:rFonts w:eastAsia="仿宋_GB2312"/>
          <w:sz w:val="32"/>
          <w:szCs w:val="32"/>
        </w:rPr>
        <w:t>不同</w:t>
      </w:r>
      <w:r w:rsidR="00C86F8A" w:rsidRPr="008F4D13">
        <w:rPr>
          <w:rFonts w:eastAsia="仿宋_GB2312" w:hint="eastAsia"/>
          <w:sz w:val="32"/>
          <w:szCs w:val="32"/>
        </w:rPr>
        <w:t>疾病</w:t>
      </w:r>
      <w:r w:rsidR="00175744">
        <w:rPr>
          <w:rFonts w:eastAsia="仿宋_GB2312" w:hint="eastAsia"/>
          <w:sz w:val="32"/>
          <w:szCs w:val="32"/>
        </w:rPr>
        <w:t>和</w:t>
      </w:r>
      <w:r w:rsidR="006F70D3">
        <w:rPr>
          <w:rFonts w:eastAsia="仿宋_GB2312"/>
          <w:sz w:val="32"/>
          <w:szCs w:val="32"/>
        </w:rPr>
        <w:t>活性成分的特性</w:t>
      </w:r>
      <w:r w:rsidR="006F70D3">
        <w:rPr>
          <w:rFonts w:eastAsia="仿宋_GB2312" w:hint="eastAsia"/>
          <w:sz w:val="32"/>
          <w:szCs w:val="32"/>
        </w:rPr>
        <w:t>，</w:t>
      </w:r>
      <w:r w:rsidR="006F70D3">
        <w:rPr>
          <w:rFonts w:eastAsia="仿宋_GB2312"/>
          <w:sz w:val="32"/>
          <w:szCs w:val="32"/>
        </w:rPr>
        <w:t>但</w:t>
      </w:r>
      <w:r w:rsidR="006F70D3">
        <w:rPr>
          <w:rFonts w:eastAsia="仿宋_GB2312" w:hint="eastAsia"/>
          <w:sz w:val="32"/>
          <w:szCs w:val="32"/>
        </w:rPr>
        <w:t>其临床</w:t>
      </w:r>
      <w:r w:rsidR="006F70D3">
        <w:rPr>
          <w:rFonts w:eastAsia="仿宋_GB2312"/>
          <w:sz w:val="32"/>
          <w:szCs w:val="32"/>
        </w:rPr>
        <w:t>研发具有共性</w:t>
      </w:r>
      <w:r w:rsidR="00913F47">
        <w:rPr>
          <w:rFonts w:eastAsia="仿宋_GB2312" w:hint="eastAsia"/>
          <w:sz w:val="32"/>
          <w:szCs w:val="32"/>
        </w:rPr>
        <w:t>的</w:t>
      </w:r>
      <w:r w:rsidR="006F70D3">
        <w:rPr>
          <w:rFonts w:eastAsia="仿宋_GB2312"/>
          <w:sz w:val="32"/>
          <w:szCs w:val="32"/>
        </w:rPr>
        <w:t>技术考虑。</w:t>
      </w:r>
      <w:r w:rsidR="00C86F8A" w:rsidRPr="008F4D13">
        <w:rPr>
          <w:rFonts w:eastAsia="仿宋_GB2312" w:hint="eastAsia"/>
          <w:sz w:val="32"/>
          <w:szCs w:val="32"/>
        </w:rPr>
        <w:t>EMA</w:t>
      </w:r>
      <w:r w:rsidR="00C86F8A" w:rsidRPr="008F4D13">
        <w:rPr>
          <w:rFonts w:eastAsia="仿宋_GB2312" w:hint="eastAsia"/>
          <w:sz w:val="32"/>
          <w:szCs w:val="32"/>
        </w:rPr>
        <w:t>于</w:t>
      </w:r>
      <w:r w:rsidR="00C86F8A" w:rsidRPr="008F4D13">
        <w:rPr>
          <w:rFonts w:eastAsia="仿宋_GB2312" w:hint="eastAsia"/>
          <w:sz w:val="32"/>
          <w:szCs w:val="32"/>
        </w:rPr>
        <w:t>201</w:t>
      </w:r>
      <w:r w:rsidR="00C86F8A" w:rsidRPr="008F4D13">
        <w:rPr>
          <w:rFonts w:eastAsia="仿宋_GB2312"/>
          <w:sz w:val="32"/>
          <w:szCs w:val="32"/>
        </w:rPr>
        <w:t>5</w:t>
      </w:r>
      <w:r w:rsidR="00C86F8A" w:rsidRPr="008F4D13">
        <w:rPr>
          <w:rFonts w:eastAsia="仿宋_GB2312" w:hint="eastAsia"/>
          <w:sz w:val="32"/>
          <w:szCs w:val="32"/>
        </w:rPr>
        <w:t>发布了</w:t>
      </w:r>
      <w:r w:rsidR="00C86F8A" w:rsidRPr="001B34FD">
        <w:rPr>
          <w:rFonts w:eastAsia="仿宋_GB2312"/>
          <w:sz w:val="32"/>
          <w:szCs w:val="32"/>
        </w:rPr>
        <w:t>《</w:t>
      </w:r>
      <w:r w:rsidR="00C86F8A" w:rsidRPr="008F4D13">
        <w:rPr>
          <w:rFonts w:eastAsia="仿宋_GB2312" w:hint="eastAsia"/>
          <w:sz w:val="32"/>
          <w:szCs w:val="32"/>
        </w:rPr>
        <w:t>固定复方制剂临床开发指导原则</w:t>
      </w:r>
      <w:r w:rsidR="00C86F8A" w:rsidRPr="001B34FD">
        <w:rPr>
          <w:rFonts w:eastAsia="仿宋_GB2312"/>
          <w:sz w:val="32"/>
          <w:szCs w:val="32"/>
        </w:rPr>
        <w:t>》</w:t>
      </w:r>
      <w:r w:rsidR="00C86F8A" w:rsidRPr="008F4D13">
        <w:rPr>
          <w:rFonts w:eastAsia="仿宋_GB2312" w:hint="eastAsia"/>
          <w:sz w:val="32"/>
          <w:szCs w:val="32"/>
        </w:rPr>
        <w:t>，并于</w:t>
      </w:r>
      <w:r w:rsidR="00C86F8A" w:rsidRPr="008F4D13">
        <w:rPr>
          <w:rFonts w:eastAsia="仿宋_GB2312" w:hint="eastAsia"/>
          <w:sz w:val="32"/>
          <w:szCs w:val="32"/>
        </w:rPr>
        <w:t>2017</w:t>
      </w:r>
      <w:r w:rsidR="00C86F8A" w:rsidRPr="008F4D13">
        <w:rPr>
          <w:rFonts w:eastAsia="仿宋_GB2312" w:hint="eastAsia"/>
          <w:sz w:val="32"/>
          <w:szCs w:val="32"/>
        </w:rPr>
        <w:t>年</w:t>
      </w:r>
      <w:r w:rsidR="00C86F8A" w:rsidRPr="008F4D13">
        <w:rPr>
          <w:rFonts w:eastAsia="仿宋_GB2312"/>
          <w:sz w:val="32"/>
          <w:szCs w:val="32"/>
        </w:rPr>
        <w:t>进行了更新。</w:t>
      </w:r>
      <w:r w:rsidR="009A3E3A" w:rsidRPr="008F4D13">
        <w:rPr>
          <w:rFonts w:eastAsia="仿宋_GB2312" w:hint="eastAsia"/>
          <w:sz w:val="32"/>
          <w:szCs w:val="32"/>
        </w:rPr>
        <w:t>美国</w:t>
      </w:r>
      <w:r w:rsidR="009A3E3A" w:rsidRPr="008F4D13">
        <w:rPr>
          <w:rFonts w:eastAsia="仿宋_GB2312"/>
          <w:sz w:val="32"/>
          <w:szCs w:val="32"/>
        </w:rPr>
        <w:t>FDA</w:t>
      </w:r>
      <w:r w:rsidR="009A3E3A" w:rsidRPr="008F4D13">
        <w:rPr>
          <w:rFonts w:eastAsia="仿宋_GB2312" w:hint="eastAsia"/>
          <w:sz w:val="32"/>
          <w:szCs w:val="32"/>
        </w:rPr>
        <w:t>于</w:t>
      </w:r>
      <w:r w:rsidR="009A3E3A" w:rsidRPr="008F4D13">
        <w:rPr>
          <w:rFonts w:eastAsia="仿宋_GB2312" w:hint="eastAsia"/>
          <w:sz w:val="32"/>
          <w:szCs w:val="32"/>
        </w:rPr>
        <w:t>2018</w:t>
      </w:r>
      <w:r w:rsidR="009A3E3A" w:rsidRPr="008F4D13">
        <w:rPr>
          <w:rFonts w:eastAsia="仿宋_GB2312" w:hint="eastAsia"/>
          <w:sz w:val="32"/>
          <w:szCs w:val="32"/>
        </w:rPr>
        <w:t>年发布了</w:t>
      </w:r>
      <w:r w:rsidR="009A3E3A" w:rsidRPr="001B34FD">
        <w:rPr>
          <w:rFonts w:eastAsia="仿宋_GB2312"/>
          <w:sz w:val="32"/>
          <w:szCs w:val="32"/>
        </w:rPr>
        <w:t>《</w:t>
      </w:r>
      <w:r w:rsidR="009A3E3A" w:rsidRPr="008F4D13">
        <w:rPr>
          <w:rFonts w:eastAsia="仿宋_GB2312" w:hint="eastAsia"/>
          <w:sz w:val="32"/>
          <w:szCs w:val="32"/>
        </w:rPr>
        <w:t>治疗</w:t>
      </w:r>
      <w:r w:rsidR="009A3E3A" w:rsidRPr="008F4D13">
        <w:rPr>
          <w:rFonts w:eastAsia="仿宋_GB2312"/>
          <w:sz w:val="32"/>
          <w:szCs w:val="32"/>
        </w:rPr>
        <w:t>高血压的固定剂量复方</w:t>
      </w:r>
      <w:r w:rsidR="009A3E3A" w:rsidRPr="008F4D13">
        <w:rPr>
          <w:rFonts w:eastAsia="仿宋_GB2312" w:hint="eastAsia"/>
          <w:sz w:val="32"/>
          <w:szCs w:val="32"/>
        </w:rPr>
        <w:t>药物</w:t>
      </w:r>
      <w:r w:rsidR="009A3E3A" w:rsidRPr="008F4D13">
        <w:rPr>
          <w:rFonts w:eastAsia="仿宋_GB2312"/>
          <w:sz w:val="32"/>
          <w:szCs w:val="32"/>
        </w:rPr>
        <w:t>研发指导原则》</w:t>
      </w:r>
      <w:r w:rsidR="009A3E3A" w:rsidRPr="008F4D13">
        <w:rPr>
          <w:rFonts w:eastAsia="仿宋_GB2312" w:hint="eastAsia"/>
          <w:sz w:val="32"/>
          <w:szCs w:val="32"/>
        </w:rPr>
        <w:t>。</w:t>
      </w:r>
      <w:r w:rsidR="006F70D3">
        <w:rPr>
          <w:rFonts w:eastAsia="仿宋_GB2312" w:hint="eastAsia"/>
          <w:sz w:val="32"/>
          <w:szCs w:val="32"/>
        </w:rPr>
        <w:t>我国对于</w:t>
      </w:r>
      <w:r w:rsidR="006F70D3">
        <w:rPr>
          <w:rFonts w:eastAsia="仿宋_GB2312"/>
          <w:sz w:val="32"/>
          <w:szCs w:val="32"/>
        </w:rPr>
        <w:t>复方药物的研发和评价也积累了</w:t>
      </w:r>
      <w:r w:rsidR="006F70D3">
        <w:rPr>
          <w:rFonts w:eastAsia="仿宋_GB2312" w:hint="eastAsia"/>
          <w:sz w:val="32"/>
          <w:szCs w:val="32"/>
        </w:rPr>
        <w:t>一定</w:t>
      </w:r>
      <w:r w:rsidR="006F70D3">
        <w:rPr>
          <w:rFonts w:eastAsia="仿宋_GB2312"/>
          <w:sz w:val="32"/>
          <w:szCs w:val="32"/>
        </w:rPr>
        <w:t>的经验。</w:t>
      </w:r>
    </w:p>
    <w:p w:rsidR="0005219F" w:rsidRPr="0005219F" w:rsidRDefault="00992521" w:rsidP="008F4D13">
      <w:pPr>
        <w:ind w:firstLineChars="177" w:firstLine="566"/>
        <w:rPr>
          <w:rFonts w:eastAsia="仿宋_GB2312"/>
          <w:sz w:val="32"/>
          <w:szCs w:val="22"/>
        </w:rPr>
      </w:pPr>
      <w:r>
        <w:rPr>
          <w:rFonts w:eastAsia="仿宋_GB2312" w:hint="eastAsia"/>
          <w:sz w:val="32"/>
          <w:szCs w:val="32"/>
        </w:rPr>
        <w:t>为了</w:t>
      </w:r>
      <w:r w:rsidR="00B56A3B">
        <w:rPr>
          <w:rFonts w:eastAsia="仿宋_GB2312" w:hint="eastAsia"/>
          <w:kern w:val="0"/>
          <w:sz w:val="32"/>
          <w:szCs w:val="32"/>
        </w:rPr>
        <w:t>规范复方药物</w:t>
      </w:r>
      <w:r w:rsidR="00B56A3B">
        <w:rPr>
          <w:rFonts w:eastAsia="仿宋_GB2312"/>
          <w:kern w:val="0"/>
          <w:sz w:val="32"/>
          <w:szCs w:val="32"/>
        </w:rPr>
        <w:t>的临床</w:t>
      </w:r>
      <w:r w:rsidR="006F70D3">
        <w:rPr>
          <w:rFonts w:eastAsia="仿宋_GB2312" w:hint="eastAsia"/>
          <w:kern w:val="0"/>
          <w:sz w:val="32"/>
          <w:szCs w:val="32"/>
        </w:rPr>
        <w:t>研发和</w:t>
      </w:r>
      <w:r w:rsidR="006F70D3">
        <w:rPr>
          <w:rFonts w:eastAsia="仿宋_GB2312"/>
          <w:kern w:val="0"/>
          <w:sz w:val="32"/>
          <w:szCs w:val="32"/>
        </w:rPr>
        <w:t>评价</w:t>
      </w:r>
      <w:r>
        <w:rPr>
          <w:rFonts w:eastAsia="仿宋_GB2312" w:hint="eastAsia"/>
          <w:kern w:val="0"/>
          <w:sz w:val="32"/>
          <w:szCs w:val="32"/>
        </w:rPr>
        <w:t>，提供</w:t>
      </w:r>
      <w:r w:rsidRPr="00822CFF">
        <w:rPr>
          <w:rFonts w:eastAsia="仿宋_GB2312"/>
          <w:sz w:val="32"/>
          <w:szCs w:val="32"/>
        </w:rPr>
        <w:t>明确</w:t>
      </w:r>
      <w:r>
        <w:rPr>
          <w:rFonts w:eastAsia="仿宋_GB2312" w:hint="eastAsia"/>
          <w:sz w:val="32"/>
          <w:szCs w:val="32"/>
        </w:rPr>
        <w:t>的</w:t>
      </w:r>
      <w:r w:rsidRPr="00822CFF">
        <w:rPr>
          <w:rFonts w:eastAsia="仿宋_GB2312"/>
          <w:sz w:val="32"/>
          <w:szCs w:val="32"/>
        </w:rPr>
        <w:t>技术标准，</w:t>
      </w:r>
      <w:r w:rsidR="006F70D3">
        <w:rPr>
          <w:rFonts w:eastAsia="仿宋_GB2312" w:hint="eastAsia"/>
          <w:sz w:val="32"/>
          <w:szCs w:val="32"/>
        </w:rPr>
        <w:t>我</w:t>
      </w:r>
      <w:r w:rsidR="006F70D3">
        <w:rPr>
          <w:rFonts w:eastAsia="仿宋_GB2312"/>
          <w:sz w:val="32"/>
          <w:szCs w:val="32"/>
        </w:rPr>
        <w:t>中心</w:t>
      </w:r>
      <w:r w:rsidR="00FB4095">
        <w:rPr>
          <w:rFonts w:eastAsia="仿宋_GB2312" w:hint="eastAsia"/>
          <w:sz w:val="32"/>
          <w:szCs w:val="32"/>
        </w:rPr>
        <w:t>在</w:t>
      </w:r>
      <w:r w:rsidR="0066308F">
        <w:rPr>
          <w:rFonts w:eastAsia="仿宋_GB2312" w:hint="eastAsia"/>
          <w:sz w:val="32"/>
          <w:szCs w:val="32"/>
        </w:rPr>
        <w:t>借鉴</w:t>
      </w:r>
      <w:r w:rsidR="008F4D13" w:rsidRPr="008F4D13">
        <w:rPr>
          <w:rFonts w:eastAsia="仿宋_GB2312"/>
          <w:sz w:val="32"/>
          <w:szCs w:val="32"/>
        </w:rPr>
        <w:t>欧盟相关指导原则的基础上，结合</w:t>
      </w:r>
      <w:r w:rsidR="009A4B2D">
        <w:rPr>
          <w:rFonts w:eastAsia="仿宋_GB2312" w:hint="eastAsia"/>
          <w:sz w:val="32"/>
          <w:szCs w:val="32"/>
        </w:rPr>
        <w:t>我国</w:t>
      </w:r>
      <w:r>
        <w:rPr>
          <w:rFonts w:eastAsia="仿宋_GB2312" w:hint="eastAsia"/>
          <w:sz w:val="32"/>
          <w:szCs w:val="32"/>
        </w:rPr>
        <w:t>现行</w:t>
      </w:r>
      <w:r w:rsidR="009A4B2D">
        <w:rPr>
          <w:rFonts w:eastAsia="仿宋_GB2312"/>
          <w:sz w:val="32"/>
          <w:szCs w:val="32"/>
        </w:rPr>
        <w:t>法规的</w:t>
      </w:r>
      <w:r w:rsidR="009A4B2D">
        <w:rPr>
          <w:rFonts w:eastAsia="仿宋_GB2312" w:hint="eastAsia"/>
          <w:sz w:val="32"/>
          <w:szCs w:val="32"/>
        </w:rPr>
        <w:t>要求</w:t>
      </w:r>
      <w:r w:rsidR="009A4B2D">
        <w:rPr>
          <w:rFonts w:eastAsia="仿宋_GB2312"/>
          <w:sz w:val="32"/>
          <w:szCs w:val="32"/>
        </w:rPr>
        <w:t>和</w:t>
      </w:r>
      <w:r w:rsidR="006F70D3">
        <w:rPr>
          <w:rFonts w:eastAsia="仿宋_GB2312" w:hint="eastAsia"/>
          <w:sz w:val="32"/>
          <w:szCs w:val="32"/>
        </w:rPr>
        <w:t>复方</w:t>
      </w:r>
      <w:r w:rsidR="006F70D3">
        <w:rPr>
          <w:rFonts w:eastAsia="仿宋_GB2312"/>
          <w:sz w:val="32"/>
          <w:szCs w:val="32"/>
        </w:rPr>
        <w:t>药物科学</w:t>
      </w:r>
      <w:r w:rsidR="008F4D13" w:rsidRPr="008F4D13">
        <w:rPr>
          <w:rFonts w:eastAsia="仿宋_GB2312"/>
          <w:sz w:val="32"/>
          <w:szCs w:val="32"/>
        </w:rPr>
        <w:t>审评实践</w:t>
      </w:r>
      <w:r w:rsidR="008F4D13" w:rsidRPr="008F4D13">
        <w:rPr>
          <w:rFonts w:eastAsia="仿宋_GB2312" w:hint="eastAsia"/>
          <w:sz w:val="32"/>
          <w:szCs w:val="32"/>
        </w:rPr>
        <w:t>，</w:t>
      </w:r>
      <w:r w:rsidR="008F4D13" w:rsidRPr="0015355E">
        <w:rPr>
          <w:rFonts w:eastAsia="仿宋_GB2312" w:hint="eastAsia"/>
          <w:sz w:val="32"/>
          <w:szCs w:val="32"/>
        </w:rPr>
        <w:t>制定本指导原则</w:t>
      </w:r>
      <w:r w:rsidR="008F4D13" w:rsidRPr="008F4D13">
        <w:rPr>
          <w:rFonts w:eastAsia="仿宋_GB2312" w:hint="eastAsia"/>
          <w:sz w:val="32"/>
          <w:szCs w:val="32"/>
        </w:rPr>
        <w:t>。</w:t>
      </w:r>
      <w:r w:rsidR="00C86F8A">
        <w:rPr>
          <w:rFonts w:eastAsia="仿宋_GB2312"/>
          <w:sz w:val="32"/>
          <w:szCs w:val="32"/>
        </w:rPr>
        <w:t xml:space="preserve"> </w:t>
      </w:r>
    </w:p>
    <w:p w:rsidR="0005219F" w:rsidRPr="0005219F" w:rsidRDefault="0005219F" w:rsidP="00992521">
      <w:pPr>
        <w:snapToGrid w:val="0"/>
        <w:spacing w:line="360" w:lineRule="auto"/>
        <w:ind w:firstLineChars="200" w:firstLine="640"/>
        <w:outlineLvl w:val="0"/>
        <w:rPr>
          <w:rFonts w:eastAsia="黑体"/>
          <w:color w:val="000000"/>
          <w:sz w:val="32"/>
          <w:szCs w:val="32"/>
        </w:rPr>
      </w:pPr>
      <w:r w:rsidRPr="0005219F">
        <w:rPr>
          <w:rFonts w:eastAsia="黑体"/>
          <w:color w:val="000000"/>
          <w:sz w:val="32"/>
          <w:szCs w:val="32"/>
        </w:rPr>
        <w:t>四、主要内容</w:t>
      </w:r>
    </w:p>
    <w:p w:rsidR="00E42571" w:rsidRDefault="0005219F" w:rsidP="00E42571">
      <w:pPr>
        <w:snapToGrid w:val="0"/>
        <w:spacing w:line="360" w:lineRule="auto"/>
        <w:ind w:firstLineChars="200" w:firstLine="640"/>
        <w:rPr>
          <w:rFonts w:eastAsia="仿宋_GB2312"/>
          <w:sz w:val="32"/>
          <w:szCs w:val="22"/>
        </w:rPr>
      </w:pPr>
      <w:r w:rsidRPr="0005219F">
        <w:rPr>
          <w:rFonts w:eastAsia="仿宋_GB2312"/>
          <w:sz w:val="32"/>
          <w:szCs w:val="22"/>
        </w:rPr>
        <w:t>本指导原则主要分为</w:t>
      </w:r>
      <w:r w:rsidR="00AB1EA8">
        <w:rPr>
          <w:rFonts w:eastAsia="仿宋_GB2312" w:hint="eastAsia"/>
          <w:sz w:val="32"/>
          <w:szCs w:val="22"/>
        </w:rPr>
        <w:t>五</w:t>
      </w:r>
      <w:r w:rsidRPr="0005219F">
        <w:rPr>
          <w:rFonts w:eastAsia="仿宋_GB2312"/>
          <w:sz w:val="32"/>
          <w:szCs w:val="22"/>
        </w:rPr>
        <w:t>个章节和参考文献，</w:t>
      </w:r>
      <w:r w:rsidR="00AB1EA8">
        <w:rPr>
          <w:rFonts w:eastAsia="仿宋_GB2312" w:hint="eastAsia"/>
          <w:sz w:val="32"/>
          <w:szCs w:val="22"/>
        </w:rPr>
        <w:t>五</w:t>
      </w:r>
      <w:r w:rsidRPr="0005219F">
        <w:rPr>
          <w:rFonts w:eastAsia="仿宋_GB2312"/>
          <w:sz w:val="32"/>
          <w:szCs w:val="22"/>
        </w:rPr>
        <w:t>章节分别为</w:t>
      </w:r>
      <w:r w:rsidR="00AB1EA8" w:rsidRPr="00AB1EA8">
        <w:rPr>
          <w:rFonts w:eastAsia="仿宋_GB2312" w:hint="eastAsia"/>
          <w:sz w:val="32"/>
          <w:szCs w:val="22"/>
        </w:rPr>
        <w:t>背景和目的</w:t>
      </w:r>
      <w:r w:rsidR="00AB1EA8">
        <w:rPr>
          <w:rFonts w:eastAsia="仿宋_GB2312" w:hint="eastAsia"/>
          <w:sz w:val="32"/>
          <w:szCs w:val="22"/>
        </w:rPr>
        <w:t>、</w:t>
      </w:r>
      <w:r w:rsidR="00E42571">
        <w:rPr>
          <w:rFonts w:eastAsia="仿宋_GB2312" w:hint="eastAsia"/>
          <w:sz w:val="32"/>
          <w:szCs w:val="22"/>
        </w:rPr>
        <w:t>适用范围</w:t>
      </w:r>
      <w:r w:rsidRPr="0005219F">
        <w:rPr>
          <w:rFonts w:eastAsia="仿宋_GB2312"/>
          <w:sz w:val="32"/>
          <w:szCs w:val="22"/>
        </w:rPr>
        <w:t>、</w:t>
      </w:r>
      <w:r w:rsidR="00AB1EA8" w:rsidRPr="00AB1EA8">
        <w:rPr>
          <w:rFonts w:eastAsia="仿宋_GB2312" w:hint="eastAsia"/>
          <w:sz w:val="32"/>
          <w:szCs w:val="22"/>
        </w:rPr>
        <w:t>组方合理性的整体考虑</w:t>
      </w:r>
      <w:r w:rsidR="00AB1EA8">
        <w:rPr>
          <w:rFonts w:eastAsia="仿宋_GB2312" w:hint="eastAsia"/>
          <w:sz w:val="32"/>
          <w:szCs w:val="22"/>
        </w:rPr>
        <w:t>、</w:t>
      </w:r>
      <w:r w:rsidR="00A270DF" w:rsidRPr="00A270DF">
        <w:rPr>
          <w:rFonts w:eastAsia="仿宋_GB2312" w:hint="eastAsia"/>
          <w:sz w:val="32"/>
          <w:szCs w:val="22"/>
        </w:rPr>
        <w:t>临床证据的整体考虑</w:t>
      </w:r>
      <w:r w:rsidRPr="0005219F">
        <w:rPr>
          <w:rFonts w:eastAsia="仿宋_GB2312"/>
          <w:sz w:val="32"/>
          <w:szCs w:val="22"/>
        </w:rPr>
        <w:t>、</w:t>
      </w:r>
      <w:r w:rsidR="00A270DF" w:rsidRPr="00A270DF">
        <w:rPr>
          <w:rFonts w:eastAsia="仿宋_GB2312" w:hint="eastAsia"/>
          <w:sz w:val="32"/>
          <w:szCs w:val="22"/>
        </w:rPr>
        <w:t>临床试验设计的考虑</w:t>
      </w:r>
      <w:r w:rsidRPr="0005219F">
        <w:rPr>
          <w:rFonts w:eastAsia="仿宋_GB2312"/>
          <w:sz w:val="32"/>
          <w:szCs w:val="22"/>
        </w:rPr>
        <w:t>。主要内容包括：</w:t>
      </w:r>
    </w:p>
    <w:p w:rsidR="00E42571" w:rsidRDefault="00E42571" w:rsidP="00E42571">
      <w:pPr>
        <w:snapToGrid w:val="0"/>
        <w:spacing w:line="360" w:lineRule="auto"/>
        <w:ind w:firstLineChars="200" w:firstLine="640"/>
        <w:rPr>
          <w:rFonts w:ascii="仿宋_GB2312" w:eastAsia="仿宋_GB2312" w:cs="仿宋_GB2312"/>
          <w:color w:val="000000"/>
          <w:kern w:val="0"/>
          <w:sz w:val="32"/>
          <w:szCs w:val="32"/>
        </w:rPr>
      </w:pPr>
      <w:r w:rsidRPr="00E42571">
        <w:rPr>
          <w:rFonts w:ascii="仿宋_GB2312" w:eastAsia="仿宋_GB2312" w:cs="仿宋_GB2312" w:hint="eastAsia"/>
          <w:color w:val="000000"/>
          <w:kern w:val="0"/>
          <w:sz w:val="32"/>
          <w:szCs w:val="32"/>
        </w:rPr>
        <w:t>第一节</w:t>
      </w:r>
      <w:r w:rsidR="00AB1EA8" w:rsidRPr="00AB1EA8">
        <w:rPr>
          <w:rFonts w:eastAsia="仿宋_GB2312" w:hint="eastAsia"/>
          <w:sz w:val="32"/>
          <w:szCs w:val="22"/>
        </w:rPr>
        <w:t>背景和目的</w:t>
      </w:r>
      <w:r w:rsidRPr="00E42571">
        <w:rPr>
          <w:rFonts w:ascii="仿宋_GB2312" w:eastAsia="仿宋_GB2312" w:cs="仿宋_GB2312" w:hint="eastAsia"/>
          <w:color w:val="000000"/>
          <w:kern w:val="0"/>
          <w:sz w:val="32"/>
          <w:szCs w:val="32"/>
        </w:rPr>
        <w:t>：主要阐述了</w:t>
      </w:r>
      <w:r w:rsidR="00421087">
        <w:rPr>
          <w:rFonts w:ascii="仿宋_GB2312" w:eastAsia="仿宋_GB2312" w:cs="仿宋_GB2312" w:hint="eastAsia"/>
          <w:color w:val="000000"/>
          <w:kern w:val="0"/>
          <w:sz w:val="32"/>
          <w:szCs w:val="32"/>
        </w:rPr>
        <w:t>复方药物</w:t>
      </w:r>
      <w:r w:rsidR="00421087">
        <w:rPr>
          <w:rFonts w:ascii="仿宋_GB2312" w:eastAsia="仿宋_GB2312" w:cs="仿宋_GB2312"/>
          <w:color w:val="000000"/>
          <w:kern w:val="0"/>
          <w:sz w:val="32"/>
          <w:szCs w:val="32"/>
        </w:rPr>
        <w:t>的定义</w:t>
      </w:r>
      <w:r w:rsidR="00975F58">
        <w:rPr>
          <w:rFonts w:ascii="仿宋_GB2312" w:eastAsia="仿宋_GB2312" w:cs="仿宋_GB2312" w:hint="eastAsia"/>
          <w:color w:val="000000"/>
          <w:kern w:val="0"/>
          <w:sz w:val="32"/>
          <w:szCs w:val="32"/>
        </w:rPr>
        <w:t>、其</w:t>
      </w:r>
      <w:r w:rsidR="00C156C9">
        <w:rPr>
          <w:rFonts w:ascii="仿宋_GB2312" w:eastAsia="仿宋_GB2312" w:cs="仿宋_GB2312" w:hint="eastAsia"/>
          <w:color w:val="000000"/>
          <w:kern w:val="0"/>
          <w:sz w:val="32"/>
          <w:szCs w:val="32"/>
        </w:rPr>
        <w:t>明显</w:t>
      </w:r>
      <w:r w:rsidR="00421087">
        <w:rPr>
          <w:rFonts w:ascii="仿宋_GB2312" w:eastAsia="仿宋_GB2312" w:cs="仿宋_GB2312"/>
          <w:color w:val="000000"/>
          <w:kern w:val="0"/>
          <w:sz w:val="32"/>
          <w:szCs w:val="32"/>
        </w:rPr>
        <w:t>临床优势</w:t>
      </w:r>
      <w:r w:rsidR="00975F58">
        <w:rPr>
          <w:rFonts w:ascii="仿宋_GB2312" w:eastAsia="仿宋_GB2312" w:cs="仿宋_GB2312" w:hint="eastAsia"/>
          <w:color w:val="000000"/>
          <w:kern w:val="0"/>
          <w:sz w:val="32"/>
          <w:szCs w:val="32"/>
        </w:rPr>
        <w:t>的</w:t>
      </w:r>
      <w:r w:rsidR="00975F58">
        <w:rPr>
          <w:rFonts w:ascii="仿宋_GB2312" w:eastAsia="仿宋_GB2312" w:cs="仿宋_GB2312"/>
          <w:color w:val="000000"/>
          <w:kern w:val="0"/>
          <w:sz w:val="32"/>
          <w:szCs w:val="32"/>
        </w:rPr>
        <w:t>解析，</w:t>
      </w:r>
      <w:r w:rsidR="00975F58">
        <w:rPr>
          <w:rFonts w:ascii="仿宋_GB2312" w:eastAsia="仿宋_GB2312" w:cs="仿宋_GB2312" w:hint="eastAsia"/>
          <w:color w:val="000000"/>
          <w:kern w:val="0"/>
          <w:sz w:val="32"/>
          <w:szCs w:val="32"/>
        </w:rPr>
        <w:t>以及</w:t>
      </w:r>
      <w:r w:rsidR="00975F58" w:rsidRPr="00E42571">
        <w:rPr>
          <w:rFonts w:ascii="仿宋_GB2312" w:eastAsia="仿宋_GB2312" w:cs="仿宋_GB2312" w:hint="eastAsia"/>
          <w:color w:val="000000"/>
          <w:kern w:val="0"/>
          <w:sz w:val="32"/>
          <w:szCs w:val="32"/>
        </w:rPr>
        <w:t>制定</w:t>
      </w:r>
      <w:r w:rsidRPr="00E42571">
        <w:rPr>
          <w:rFonts w:ascii="仿宋_GB2312" w:eastAsia="仿宋_GB2312" w:cs="仿宋_GB2312" w:hint="eastAsia"/>
          <w:color w:val="000000"/>
          <w:kern w:val="0"/>
          <w:sz w:val="32"/>
          <w:szCs w:val="32"/>
        </w:rPr>
        <w:t>本指导原则的目的。</w:t>
      </w:r>
    </w:p>
    <w:p w:rsidR="00992521" w:rsidRDefault="00E42571" w:rsidP="00992521">
      <w:pPr>
        <w:snapToGrid w:val="0"/>
        <w:spacing w:line="360" w:lineRule="auto"/>
        <w:ind w:firstLineChars="200" w:firstLine="640"/>
        <w:rPr>
          <w:rFonts w:eastAsia="仿宋_GB2312"/>
          <w:sz w:val="32"/>
          <w:szCs w:val="32"/>
        </w:rPr>
      </w:pPr>
      <w:r w:rsidRPr="00E42571">
        <w:rPr>
          <w:rFonts w:ascii="仿宋_GB2312" w:eastAsia="仿宋_GB2312" w:cs="仿宋_GB2312" w:hint="eastAsia"/>
          <w:color w:val="000000"/>
          <w:kern w:val="0"/>
          <w:sz w:val="32"/>
          <w:szCs w:val="32"/>
        </w:rPr>
        <w:t>第二节</w:t>
      </w:r>
      <w:r w:rsidR="00AB1EA8">
        <w:rPr>
          <w:rFonts w:eastAsia="仿宋_GB2312" w:hint="eastAsia"/>
          <w:sz w:val="32"/>
          <w:szCs w:val="22"/>
        </w:rPr>
        <w:t>适用范围</w:t>
      </w:r>
      <w:r w:rsidR="00AB1EA8" w:rsidRPr="00E42571">
        <w:rPr>
          <w:rFonts w:ascii="仿宋_GB2312" w:eastAsia="仿宋_GB2312" w:cs="仿宋_GB2312" w:hint="eastAsia"/>
          <w:color w:val="000000"/>
          <w:kern w:val="0"/>
          <w:sz w:val="32"/>
          <w:szCs w:val="32"/>
        </w:rPr>
        <w:t>：</w:t>
      </w:r>
      <w:r w:rsidR="006760D0" w:rsidRPr="00E42571">
        <w:rPr>
          <w:rFonts w:ascii="仿宋_GB2312" w:eastAsia="仿宋_GB2312" w:cs="仿宋_GB2312" w:hint="eastAsia"/>
          <w:color w:val="000000"/>
          <w:kern w:val="0"/>
          <w:sz w:val="32"/>
          <w:szCs w:val="32"/>
        </w:rPr>
        <w:t>主要阐述了本指导原则的适用范围。</w:t>
      </w:r>
      <w:r w:rsidR="006760D0" w:rsidRPr="00992F71">
        <w:rPr>
          <w:rFonts w:eastAsia="仿宋_GB2312" w:hint="eastAsia"/>
          <w:sz w:val="32"/>
          <w:szCs w:val="32"/>
        </w:rPr>
        <w:t>本</w:t>
      </w:r>
      <w:r w:rsidR="006760D0" w:rsidRPr="00992F71">
        <w:rPr>
          <w:rFonts w:eastAsia="仿宋_GB2312"/>
          <w:sz w:val="32"/>
          <w:szCs w:val="32"/>
        </w:rPr>
        <w:t>指导原则</w:t>
      </w:r>
      <w:r w:rsidR="006760D0" w:rsidRPr="00992F71">
        <w:rPr>
          <w:rFonts w:eastAsia="仿宋_GB2312" w:hint="eastAsia"/>
          <w:sz w:val="32"/>
          <w:szCs w:val="32"/>
        </w:rPr>
        <w:t>主要适用于化学药品，其一般原则也适用于治疗用生物制品。</w:t>
      </w:r>
      <w:r w:rsidR="006760D0" w:rsidRPr="00ED46CA">
        <w:rPr>
          <w:rFonts w:eastAsia="仿宋_GB2312" w:hint="eastAsia"/>
          <w:sz w:val="32"/>
          <w:szCs w:val="32"/>
        </w:rPr>
        <w:t>在体内分解为两种或以上活性成份的药物也</w:t>
      </w:r>
      <w:r w:rsidR="006760D0" w:rsidRPr="00ED46CA">
        <w:rPr>
          <w:rFonts w:eastAsia="仿宋_GB2312"/>
          <w:sz w:val="32"/>
          <w:szCs w:val="32"/>
        </w:rPr>
        <w:t>可</w:t>
      </w:r>
      <w:r w:rsidR="006760D0" w:rsidRPr="00ED46CA">
        <w:rPr>
          <w:rFonts w:eastAsia="仿宋_GB2312"/>
          <w:sz w:val="32"/>
          <w:szCs w:val="32"/>
        </w:rPr>
        <w:lastRenderedPageBreak/>
        <w:t>参考</w:t>
      </w:r>
      <w:r w:rsidR="006760D0" w:rsidRPr="00ED46CA">
        <w:rPr>
          <w:rFonts w:eastAsia="仿宋_GB2312" w:hint="eastAsia"/>
          <w:sz w:val="32"/>
          <w:szCs w:val="32"/>
        </w:rPr>
        <w:t>本</w:t>
      </w:r>
      <w:r w:rsidR="006760D0" w:rsidRPr="00ED46CA">
        <w:rPr>
          <w:rFonts w:eastAsia="仿宋_GB2312"/>
          <w:sz w:val="32"/>
          <w:szCs w:val="32"/>
        </w:rPr>
        <w:t>指导原则</w:t>
      </w:r>
      <w:r w:rsidR="006760D0" w:rsidRPr="00ED46CA">
        <w:rPr>
          <w:rFonts w:eastAsia="仿宋_GB2312" w:hint="eastAsia"/>
          <w:sz w:val="32"/>
          <w:szCs w:val="32"/>
        </w:rPr>
        <w:t>。</w:t>
      </w:r>
    </w:p>
    <w:p w:rsidR="00992521" w:rsidRPr="004C5B97" w:rsidRDefault="00E42571" w:rsidP="00361736">
      <w:pPr>
        <w:pStyle w:val="Style3"/>
        <w:spacing w:line="360" w:lineRule="auto"/>
        <w:ind w:firstLineChars="200" w:firstLine="640"/>
        <w:rPr>
          <w:rFonts w:eastAsia="仿宋_GB2312"/>
          <w:sz w:val="32"/>
          <w:szCs w:val="32"/>
        </w:rPr>
      </w:pPr>
      <w:r w:rsidRPr="00E42571">
        <w:rPr>
          <w:rFonts w:ascii="仿宋_GB2312" w:eastAsia="仿宋_GB2312" w:cs="仿宋_GB2312" w:hint="eastAsia"/>
          <w:color w:val="000000"/>
          <w:sz w:val="32"/>
          <w:szCs w:val="32"/>
        </w:rPr>
        <w:t>第三节</w:t>
      </w:r>
      <w:r w:rsidR="00AB1EA8" w:rsidRPr="00AB1EA8">
        <w:rPr>
          <w:rFonts w:ascii="仿宋_GB2312" w:eastAsia="仿宋_GB2312" w:cs="仿宋_GB2312" w:hint="eastAsia"/>
          <w:color w:val="000000"/>
          <w:sz w:val="32"/>
          <w:szCs w:val="32"/>
        </w:rPr>
        <w:t>组方合理性的整体考虑</w:t>
      </w:r>
      <w:r w:rsidRPr="00E42571">
        <w:rPr>
          <w:rFonts w:ascii="仿宋_GB2312" w:eastAsia="仿宋_GB2312" w:cs="仿宋_GB2312" w:hint="eastAsia"/>
          <w:color w:val="000000"/>
          <w:sz w:val="32"/>
          <w:szCs w:val="32"/>
        </w:rPr>
        <w:t>：</w:t>
      </w:r>
      <w:r w:rsidR="00992521">
        <w:rPr>
          <w:rFonts w:ascii="仿宋_GB2312" w:eastAsia="仿宋_GB2312" w:cs="仿宋_GB2312" w:hint="eastAsia"/>
          <w:color w:val="000000"/>
          <w:sz w:val="32"/>
          <w:szCs w:val="32"/>
        </w:rPr>
        <w:t>主要</w:t>
      </w:r>
      <w:r w:rsidR="00992521">
        <w:rPr>
          <w:rFonts w:ascii="仿宋_GB2312" w:eastAsia="仿宋_GB2312" w:cs="仿宋_GB2312"/>
          <w:color w:val="000000"/>
          <w:sz w:val="32"/>
          <w:szCs w:val="32"/>
        </w:rPr>
        <w:t>阐述</w:t>
      </w:r>
      <w:r w:rsidR="00992521">
        <w:rPr>
          <w:rFonts w:ascii="仿宋_GB2312" w:eastAsia="仿宋_GB2312" w:cs="仿宋_GB2312" w:hint="eastAsia"/>
          <w:color w:val="000000"/>
          <w:sz w:val="32"/>
          <w:szCs w:val="32"/>
        </w:rPr>
        <w:t>评估复方药物</w:t>
      </w:r>
      <w:r w:rsidR="00992521" w:rsidRPr="00AB1EA8">
        <w:rPr>
          <w:rFonts w:ascii="仿宋_GB2312" w:eastAsia="仿宋_GB2312" w:cs="仿宋_GB2312" w:hint="eastAsia"/>
          <w:color w:val="000000"/>
          <w:sz w:val="32"/>
          <w:szCs w:val="32"/>
        </w:rPr>
        <w:t>组方合理性的</w:t>
      </w:r>
      <w:r w:rsidR="00992521">
        <w:rPr>
          <w:rFonts w:ascii="仿宋_GB2312" w:eastAsia="仿宋_GB2312" w:cs="仿宋_GB2312" w:hint="eastAsia"/>
          <w:color w:val="000000"/>
          <w:sz w:val="32"/>
          <w:szCs w:val="32"/>
        </w:rPr>
        <w:t>考虑要点。</w:t>
      </w:r>
      <w:r w:rsidR="008B48CA">
        <w:rPr>
          <w:rFonts w:ascii="Times New Roman" w:eastAsia="仿宋_GB2312" w:hAnsi="Times New Roman" w:cs="Times New Roman" w:hint="eastAsia"/>
          <w:sz w:val="32"/>
          <w:szCs w:val="32"/>
        </w:rPr>
        <w:t>通常</w:t>
      </w:r>
      <w:r w:rsidR="008B48CA">
        <w:rPr>
          <w:rFonts w:ascii="Times New Roman" w:eastAsia="仿宋_GB2312" w:hAnsi="Times New Roman" w:cs="Times New Roman"/>
          <w:sz w:val="32"/>
          <w:szCs w:val="32"/>
        </w:rPr>
        <w:t>，</w:t>
      </w:r>
      <w:r w:rsidR="008B48CA" w:rsidRPr="00427498">
        <w:rPr>
          <w:rFonts w:ascii="Times New Roman" w:eastAsia="仿宋_GB2312" w:hAnsi="Times New Roman" w:cs="Times New Roman" w:hint="eastAsia"/>
          <w:color w:val="000000"/>
          <w:sz w:val="32"/>
          <w:szCs w:val="32"/>
        </w:rPr>
        <w:t>组成复方药物的单药为已知活性</w:t>
      </w:r>
      <w:r w:rsidR="008B48CA" w:rsidRPr="00427498">
        <w:rPr>
          <w:rFonts w:ascii="Times New Roman" w:eastAsia="仿宋_GB2312" w:hAnsi="Times New Roman" w:cs="Times New Roman"/>
          <w:color w:val="000000"/>
          <w:sz w:val="32"/>
          <w:szCs w:val="32"/>
        </w:rPr>
        <w:t>成份</w:t>
      </w:r>
      <w:r w:rsidR="008B48CA" w:rsidRPr="00427498">
        <w:rPr>
          <w:rFonts w:ascii="Times New Roman" w:eastAsia="仿宋_GB2312" w:hAnsi="Times New Roman" w:cs="Times New Roman" w:hint="eastAsia"/>
          <w:color w:val="000000"/>
          <w:sz w:val="32"/>
          <w:szCs w:val="32"/>
        </w:rPr>
        <w:t>，</w:t>
      </w:r>
      <w:r w:rsidR="00361736" w:rsidRPr="00361736">
        <w:rPr>
          <w:rFonts w:ascii="Times New Roman" w:eastAsia="仿宋_GB2312" w:hAnsi="Times New Roman" w:cs="Times New Roman" w:hint="eastAsia"/>
          <w:color w:val="000000"/>
          <w:sz w:val="32"/>
          <w:szCs w:val="32"/>
        </w:rPr>
        <w:t>应有充分的临床试验数据证实各单药的有效性和安全性，且各单药应是相同作用机制药物中基于临床试验和</w:t>
      </w:r>
      <w:r w:rsidR="00361736" w:rsidRPr="00361736">
        <w:rPr>
          <w:rFonts w:ascii="Times New Roman" w:eastAsia="仿宋_GB2312" w:hAnsi="Times New Roman" w:cs="Times New Roman" w:hint="eastAsia"/>
          <w:color w:val="000000"/>
          <w:sz w:val="32"/>
          <w:szCs w:val="32"/>
        </w:rPr>
        <w:t>/</w:t>
      </w:r>
      <w:r w:rsidR="00361736" w:rsidRPr="00361736">
        <w:rPr>
          <w:rFonts w:ascii="Times New Roman" w:eastAsia="仿宋_GB2312" w:hAnsi="Times New Roman" w:cs="Times New Roman" w:hint="eastAsia"/>
          <w:color w:val="000000"/>
          <w:sz w:val="32"/>
          <w:szCs w:val="32"/>
        </w:rPr>
        <w:t>或临床实践应用中广泛确认的主流药物。</w:t>
      </w:r>
      <w:r w:rsidR="00992521" w:rsidRPr="001845AF">
        <w:rPr>
          <w:rFonts w:ascii="Times New Roman" w:eastAsia="仿宋_GB2312" w:hAnsi="Times New Roman" w:cs="Times New Roman" w:hint="eastAsia"/>
          <w:sz w:val="32"/>
          <w:szCs w:val="32"/>
        </w:rPr>
        <w:t>各活性</w:t>
      </w:r>
      <w:r w:rsidR="00992521">
        <w:rPr>
          <w:rFonts w:ascii="Times New Roman" w:eastAsia="仿宋_GB2312" w:hAnsi="Times New Roman" w:cs="Times New Roman" w:hint="eastAsia"/>
          <w:sz w:val="32"/>
          <w:szCs w:val="32"/>
        </w:rPr>
        <w:t>成份</w:t>
      </w:r>
      <w:r w:rsidR="00992521" w:rsidRPr="001845AF">
        <w:rPr>
          <w:rFonts w:ascii="Times New Roman" w:eastAsia="仿宋_GB2312" w:hAnsi="Times New Roman" w:cs="Times New Roman" w:hint="eastAsia"/>
          <w:sz w:val="32"/>
          <w:szCs w:val="32"/>
        </w:rPr>
        <w:t>对疗效和</w:t>
      </w:r>
      <w:r w:rsidR="00992521" w:rsidRPr="001845AF">
        <w:rPr>
          <w:rFonts w:ascii="Times New Roman" w:eastAsia="仿宋_GB2312" w:hAnsi="Times New Roman" w:cs="Times New Roman" w:hint="eastAsia"/>
          <w:sz w:val="32"/>
          <w:szCs w:val="32"/>
        </w:rPr>
        <w:t>/</w:t>
      </w:r>
      <w:r w:rsidR="00992521" w:rsidRPr="001845AF">
        <w:rPr>
          <w:rFonts w:ascii="Times New Roman" w:eastAsia="仿宋_GB2312" w:hAnsi="Times New Roman" w:cs="Times New Roman" w:hint="eastAsia"/>
          <w:sz w:val="32"/>
          <w:szCs w:val="32"/>
        </w:rPr>
        <w:t>或安全性</w:t>
      </w:r>
      <w:r w:rsidR="008B48CA">
        <w:rPr>
          <w:rFonts w:ascii="Times New Roman" w:eastAsia="仿宋_GB2312" w:hAnsi="Times New Roman" w:cs="Times New Roman" w:hint="eastAsia"/>
          <w:sz w:val="32"/>
          <w:szCs w:val="32"/>
        </w:rPr>
        <w:t>均</w:t>
      </w:r>
      <w:r w:rsidR="00992521" w:rsidRPr="001845AF">
        <w:rPr>
          <w:rFonts w:ascii="Times New Roman" w:eastAsia="仿宋_GB2312" w:hAnsi="Times New Roman" w:cs="Times New Roman" w:hint="eastAsia"/>
          <w:sz w:val="32"/>
          <w:szCs w:val="32"/>
        </w:rPr>
        <w:t>具有一定</w:t>
      </w:r>
      <w:r w:rsidR="00992521" w:rsidRPr="001845AF">
        <w:rPr>
          <w:rFonts w:ascii="Times New Roman" w:eastAsia="仿宋_GB2312" w:hAnsi="Times New Roman" w:cs="Times New Roman"/>
          <w:sz w:val="32"/>
          <w:szCs w:val="32"/>
        </w:rPr>
        <w:t>的</w:t>
      </w:r>
      <w:r w:rsidR="00992521" w:rsidRPr="001845AF">
        <w:rPr>
          <w:rFonts w:ascii="Times New Roman" w:eastAsia="仿宋_GB2312" w:hAnsi="Times New Roman" w:cs="Times New Roman" w:hint="eastAsia"/>
          <w:sz w:val="32"/>
          <w:szCs w:val="32"/>
        </w:rPr>
        <w:t>贡献</w:t>
      </w:r>
      <w:r w:rsidR="00992521" w:rsidRPr="00BB5DD5">
        <w:rPr>
          <w:rFonts w:ascii="Times New Roman" w:eastAsia="仿宋_GB2312" w:hAnsi="Times New Roman" w:cs="Times New Roman"/>
          <w:sz w:val="32"/>
          <w:szCs w:val="32"/>
        </w:rPr>
        <w:t>。</w:t>
      </w:r>
      <w:r w:rsidR="00C156C9" w:rsidRPr="008C63E1">
        <w:rPr>
          <w:rFonts w:ascii="Times New Roman" w:eastAsia="仿宋_GB2312" w:hAnsi="Times New Roman" w:cs="Times New Roman" w:hint="eastAsia"/>
          <w:sz w:val="32"/>
          <w:szCs w:val="32"/>
        </w:rPr>
        <w:t>论证组方</w:t>
      </w:r>
      <w:r w:rsidR="00C156C9" w:rsidRPr="008C63E1">
        <w:rPr>
          <w:rFonts w:ascii="Times New Roman" w:eastAsia="仿宋_GB2312" w:hAnsi="Times New Roman" w:cs="Times New Roman"/>
          <w:sz w:val="32"/>
          <w:szCs w:val="32"/>
        </w:rPr>
        <w:t>合理性</w:t>
      </w:r>
      <w:r w:rsidR="00C156C9">
        <w:rPr>
          <w:rFonts w:ascii="Times New Roman" w:eastAsia="仿宋_GB2312" w:hAnsi="Times New Roman" w:cs="Times New Roman" w:hint="eastAsia"/>
          <w:sz w:val="32"/>
          <w:szCs w:val="32"/>
        </w:rPr>
        <w:t>应</w:t>
      </w:r>
      <w:r w:rsidR="00604A83" w:rsidRPr="008C63E1">
        <w:rPr>
          <w:rFonts w:ascii="Times New Roman" w:eastAsia="仿宋_GB2312" w:hAnsi="Times New Roman" w:cs="Times New Roman"/>
          <w:sz w:val="32"/>
          <w:szCs w:val="32"/>
        </w:rPr>
        <w:t>从</w:t>
      </w:r>
      <w:r w:rsidR="00604A83">
        <w:rPr>
          <w:rFonts w:ascii="Times New Roman" w:eastAsia="仿宋_GB2312" w:hAnsi="Times New Roman" w:cs="Times New Roman" w:hint="eastAsia"/>
          <w:sz w:val="32"/>
          <w:szCs w:val="32"/>
        </w:rPr>
        <w:t>各单药</w:t>
      </w:r>
      <w:r w:rsidR="00604A83">
        <w:rPr>
          <w:rFonts w:ascii="Times New Roman" w:eastAsia="仿宋_GB2312" w:hAnsi="Times New Roman" w:cs="Times New Roman"/>
          <w:sz w:val="32"/>
          <w:szCs w:val="32"/>
        </w:rPr>
        <w:t>的</w:t>
      </w:r>
      <w:r w:rsidR="00604A83" w:rsidRPr="008C63E1">
        <w:rPr>
          <w:rFonts w:ascii="Times New Roman" w:eastAsia="仿宋_GB2312" w:hAnsi="Times New Roman" w:cs="Times New Roman"/>
          <w:sz w:val="32"/>
          <w:szCs w:val="32"/>
        </w:rPr>
        <w:t>作用机制</w:t>
      </w:r>
      <w:r w:rsidR="00604A83" w:rsidRPr="008C63E1">
        <w:rPr>
          <w:rFonts w:ascii="Times New Roman" w:eastAsia="仿宋_GB2312" w:hAnsi="Times New Roman" w:cs="Times New Roman" w:hint="eastAsia"/>
          <w:sz w:val="32"/>
          <w:szCs w:val="32"/>
        </w:rPr>
        <w:t>、</w:t>
      </w:r>
      <w:r w:rsidR="00604A83" w:rsidRPr="008C63E1">
        <w:rPr>
          <w:rFonts w:ascii="Times New Roman" w:eastAsia="仿宋_GB2312" w:hAnsi="Times New Roman" w:cs="Times New Roman"/>
          <w:sz w:val="32"/>
          <w:szCs w:val="32"/>
        </w:rPr>
        <w:t>药物相互作用</w:t>
      </w:r>
      <w:r w:rsidR="00604A83">
        <w:rPr>
          <w:rFonts w:ascii="Times New Roman" w:eastAsia="仿宋_GB2312" w:hAnsi="Times New Roman" w:cs="Times New Roman" w:hint="eastAsia"/>
          <w:sz w:val="32"/>
          <w:szCs w:val="32"/>
        </w:rPr>
        <w:t>、</w:t>
      </w:r>
      <w:r w:rsidR="00604A83" w:rsidRPr="006253EC">
        <w:rPr>
          <w:rFonts w:ascii="Times New Roman" w:eastAsia="仿宋_GB2312" w:hAnsi="Times New Roman" w:cs="Times New Roman" w:hint="eastAsia"/>
          <w:sz w:val="32"/>
          <w:szCs w:val="32"/>
        </w:rPr>
        <w:t>给药方案</w:t>
      </w:r>
      <w:r w:rsidR="00604A83" w:rsidRPr="008C63E1">
        <w:rPr>
          <w:rFonts w:ascii="Times New Roman" w:eastAsia="仿宋_GB2312" w:hAnsi="Times New Roman" w:cs="Times New Roman"/>
          <w:sz w:val="32"/>
          <w:szCs w:val="32"/>
        </w:rPr>
        <w:t>等</w:t>
      </w:r>
      <w:r w:rsidR="00C156C9">
        <w:rPr>
          <w:rFonts w:ascii="Times New Roman" w:eastAsia="仿宋_GB2312" w:hAnsi="Times New Roman" w:cs="Times New Roman" w:hint="eastAsia"/>
          <w:sz w:val="32"/>
          <w:szCs w:val="32"/>
        </w:rPr>
        <w:t>方面</w:t>
      </w:r>
      <w:r w:rsidR="00604A83">
        <w:rPr>
          <w:rFonts w:ascii="Times New Roman" w:eastAsia="仿宋_GB2312" w:hAnsi="Times New Roman" w:cs="Times New Roman" w:hint="eastAsia"/>
          <w:sz w:val="32"/>
          <w:szCs w:val="32"/>
        </w:rPr>
        <w:t>综合</w:t>
      </w:r>
      <w:r w:rsidR="00C156C9">
        <w:rPr>
          <w:rFonts w:ascii="Times New Roman" w:eastAsia="仿宋_GB2312" w:hAnsi="Times New Roman" w:cs="Times New Roman" w:hint="eastAsia"/>
          <w:sz w:val="32"/>
          <w:szCs w:val="32"/>
        </w:rPr>
        <w:t>考虑</w:t>
      </w:r>
      <w:r w:rsidR="00604A83">
        <w:rPr>
          <w:rFonts w:ascii="Times New Roman" w:eastAsia="仿宋_GB2312" w:hAnsi="Times New Roman" w:cs="Times New Roman" w:hint="eastAsia"/>
          <w:sz w:val="32"/>
          <w:szCs w:val="32"/>
        </w:rPr>
        <w:t>。</w:t>
      </w:r>
      <w:r w:rsidR="00137D71">
        <w:rPr>
          <w:rFonts w:ascii="Times New Roman" w:eastAsia="仿宋_GB2312" w:hAnsi="Times New Roman" w:cs="Times New Roman" w:hint="eastAsia"/>
          <w:sz w:val="32"/>
          <w:szCs w:val="32"/>
        </w:rPr>
        <w:t>并</w:t>
      </w:r>
      <w:r w:rsidR="009E4DA5">
        <w:rPr>
          <w:rFonts w:ascii="Times New Roman" w:eastAsia="仿宋_GB2312" w:hAnsi="Times New Roman" w:cs="Times New Roman"/>
          <w:sz w:val="32"/>
          <w:szCs w:val="32"/>
        </w:rPr>
        <w:t>说明</w:t>
      </w:r>
      <w:r w:rsidR="009E4DA5">
        <w:rPr>
          <w:rFonts w:ascii="Times New Roman" w:eastAsia="仿宋_GB2312" w:hAnsi="Times New Roman" w:cs="Times New Roman" w:hint="eastAsia"/>
          <w:sz w:val="32"/>
          <w:szCs w:val="32"/>
        </w:rPr>
        <w:t>了</w:t>
      </w:r>
      <w:r w:rsidR="009E4DA5">
        <w:rPr>
          <w:rFonts w:ascii="Times New Roman" w:eastAsia="仿宋_GB2312" w:hAnsi="Times New Roman" w:cs="Times New Roman"/>
          <w:sz w:val="32"/>
          <w:szCs w:val="32"/>
        </w:rPr>
        <w:t>不鼓励</w:t>
      </w:r>
      <w:r w:rsidR="009E4DA5" w:rsidRPr="004C5B97">
        <w:rPr>
          <w:rFonts w:ascii="Times New Roman" w:eastAsia="仿宋_GB2312" w:hAnsi="Times New Roman" w:cs="Times New Roman" w:hint="eastAsia"/>
          <w:sz w:val="32"/>
          <w:szCs w:val="32"/>
        </w:rPr>
        <w:t>开发</w:t>
      </w:r>
      <w:r w:rsidR="009E4DA5">
        <w:rPr>
          <w:rFonts w:ascii="Times New Roman" w:eastAsia="仿宋_GB2312" w:hAnsi="Times New Roman" w:cs="Times New Roman" w:hint="eastAsia"/>
          <w:sz w:val="32"/>
          <w:szCs w:val="32"/>
        </w:rPr>
        <w:t>的</w:t>
      </w:r>
      <w:r w:rsidR="009E4DA5">
        <w:rPr>
          <w:rFonts w:ascii="Times New Roman" w:eastAsia="仿宋_GB2312" w:hAnsi="Times New Roman" w:cs="Times New Roman"/>
          <w:sz w:val="32"/>
          <w:szCs w:val="32"/>
        </w:rPr>
        <w:t>具体</w:t>
      </w:r>
      <w:r w:rsidR="009E4DA5">
        <w:rPr>
          <w:rFonts w:ascii="Times New Roman" w:eastAsia="仿宋_GB2312" w:hAnsi="Times New Roman" w:cs="Times New Roman" w:hint="eastAsia"/>
          <w:sz w:val="32"/>
          <w:szCs w:val="32"/>
        </w:rPr>
        <w:t>情形</w:t>
      </w:r>
      <w:r w:rsidR="009E4DA5">
        <w:rPr>
          <w:rFonts w:ascii="Times New Roman" w:eastAsia="仿宋_GB2312" w:hAnsi="Times New Roman" w:cs="Times New Roman"/>
          <w:sz w:val="32"/>
          <w:szCs w:val="32"/>
        </w:rPr>
        <w:t>。</w:t>
      </w:r>
      <w:r w:rsidR="00C156C9">
        <w:rPr>
          <w:rFonts w:eastAsia="仿宋_GB2312" w:hint="eastAsia"/>
          <w:sz w:val="32"/>
          <w:szCs w:val="32"/>
        </w:rPr>
        <w:t xml:space="preserve"> </w:t>
      </w:r>
    </w:p>
    <w:p w:rsidR="00604A83" w:rsidRDefault="00E42571" w:rsidP="00992521">
      <w:pPr>
        <w:pStyle w:val="Style3"/>
        <w:spacing w:line="360" w:lineRule="auto"/>
        <w:ind w:firstLineChars="200" w:firstLine="640"/>
        <w:rPr>
          <w:rFonts w:ascii="仿宋_GB2312" w:eastAsia="仿宋_GB2312" w:cs="仿宋_GB2312"/>
          <w:color w:val="000000"/>
          <w:sz w:val="32"/>
          <w:szCs w:val="32"/>
        </w:rPr>
      </w:pPr>
      <w:r w:rsidRPr="00E42571">
        <w:rPr>
          <w:rFonts w:ascii="仿宋_GB2312" w:eastAsia="仿宋_GB2312" w:cs="仿宋_GB2312" w:hint="eastAsia"/>
          <w:color w:val="000000"/>
          <w:sz w:val="32"/>
          <w:szCs w:val="32"/>
        </w:rPr>
        <w:t>第四节</w:t>
      </w:r>
      <w:r w:rsidR="00A270DF" w:rsidRPr="00A270DF">
        <w:rPr>
          <w:rFonts w:ascii="仿宋_GB2312" w:eastAsia="仿宋_GB2312" w:cs="仿宋_GB2312" w:hint="eastAsia"/>
          <w:color w:val="000000"/>
          <w:sz w:val="32"/>
          <w:szCs w:val="32"/>
        </w:rPr>
        <w:t>临床证据的整体考虑</w:t>
      </w:r>
      <w:r w:rsidRPr="00E42571">
        <w:rPr>
          <w:rFonts w:ascii="仿宋_GB2312" w:eastAsia="仿宋_GB2312" w:cs="仿宋_GB2312" w:hint="eastAsia"/>
          <w:color w:val="000000"/>
          <w:sz w:val="32"/>
          <w:szCs w:val="32"/>
        </w:rPr>
        <w:t>：</w:t>
      </w:r>
    </w:p>
    <w:p w:rsidR="00A270DF" w:rsidRDefault="00A270DF" w:rsidP="00A270DF">
      <w:pPr>
        <w:pStyle w:val="Style3"/>
        <w:spacing w:line="360" w:lineRule="auto"/>
        <w:ind w:firstLineChars="200" w:firstLine="640"/>
        <w:rPr>
          <w:rFonts w:ascii="Times New Roman" w:eastAsia="仿宋_GB2312" w:hAnsi="Times New Roman" w:cs="Times New Roman"/>
          <w:sz w:val="32"/>
          <w:szCs w:val="32"/>
        </w:rPr>
      </w:pPr>
      <w:r>
        <w:rPr>
          <w:rFonts w:ascii="仿宋_GB2312" w:eastAsia="仿宋_GB2312" w:cs="仿宋_GB2312" w:hint="eastAsia"/>
          <w:color w:val="000000"/>
          <w:sz w:val="32"/>
          <w:szCs w:val="32"/>
        </w:rPr>
        <w:t>主要</w:t>
      </w:r>
      <w:r>
        <w:rPr>
          <w:rFonts w:ascii="仿宋_GB2312" w:eastAsia="仿宋_GB2312" w:cs="仿宋_GB2312"/>
          <w:color w:val="000000"/>
          <w:sz w:val="32"/>
          <w:szCs w:val="32"/>
        </w:rPr>
        <w:t>阐述</w:t>
      </w:r>
      <w:r>
        <w:rPr>
          <w:rFonts w:ascii="仿宋_GB2312" w:eastAsia="仿宋_GB2312" w:cs="仿宋_GB2312" w:hint="eastAsia"/>
          <w:color w:val="000000"/>
          <w:sz w:val="32"/>
          <w:szCs w:val="32"/>
        </w:rPr>
        <w:t>复方</w:t>
      </w:r>
      <w:r>
        <w:rPr>
          <w:rFonts w:ascii="仿宋_GB2312" w:eastAsia="仿宋_GB2312" w:cs="仿宋_GB2312"/>
          <w:color w:val="000000"/>
          <w:sz w:val="32"/>
          <w:szCs w:val="32"/>
        </w:rPr>
        <w:t>药物</w:t>
      </w:r>
      <w:r w:rsidRPr="000C28E3">
        <w:rPr>
          <w:rFonts w:ascii="Times New Roman" w:eastAsia="仿宋_GB2312" w:hAnsi="Times New Roman" w:cs="Times New Roman" w:hint="eastAsia"/>
          <w:sz w:val="32"/>
          <w:szCs w:val="32"/>
        </w:rPr>
        <w:t>申报上市时</w:t>
      </w:r>
      <w:r>
        <w:rPr>
          <w:rFonts w:ascii="Times New Roman" w:eastAsia="仿宋_GB2312" w:hAnsi="Times New Roman" w:cs="Times New Roman" w:hint="eastAsia"/>
          <w:sz w:val="32"/>
          <w:szCs w:val="32"/>
        </w:rPr>
        <w:t>需提供</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整体</w:t>
      </w:r>
      <w:r w:rsidRPr="00055EE7">
        <w:rPr>
          <w:rFonts w:ascii="Times New Roman" w:eastAsia="仿宋_GB2312" w:hAnsi="Times New Roman" w:cs="Times New Roman" w:hint="eastAsia"/>
          <w:sz w:val="32"/>
          <w:szCs w:val="32"/>
        </w:rPr>
        <w:t>临床证据</w:t>
      </w:r>
      <w:r>
        <w:rPr>
          <w:rFonts w:ascii="Times New Roman" w:eastAsia="仿宋_GB2312" w:hAnsi="Times New Roman" w:cs="Times New Roman" w:hint="eastAsia"/>
          <w:sz w:val="32"/>
          <w:szCs w:val="32"/>
        </w:rPr>
        <w:t>，</w:t>
      </w:r>
      <w:r w:rsidRPr="006253EC">
        <w:rPr>
          <w:rFonts w:ascii="Times New Roman" w:eastAsia="仿宋_GB2312" w:hAnsi="Times New Roman" w:cs="Times New Roman" w:hint="eastAsia"/>
          <w:sz w:val="32"/>
          <w:szCs w:val="32"/>
        </w:rPr>
        <w:t>包括</w:t>
      </w:r>
      <w:r>
        <w:rPr>
          <w:rFonts w:ascii="Times New Roman" w:eastAsia="仿宋_GB2312" w:hAnsi="Times New Roman" w:cs="Times New Roman" w:hint="eastAsia"/>
          <w:sz w:val="32"/>
          <w:szCs w:val="32"/>
        </w:rPr>
        <w:t>：复方药物</w:t>
      </w:r>
      <w:r w:rsidRPr="006253EC">
        <w:rPr>
          <w:rFonts w:ascii="Times New Roman" w:eastAsia="仿宋_GB2312" w:hAnsi="Times New Roman" w:cs="Times New Roman" w:hint="eastAsia"/>
          <w:sz w:val="32"/>
          <w:szCs w:val="32"/>
        </w:rPr>
        <w:t>的临床试验和</w:t>
      </w:r>
      <w:r w:rsidRPr="006253EC">
        <w:rPr>
          <w:rFonts w:ascii="Times New Roman" w:eastAsia="仿宋_GB2312" w:hAnsi="Times New Roman" w:cs="Times New Roman" w:hint="eastAsia"/>
          <w:sz w:val="32"/>
          <w:szCs w:val="32"/>
        </w:rPr>
        <w:t>/</w:t>
      </w:r>
      <w:r w:rsidRPr="006253EC">
        <w:rPr>
          <w:rFonts w:ascii="Times New Roman" w:eastAsia="仿宋_GB2312" w:hAnsi="Times New Roman" w:cs="Times New Roman" w:hint="eastAsia"/>
          <w:sz w:val="32"/>
          <w:szCs w:val="32"/>
        </w:rPr>
        <w:t>或</w:t>
      </w:r>
      <w:r>
        <w:rPr>
          <w:rFonts w:ascii="Times New Roman" w:eastAsia="仿宋_GB2312" w:hAnsi="Times New Roman" w:cs="Times New Roman" w:hint="eastAsia"/>
          <w:sz w:val="32"/>
          <w:szCs w:val="32"/>
        </w:rPr>
        <w:t>联合用药</w:t>
      </w:r>
      <w:r w:rsidRPr="006253EC">
        <w:rPr>
          <w:rFonts w:ascii="Times New Roman" w:eastAsia="仿宋_GB2312" w:hAnsi="Times New Roman" w:cs="Times New Roman" w:hint="eastAsia"/>
          <w:sz w:val="32"/>
          <w:szCs w:val="32"/>
        </w:rPr>
        <w:t>的临</w:t>
      </w:r>
      <w:r w:rsidRPr="008C23FE">
        <w:rPr>
          <w:rFonts w:ascii="Times New Roman" w:eastAsia="仿宋_GB2312" w:hAnsi="Times New Roman" w:cs="Times New Roman" w:hint="eastAsia"/>
          <w:sz w:val="32"/>
          <w:szCs w:val="32"/>
        </w:rPr>
        <w:t>床试验、或临床</w:t>
      </w:r>
      <w:r w:rsidRPr="006253EC">
        <w:rPr>
          <w:rFonts w:ascii="Times New Roman" w:eastAsia="仿宋_GB2312" w:hAnsi="Times New Roman" w:cs="Times New Roman" w:hint="eastAsia"/>
          <w:sz w:val="32"/>
          <w:szCs w:val="32"/>
        </w:rPr>
        <w:t>试验结合文献数据</w:t>
      </w:r>
      <w:r>
        <w:rPr>
          <w:rFonts w:ascii="Times New Roman" w:eastAsia="仿宋_GB2312" w:hAnsi="Times New Roman" w:cs="Times New Roman" w:hint="eastAsia"/>
          <w:sz w:val="32"/>
          <w:szCs w:val="32"/>
        </w:rPr>
        <w:t>等</w:t>
      </w:r>
      <w:r w:rsidRPr="006253EC">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提供</w:t>
      </w:r>
      <w:r>
        <w:rPr>
          <w:rFonts w:ascii="Times New Roman" w:eastAsia="仿宋_GB2312" w:hAnsi="Times New Roman" w:cs="Times New Roman"/>
          <w:sz w:val="32"/>
          <w:szCs w:val="32"/>
        </w:rPr>
        <w:t>的数据</w:t>
      </w:r>
      <w:r>
        <w:rPr>
          <w:rFonts w:ascii="Times New Roman" w:eastAsia="仿宋_GB2312" w:hAnsi="Times New Roman" w:cs="Times New Roman" w:hint="eastAsia"/>
          <w:sz w:val="32"/>
          <w:szCs w:val="32"/>
        </w:rPr>
        <w:t>需证明</w:t>
      </w:r>
      <w:r>
        <w:rPr>
          <w:rFonts w:ascii="Times New Roman" w:eastAsia="仿宋_GB2312" w:hAnsi="Times New Roman" w:cs="Times New Roman"/>
          <w:sz w:val="32"/>
          <w:szCs w:val="32"/>
        </w:rPr>
        <w:t>复方药物</w:t>
      </w:r>
      <w:r>
        <w:rPr>
          <w:rFonts w:ascii="Times New Roman" w:eastAsia="仿宋_GB2312" w:hAnsi="Times New Roman" w:cs="Times New Roman" w:hint="eastAsia"/>
          <w:sz w:val="32"/>
          <w:szCs w:val="32"/>
        </w:rPr>
        <w:t>中各</w:t>
      </w:r>
      <w:r w:rsidRPr="008C63E1">
        <w:rPr>
          <w:rFonts w:ascii="Times New Roman" w:eastAsia="仿宋_GB2312" w:hAnsi="Times New Roman" w:cs="Times New Roman" w:hint="eastAsia"/>
          <w:sz w:val="32"/>
          <w:szCs w:val="32"/>
        </w:rPr>
        <w:t>活性</w:t>
      </w:r>
      <w:r>
        <w:rPr>
          <w:rFonts w:ascii="Times New Roman" w:eastAsia="仿宋_GB2312" w:hAnsi="Times New Roman" w:cs="Times New Roman" w:hint="eastAsia"/>
          <w:sz w:val="32"/>
          <w:szCs w:val="32"/>
        </w:rPr>
        <w:t>成份</w:t>
      </w:r>
      <w:r w:rsidRPr="008C63E1">
        <w:rPr>
          <w:rFonts w:ascii="Times New Roman" w:eastAsia="仿宋_GB2312" w:hAnsi="Times New Roman" w:cs="Times New Roman" w:hint="eastAsia"/>
          <w:sz w:val="32"/>
          <w:szCs w:val="32"/>
        </w:rPr>
        <w:t>对疗效和</w:t>
      </w:r>
      <w:r w:rsidRPr="008C63E1">
        <w:rPr>
          <w:rFonts w:ascii="Times New Roman" w:eastAsia="仿宋_GB2312" w:hAnsi="Times New Roman" w:cs="Times New Roman" w:hint="eastAsia"/>
          <w:sz w:val="32"/>
          <w:szCs w:val="32"/>
        </w:rPr>
        <w:t>/</w:t>
      </w:r>
      <w:r w:rsidRPr="008C63E1">
        <w:rPr>
          <w:rFonts w:ascii="Times New Roman" w:eastAsia="仿宋_GB2312" w:hAnsi="Times New Roman" w:cs="Times New Roman" w:hint="eastAsia"/>
          <w:sz w:val="32"/>
          <w:szCs w:val="32"/>
        </w:rPr>
        <w:t>或安全性的贡献</w:t>
      </w:r>
      <w:r>
        <w:rPr>
          <w:rFonts w:ascii="Times New Roman" w:eastAsia="仿宋_GB2312" w:hAnsi="Times New Roman" w:cs="Times New Roman" w:hint="eastAsia"/>
          <w:sz w:val="32"/>
          <w:szCs w:val="32"/>
        </w:rPr>
        <w:t>、以及确证复方药物</w:t>
      </w:r>
      <w:r w:rsidRPr="006253EC">
        <w:rPr>
          <w:rFonts w:ascii="Times New Roman" w:eastAsia="仿宋_GB2312" w:hAnsi="Times New Roman" w:cs="Times New Roman" w:hint="eastAsia"/>
          <w:sz w:val="32"/>
          <w:szCs w:val="32"/>
        </w:rPr>
        <w:t>治疗相对于单药治疗的</w:t>
      </w:r>
      <w:r>
        <w:rPr>
          <w:rFonts w:ascii="Times New Roman" w:eastAsia="仿宋_GB2312" w:hAnsi="Times New Roman" w:cs="Times New Roman" w:hint="eastAsia"/>
          <w:sz w:val="32"/>
          <w:szCs w:val="32"/>
        </w:rPr>
        <w:t>明显</w:t>
      </w:r>
      <w:r w:rsidRPr="006253EC">
        <w:rPr>
          <w:rFonts w:ascii="Times New Roman" w:eastAsia="仿宋_GB2312" w:hAnsi="Times New Roman" w:cs="Times New Roman" w:hint="eastAsia"/>
          <w:sz w:val="32"/>
          <w:szCs w:val="32"/>
        </w:rPr>
        <w:t>临床优势</w:t>
      </w:r>
      <w:r>
        <w:rPr>
          <w:rFonts w:ascii="Times New Roman" w:eastAsia="仿宋_GB2312" w:hAnsi="Times New Roman" w:cs="Times New Roman" w:hint="eastAsia"/>
          <w:sz w:val="32"/>
          <w:szCs w:val="32"/>
        </w:rPr>
        <w:t>。</w:t>
      </w:r>
    </w:p>
    <w:p w:rsidR="0087030E" w:rsidRPr="0087030E" w:rsidRDefault="00E42571" w:rsidP="00E920C5">
      <w:pPr>
        <w:pStyle w:val="Style3"/>
        <w:spacing w:line="360" w:lineRule="auto"/>
        <w:ind w:firstLineChars="200" w:firstLine="640"/>
        <w:rPr>
          <w:rFonts w:eastAsia="仿宋"/>
          <w:color w:val="000000"/>
          <w:sz w:val="32"/>
          <w:szCs w:val="32"/>
        </w:rPr>
      </w:pPr>
      <w:r w:rsidRPr="00E42571">
        <w:rPr>
          <w:rFonts w:ascii="仿宋_GB2312" w:eastAsia="仿宋_GB2312" w:cs="仿宋_GB2312" w:hint="eastAsia"/>
          <w:color w:val="000000"/>
          <w:sz w:val="32"/>
          <w:szCs w:val="32"/>
        </w:rPr>
        <w:t>第五节</w:t>
      </w:r>
      <w:r w:rsidR="00A270DF" w:rsidRPr="00A270DF">
        <w:rPr>
          <w:rFonts w:eastAsia="仿宋_GB2312" w:hint="eastAsia"/>
          <w:sz w:val="32"/>
          <w:szCs w:val="22"/>
        </w:rPr>
        <w:t>临床试验设计的考虑</w:t>
      </w:r>
      <w:r w:rsidRPr="00E42571">
        <w:rPr>
          <w:rFonts w:ascii="仿宋_GB2312" w:eastAsia="仿宋_GB2312" w:cs="仿宋_GB2312" w:hint="eastAsia"/>
          <w:color w:val="000000"/>
          <w:sz w:val="32"/>
          <w:szCs w:val="32"/>
        </w:rPr>
        <w:t>：</w:t>
      </w:r>
      <w:r w:rsidR="00A270DF" w:rsidRPr="00822CFF">
        <w:rPr>
          <w:rFonts w:eastAsia="仿宋_GB2312" w:hint="eastAsia"/>
          <w:sz w:val="32"/>
          <w:szCs w:val="32"/>
        </w:rPr>
        <w:t>复方药物临床试验的设计取决于复方的立题和治疗目标</w:t>
      </w:r>
      <w:r w:rsidR="00A270DF">
        <w:rPr>
          <w:rFonts w:eastAsia="仿宋_GB2312" w:hint="eastAsia"/>
          <w:sz w:val="32"/>
          <w:szCs w:val="32"/>
        </w:rPr>
        <w:t>。针对</w:t>
      </w:r>
      <w:r w:rsidR="00E920C5">
        <w:rPr>
          <w:rFonts w:eastAsia="仿宋_GB2312" w:hint="eastAsia"/>
          <w:sz w:val="32"/>
          <w:szCs w:val="32"/>
        </w:rPr>
        <w:t>用于</w:t>
      </w:r>
      <w:r w:rsidR="00C156C9">
        <w:rPr>
          <w:rFonts w:eastAsia="仿宋_GB2312" w:hint="eastAsia"/>
          <w:sz w:val="32"/>
          <w:szCs w:val="32"/>
        </w:rPr>
        <w:t>加载</w:t>
      </w:r>
      <w:r w:rsidR="00E920C5">
        <w:rPr>
          <w:rFonts w:eastAsia="仿宋_GB2312"/>
          <w:sz w:val="32"/>
          <w:szCs w:val="32"/>
        </w:rPr>
        <w:t>治疗、初始治疗</w:t>
      </w:r>
      <w:r w:rsidR="00E920C5">
        <w:rPr>
          <w:rFonts w:eastAsia="仿宋_GB2312" w:hint="eastAsia"/>
          <w:sz w:val="32"/>
          <w:szCs w:val="32"/>
        </w:rPr>
        <w:t>的</w:t>
      </w:r>
      <w:r w:rsidR="00E920C5">
        <w:rPr>
          <w:rFonts w:eastAsia="仿宋_GB2312"/>
          <w:sz w:val="32"/>
          <w:szCs w:val="32"/>
        </w:rPr>
        <w:t>不同类型</w:t>
      </w:r>
      <w:r w:rsidR="00A270DF">
        <w:rPr>
          <w:rFonts w:eastAsia="仿宋_GB2312"/>
          <w:sz w:val="32"/>
          <w:szCs w:val="32"/>
        </w:rPr>
        <w:t>复方，分别阐述了</w:t>
      </w:r>
      <w:r w:rsidR="00A270DF">
        <w:rPr>
          <w:rFonts w:eastAsia="仿宋_GB2312" w:hint="eastAsia"/>
          <w:sz w:val="32"/>
          <w:szCs w:val="32"/>
        </w:rPr>
        <w:t>临床</w:t>
      </w:r>
      <w:r w:rsidR="00A270DF">
        <w:rPr>
          <w:rFonts w:eastAsia="仿宋_GB2312"/>
          <w:sz w:val="32"/>
          <w:szCs w:val="32"/>
        </w:rPr>
        <w:t>试验</w:t>
      </w:r>
      <w:r w:rsidR="00A270DF">
        <w:rPr>
          <w:rFonts w:eastAsia="仿宋_GB2312" w:hint="eastAsia"/>
          <w:sz w:val="32"/>
          <w:szCs w:val="32"/>
        </w:rPr>
        <w:t>设计</w:t>
      </w:r>
      <w:r w:rsidR="00A270DF">
        <w:rPr>
          <w:rFonts w:eastAsia="仿宋_GB2312"/>
          <w:sz w:val="32"/>
          <w:szCs w:val="32"/>
        </w:rPr>
        <w:t>的具体</w:t>
      </w:r>
      <w:r w:rsidR="00A270DF">
        <w:rPr>
          <w:rFonts w:eastAsia="仿宋_GB2312" w:hint="eastAsia"/>
          <w:sz w:val="32"/>
          <w:szCs w:val="32"/>
        </w:rPr>
        <w:t>考虑和</w:t>
      </w:r>
      <w:r w:rsidR="0087030E" w:rsidRPr="00015525">
        <w:rPr>
          <w:rFonts w:eastAsia="仿宋_GB2312"/>
          <w:sz w:val="32"/>
          <w:szCs w:val="32"/>
        </w:rPr>
        <w:t>重点关注内容</w:t>
      </w:r>
      <w:r w:rsidR="00A270DF">
        <w:rPr>
          <w:rFonts w:eastAsia="仿宋_GB2312"/>
          <w:sz w:val="32"/>
          <w:szCs w:val="32"/>
        </w:rPr>
        <w:t>。</w:t>
      </w:r>
      <w:r w:rsidR="0087030E">
        <w:rPr>
          <w:rFonts w:eastAsia="仿宋_GB2312" w:hint="eastAsia"/>
          <w:sz w:val="32"/>
          <w:szCs w:val="32"/>
        </w:rPr>
        <w:t>针对用于初始治疗适应症的复方药物中各活性成份都具有疗效的情形，确证性临床试验通常需要证明复方药物在预先设定时间点上的临床结局具有优效性，且安全性特征可接受。</w:t>
      </w:r>
    </w:p>
    <w:sectPr w:rsidR="0087030E" w:rsidRPr="008703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F5E" w:rsidRDefault="00326F5E" w:rsidP="00694E07">
      <w:r>
        <w:separator/>
      </w:r>
    </w:p>
  </w:endnote>
  <w:endnote w:type="continuationSeparator" w:id="0">
    <w:p w:rsidR="00326F5E" w:rsidRDefault="00326F5E" w:rsidP="00694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F5E" w:rsidRDefault="00326F5E" w:rsidP="00694E07">
      <w:r>
        <w:separator/>
      </w:r>
    </w:p>
  </w:footnote>
  <w:footnote w:type="continuationSeparator" w:id="0">
    <w:p w:rsidR="00326F5E" w:rsidRDefault="00326F5E" w:rsidP="00694E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7483"/>
    <w:multiLevelType w:val="singleLevel"/>
    <w:tmpl w:val="17957483"/>
    <w:lvl w:ilvl="0">
      <w:start w:val="2"/>
      <w:numFmt w:val="chineseCounting"/>
      <w:lvlText w:val="%1、"/>
      <w:lvlJc w:val="left"/>
      <w:pPr>
        <w:ind w:left="420" w:hanging="420"/>
      </w:pPr>
      <w:rPr>
        <w:rFonts w:hint="eastAsia"/>
      </w:rPr>
    </w:lvl>
  </w:abstractNum>
  <w:abstractNum w:abstractNumId="1" w15:restartNumberingAfterBreak="0">
    <w:nsid w:val="44E42C48"/>
    <w:multiLevelType w:val="hybridMultilevel"/>
    <w:tmpl w:val="402E90E8"/>
    <w:lvl w:ilvl="0" w:tplc="B96CF046">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34"/>
    <w:rsid w:val="0000618F"/>
    <w:rsid w:val="000124C5"/>
    <w:rsid w:val="00013AE4"/>
    <w:rsid w:val="00015525"/>
    <w:rsid w:val="00021CFA"/>
    <w:rsid w:val="000256A4"/>
    <w:rsid w:val="00033843"/>
    <w:rsid w:val="00037269"/>
    <w:rsid w:val="00040BD3"/>
    <w:rsid w:val="000420DB"/>
    <w:rsid w:val="0005069B"/>
    <w:rsid w:val="0005219F"/>
    <w:rsid w:val="000545F8"/>
    <w:rsid w:val="00054DF6"/>
    <w:rsid w:val="000554FE"/>
    <w:rsid w:val="00074315"/>
    <w:rsid w:val="000814CF"/>
    <w:rsid w:val="00091163"/>
    <w:rsid w:val="0009142A"/>
    <w:rsid w:val="00091927"/>
    <w:rsid w:val="00095F20"/>
    <w:rsid w:val="00097397"/>
    <w:rsid w:val="000A7C0E"/>
    <w:rsid w:val="000B1CA7"/>
    <w:rsid w:val="000B6599"/>
    <w:rsid w:val="000D4CEF"/>
    <w:rsid w:val="000E0D54"/>
    <w:rsid w:val="000E18ED"/>
    <w:rsid w:val="000F7CAE"/>
    <w:rsid w:val="000F7D98"/>
    <w:rsid w:val="0010683B"/>
    <w:rsid w:val="00110A84"/>
    <w:rsid w:val="00113D6B"/>
    <w:rsid w:val="00115B63"/>
    <w:rsid w:val="00120CA9"/>
    <w:rsid w:val="001268A4"/>
    <w:rsid w:val="00136C12"/>
    <w:rsid w:val="00137D71"/>
    <w:rsid w:val="0015355E"/>
    <w:rsid w:val="00157E16"/>
    <w:rsid w:val="00157FA2"/>
    <w:rsid w:val="00157FC6"/>
    <w:rsid w:val="00160834"/>
    <w:rsid w:val="00160B61"/>
    <w:rsid w:val="001738AE"/>
    <w:rsid w:val="0017390E"/>
    <w:rsid w:val="00175744"/>
    <w:rsid w:val="001759F7"/>
    <w:rsid w:val="00176942"/>
    <w:rsid w:val="001830CB"/>
    <w:rsid w:val="001928B1"/>
    <w:rsid w:val="00193482"/>
    <w:rsid w:val="00197492"/>
    <w:rsid w:val="001B34FD"/>
    <w:rsid w:val="001C4D28"/>
    <w:rsid w:val="001C7FE5"/>
    <w:rsid w:val="001D1D9B"/>
    <w:rsid w:val="001D3CE7"/>
    <w:rsid w:val="001D43FB"/>
    <w:rsid w:val="001E4C79"/>
    <w:rsid w:val="001E63DC"/>
    <w:rsid w:val="001F1B27"/>
    <w:rsid w:val="001F3B74"/>
    <w:rsid w:val="001F56F0"/>
    <w:rsid w:val="0021053D"/>
    <w:rsid w:val="00215E23"/>
    <w:rsid w:val="0022695A"/>
    <w:rsid w:val="00241612"/>
    <w:rsid w:val="00254391"/>
    <w:rsid w:val="00271C50"/>
    <w:rsid w:val="00274DB7"/>
    <w:rsid w:val="0027769E"/>
    <w:rsid w:val="002A46F6"/>
    <w:rsid w:val="002B4251"/>
    <w:rsid w:val="002C449C"/>
    <w:rsid w:val="002C6C98"/>
    <w:rsid w:val="002C7320"/>
    <w:rsid w:val="002D7DCB"/>
    <w:rsid w:val="002E41AB"/>
    <w:rsid w:val="002E46A6"/>
    <w:rsid w:val="0030523E"/>
    <w:rsid w:val="00305E68"/>
    <w:rsid w:val="0031478C"/>
    <w:rsid w:val="003201CD"/>
    <w:rsid w:val="00322C35"/>
    <w:rsid w:val="00326F5E"/>
    <w:rsid w:val="00327DB3"/>
    <w:rsid w:val="003314A9"/>
    <w:rsid w:val="003333CD"/>
    <w:rsid w:val="003439CD"/>
    <w:rsid w:val="00361736"/>
    <w:rsid w:val="00371A58"/>
    <w:rsid w:val="00375954"/>
    <w:rsid w:val="003767DA"/>
    <w:rsid w:val="003824A5"/>
    <w:rsid w:val="00385B44"/>
    <w:rsid w:val="00390C58"/>
    <w:rsid w:val="003917DC"/>
    <w:rsid w:val="00391EC9"/>
    <w:rsid w:val="00394F32"/>
    <w:rsid w:val="003A14D5"/>
    <w:rsid w:val="003A7424"/>
    <w:rsid w:val="003C34F4"/>
    <w:rsid w:val="003C623A"/>
    <w:rsid w:val="003D2C04"/>
    <w:rsid w:val="003D7DB2"/>
    <w:rsid w:val="003F587D"/>
    <w:rsid w:val="00416727"/>
    <w:rsid w:val="00421087"/>
    <w:rsid w:val="0044424B"/>
    <w:rsid w:val="00451688"/>
    <w:rsid w:val="004802A5"/>
    <w:rsid w:val="004843D3"/>
    <w:rsid w:val="004A1424"/>
    <w:rsid w:val="004A4789"/>
    <w:rsid w:val="004B0F6D"/>
    <w:rsid w:val="004B7A6F"/>
    <w:rsid w:val="004C5312"/>
    <w:rsid w:val="004D0A51"/>
    <w:rsid w:val="004D11F3"/>
    <w:rsid w:val="004D1A24"/>
    <w:rsid w:val="004D58F8"/>
    <w:rsid w:val="004E38B1"/>
    <w:rsid w:val="00506778"/>
    <w:rsid w:val="005107FD"/>
    <w:rsid w:val="005119E9"/>
    <w:rsid w:val="00531B9F"/>
    <w:rsid w:val="0053311F"/>
    <w:rsid w:val="00534168"/>
    <w:rsid w:val="005347A7"/>
    <w:rsid w:val="00542636"/>
    <w:rsid w:val="00542AB8"/>
    <w:rsid w:val="00550705"/>
    <w:rsid w:val="005560A8"/>
    <w:rsid w:val="00564616"/>
    <w:rsid w:val="00591236"/>
    <w:rsid w:val="00594DDD"/>
    <w:rsid w:val="005A317F"/>
    <w:rsid w:val="005B5C17"/>
    <w:rsid w:val="005C288E"/>
    <w:rsid w:val="005D065C"/>
    <w:rsid w:val="005D54DF"/>
    <w:rsid w:val="005D69E8"/>
    <w:rsid w:val="005E054D"/>
    <w:rsid w:val="005E1158"/>
    <w:rsid w:val="00604A83"/>
    <w:rsid w:val="00610594"/>
    <w:rsid w:val="00614BD8"/>
    <w:rsid w:val="006253E0"/>
    <w:rsid w:val="00637F7C"/>
    <w:rsid w:val="00641468"/>
    <w:rsid w:val="00641AEF"/>
    <w:rsid w:val="00655A61"/>
    <w:rsid w:val="00657755"/>
    <w:rsid w:val="0066308F"/>
    <w:rsid w:val="00663725"/>
    <w:rsid w:val="00674A5D"/>
    <w:rsid w:val="006760D0"/>
    <w:rsid w:val="00682324"/>
    <w:rsid w:val="006831D5"/>
    <w:rsid w:val="00694E07"/>
    <w:rsid w:val="0069540E"/>
    <w:rsid w:val="0069604A"/>
    <w:rsid w:val="006A1615"/>
    <w:rsid w:val="006B4A72"/>
    <w:rsid w:val="006C4E10"/>
    <w:rsid w:val="006F70D3"/>
    <w:rsid w:val="00710887"/>
    <w:rsid w:val="00727728"/>
    <w:rsid w:val="0073313B"/>
    <w:rsid w:val="00736B69"/>
    <w:rsid w:val="007656D4"/>
    <w:rsid w:val="007666E6"/>
    <w:rsid w:val="007724E0"/>
    <w:rsid w:val="00772DE3"/>
    <w:rsid w:val="007808A1"/>
    <w:rsid w:val="00783F73"/>
    <w:rsid w:val="0078457D"/>
    <w:rsid w:val="007914D3"/>
    <w:rsid w:val="00792945"/>
    <w:rsid w:val="007A12B9"/>
    <w:rsid w:val="007A5247"/>
    <w:rsid w:val="007A7D0F"/>
    <w:rsid w:val="007B1545"/>
    <w:rsid w:val="007B5F7D"/>
    <w:rsid w:val="007C0F59"/>
    <w:rsid w:val="007C1385"/>
    <w:rsid w:val="007E6D6A"/>
    <w:rsid w:val="007E7744"/>
    <w:rsid w:val="007E7F47"/>
    <w:rsid w:val="007F3BF5"/>
    <w:rsid w:val="007F4645"/>
    <w:rsid w:val="0080099A"/>
    <w:rsid w:val="00814872"/>
    <w:rsid w:val="008171BC"/>
    <w:rsid w:val="008222CA"/>
    <w:rsid w:val="0083268E"/>
    <w:rsid w:val="008540F2"/>
    <w:rsid w:val="00854BC8"/>
    <w:rsid w:val="0086546F"/>
    <w:rsid w:val="0087030E"/>
    <w:rsid w:val="008742F5"/>
    <w:rsid w:val="008813E9"/>
    <w:rsid w:val="0088169A"/>
    <w:rsid w:val="008856A8"/>
    <w:rsid w:val="0088587F"/>
    <w:rsid w:val="0089236A"/>
    <w:rsid w:val="008A03BA"/>
    <w:rsid w:val="008A2B90"/>
    <w:rsid w:val="008B48CA"/>
    <w:rsid w:val="008C5429"/>
    <w:rsid w:val="008D5234"/>
    <w:rsid w:val="008E09E3"/>
    <w:rsid w:val="008F28C7"/>
    <w:rsid w:val="008F4D13"/>
    <w:rsid w:val="00901B5D"/>
    <w:rsid w:val="00905BFC"/>
    <w:rsid w:val="00913F47"/>
    <w:rsid w:val="009163A1"/>
    <w:rsid w:val="0092551D"/>
    <w:rsid w:val="009271FF"/>
    <w:rsid w:val="0094042D"/>
    <w:rsid w:val="009457AB"/>
    <w:rsid w:val="009462A1"/>
    <w:rsid w:val="00950B29"/>
    <w:rsid w:val="00950B39"/>
    <w:rsid w:val="00966CA5"/>
    <w:rsid w:val="00972C2A"/>
    <w:rsid w:val="00975F58"/>
    <w:rsid w:val="0098179A"/>
    <w:rsid w:val="00992521"/>
    <w:rsid w:val="009A1F2F"/>
    <w:rsid w:val="009A3E3A"/>
    <w:rsid w:val="009A4B2D"/>
    <w:rsid w:val="009A646B"/>
    <w:rsid w:val="009B703A"/>
    <w:rsid w:val="009C1E24"/>
    <w:rsid w:val="009C20E2"/>
    <w:rsid w:val="009C7EFF"/>
    <w:rsid w:val="009D00FE"/>
    <w:rsid w:val="009D56A1"/>
    <w:rsid w:val="009D5F05"/>
    <w:rsid w:val="009D652C"/>
    <w:rsid w:val="009E4DA5"/>
    <w:rsid w:val="009E5331"/>
    <w:rsid w:val="009F5384"/>
    <w:rsid w:val="00A01F00"/>
    <w:rsid w:val="00A04C51"/>
    <w:rsid w:val="00A16C4C"/>
    <w:rsid w:val="00A2012C"/>
    <w:rsid w:val="00A2111B"/>
    <w:rsid w:val="00A270DF"/>
    <w:rsid w:val="00A31B34"/>
    <w:rsid w:val="00A452E5"/>
    <w:rsid w:val="00A47675"/>
    <w:rsid w:val="00A512EA"/>
    <w:rsid w:val="00A53FA1"/>
    <w:rsid w:val="00A55B77"/>
    <w:rsid w:val="00A65DF8"/>
    <w:rsid w:val="00A7088C"/>
    <w:rsid w:val="00A726DD"/>
    <w:rsid w:val="00A868DF"/>
    <w:rsid w:val="00AA491A"/>
    <w:rsid w:val="00AB04D9"/>
    <w:rsid w:val="00AB053C"/>
    <w:rsid w:val="00AB1A6B"/>
    <w:rsid w:val="00AB1EA8"/>
    <w:rsid w:val="00AB45EA"/>
    <w:rsid w:val="00AB66F5"/>
    <w:rsid w:val="00AC2A40"/>
    <w:rsid w:val="00AC4250"/>
    <w:rsid w:val="00AC574A"/>
    <w:rsid w:val="00AD20B7"/>
    <w:rsid w:val="00AD3165"/>
    <w:rsid w:val="00AD69CE"/>
    <w:rsid w:val="00AD71B7"/>
    <w:rsid w:val="00AE1EFB"/>
    <w:rsid w:val="00AE3E89"/>
    <w:rsid w:val="00AF051D"/>
    <w:rsid w:val="00AF46EF"/>
    <w:rsid w:val="00B04FC5"/>
    <w:rsid w:val="00B41A6B"/>
    <w:rsid w:val="00B41C83"/>
    <w:rsid w:val="00B447A4"/>
    <w:rsid w:val="00B56A3B"/>
    <w:rsid w:val="00B6393D"/>
    <w:rsid w:val="00B73412"/>
    <w:rsid w:val="00B770CB"/>
    <w:rsid w:val="00B805D2"/>
    <w:rsid w:val="00B86116"/>
    <w:rsid w:val="00B946C8"/>
    <w:rsid w:val="00B95210"/>
    <w:rsid w:val="00BA022A"/>
    <w:rsid w:val="00BA10DB"/>
    <w:rsid w:val="00BA58C0"/>
    <w:rsid w:val="00BA77A3"/>
    <w:rsid w:val="00BB6F17"/>
    <w:rsid w:val="00BC075C"/>
    <w:rsid w:val="00BC1269"/>
    <w:rsid w:val="00BE4682"/>
    <w:rsid w:val="00BF19C0"/>
    <w:rsid w:val="00BF6350"/>
    <w:rsid w:val="00C11428"/>
    <w:rsid w:val="00C11A8B"/>
    <w:rsid w:val="00C138CB"/>
    <w:rsid w:val="00C146DB"/>
    <w:rsid w:val="00C156C9"/>
    <w:rsid w:val="00C23B59"/>
    <w:rsid w:val="00C50694"/>
    <w:rsid w:val="00C50F4C"/>
    <w:rsid w:val="00C6761E"/>
    <w:rsid w:val="00C83175"/>
    <w:rsid w:val="00C84854"/>
    <w:rsid w:val="00C8489B"/>
    <w:rsid w:val="00C86F8A"/>
    <w:rsid w:val="00C8790C"/>
    <w:rsid w:val="00C95EAC"/>
    <w:rsid w:val="00CA2BB4"/>
    <w:rsid w:val="00CA4BF8"/>
    <w:rsid w:val="00CA75F2"/>
    <w:rsid w:val="00CC106E"/>
    <w:rsid w:val="00CD02CA"/>
    <w:rsid w:val="00CD637E"/>
    <w:rsid w:val="00CF2F49"/>
    <w:rsid w:val="00CF305B"/>
    <w:rsid w:val="00D03433"/>
    <w:rsid w:val="00D04807"/>
    <w:rsid w:val="00D05CDB"/>
    <w:rsid w:val="00D10E72"/>
    <w:rsid w:val="00D10E92"/>
    <w:rsid w:val="00D13215"/>
    <w:rsid w:val="00D16F83"/>
    <w:rsid w:val="00D22703"/>
    <w:rsid w:val="00D22EED"/>
    <w:rsid w:val="00D230DC"/>
    <w:rsid w:val="00D24BC9"/>
    <w:rsid w:val="00D257AA"/>
    <w:rsid w:val="00D26DBC"/>
    <w:rsid w:val="00D519A2"/>
    <w:rsid w:val="00D568C4"/>
    <w:rsid w:val="00D837DF"/>
    <w:rsid w:val="00D86CBA"/>
    <w:rsid w:val="00D9024F"/>
    <w:rsid w:val="00D95CD2"/>
    <w:rsid w:val="00DA198D"/>
    <w:rsid w:val="00DA309E"/>
    <w:rsid w:val="00DB2E90"/>
    <w:rsid w:val="00DB79DA"/>
    <w:rsid w:val="00DD1AF0"/>
    <w:rsid w:val="00DF2830"/>
    <w:rsid w:val="00DF6FFF"/>
    <w:rsid w:val="00E01D6E"/>
    <w:rsid w:val="00E07CA9"/>
    <w:rsid w:val="00E12D40"/>
    <w:rsid w:val="00E151CF"/>
    <w:rsid w:val="00E21FC2"/>
    <w:rsid w:val="00E31B3E"/>
    <w:rsid w:val="00E42571"/>
    <w:rsid w:val="00E4797B"/>
    <w:rsid w:val="00E5399A"/>
    <w:rsid w:val="00E67083"/>
    <w:rsid w:val="00E8290E"/>
    <w:rsid w:val="00E846FE"/>
    <w:rsid w:val="00E86A48"/>
    <w:rsid w:val="00E920C5"/>
    <w:rsid w:val="00E94CA8"/>
    <w:rsid w:val="00EA2FD6"/>
    <w:rsid w:val="00EA7F49"/>
    <w:rsid w:val="00EB7117"/>
    <w:rsid w:val="00EC77A4"/>
    <w:rsid w:val="00ED0A92"/>
    <w:rsid w:val="00ED2236"/>
    <w:rsid w:val="00EE4707"/>
    <w:rsid w:val="00EF3938"/>
    <w:rsid w:val="00F0795B"/>
    <w:rsid w:val="00F16644"/>
    <w:rsid w:val="00F205A3"/>
    <w:rsid w:val="00F2066B"/>
    <w:rsid w:val="00F21D3F"/>
    <w:rsid w:val="00F30778"/>
    <w:rsid w:val="00F33AB8"/>
    <w:rsid w:val="00F33D9C"/>
    <w:rsid w:val="00F40FE5"/>
    <w:rsid w:val="00F428AF"/>
    <w:rsid w:val="00F4374A"/>
    <w:rsid w:val="00F44CBB"/>
    <w:rsid w:val="00F46E55"/>
    <w:rsid w:val="00F50E72"/>
    <w:rsid w:val="00F66CA8"/>
    <w:rsid w:val="00F72396"/>
    <w:rsid w:val="00F77F9A"/>
    <w:rsid w:val="00F835E0"/>
    <w:rsid w:val="00F83DDF"/>
    <w:rsid w:val="00F97830"/>
    <w:rsid w:val="00FB4095"/>
    <w:rsid w:val="00FB6681"/>
    <w:rsid w:val="00FC3A6A"/>
    <w:rsid w:val="00FD1DD5"/>
    <w:rsid w:val="00FD55ED"/>
    <w:rsid w:val="00FD7262"/>
    <w:rsid w:val="00FF7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D71E56-14E5-44B6-9F71-B6A28374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sz w:val="24"/>
        <w:szCs w:val="24"/>
        <w:u w:color="000000"/>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234"/>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1C50"/>
    <w:pPr>
      <w:ind w:leftChars="2500" w:left="100"/>
    </w:pPr>
  </w:style>
  <w:style w:type="character" w:customStyle="1" w:styleId="a4">
    <w:name w:val="日期 字符"/>
    <w:basedOn w:val="a0"/>
    <w:link w:val="a3"/>
    <w:uiPriority w:val="99"/>
    <w:semiHidden/>
    <w:rsid w:val="00271C50"/>
    <w:rPr>
      <w:rFonts w:ascii="Times New Roman" w:hAnsi="Times New Roman" w:cs="Times New Roman"/>
      <w:kern w:val="2"/>
      <w:sz w:val="21"/>
    </w:rPr>
  </w:style>
  <w:style w:type="paragraph" w:customStyle="1" w:styleId="Default">
    <w:name w:val="Default"/>
    <w:rsid w:val="00DB2E90"/>
    <w:pPr>
      <w:widowControl w:val="0"/>
      <w:autoSpaceDE w:val="0"/>
      <w:autoSpaceDN w:val="0"/>
      <w:adjustRightInd w:val="0"/>
    </w:pPr>
    <w:rPr>
      <w:rFonts w:ascii="仿宋_GB2312" w:eastAsia="仿宋_GB2312" w:cs="仿宋_GB2312"/>
      <w:color w:val="000000"/>
    </w:rPr>
  </w:style>
  <w:style w:type="paragraph" w:styleId="a5">
    <w:name w:val="header"/>
    <w:basedOn w:val="a"/>
    <w:link w:val="a6"/>
    <w:uiPriority w:val="99"/>
    <w:unhideWhenUsed/>
    <w:rsid w:val="00694E0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94E07"/>
    <w:rPr>
      <w:rFonts w:ascii="Times New Roman" w:hAnsi="Times New Roman" w:cs="Times New Roman"/>
      <w:kern w:val="2"/>
      <w:sz w:val="18"/>
      <w:szCs w:val="18"/>
    </w:rPr>
  </w:style>
  <w:style w:type="paragraph" w:styleId="a7">
    <w:name w:val="footer"/>
    <w:basedOn w:val="a"/>
    <w:link w:val="a8"/>
    <w:uiPriority w:val="99"/>
    <w:unhideWhenUsed/>
    <w:rsid w:val="00694E07"/>
    <w:pPr>
      <w:tabs>
        <w:tab w:val="center" w:pos="4153"/>
        <w:tab w:val="right" w:pos="8306"/>
      </w:tabs>
      <w:snapToGrid w:val="0"/>
      <w:jc w:val="left"/>
    </w:pPr>
    <w:rPr>
      <w:sz w:val="18"/>
      <w:szCs w:val="18"/>
    </w:rPr>
  </w:style>
  <w:style w:type="character" w:customStyle="1" w:styleId="a8">
    <w:name w:val="页脚 字符"/>
    <w:basedOn w:val="a0"/>
    <w:link w:val="a7"/>
    <w:uiPriority w:val="99"/>
    <w:rsid w:val="00694E07"/>
    <w:rPr>
      <w:rFonts w:ascii="Times New Roman" w:hAnsi="Times New Roman" w:cs="Times New Roman"/>
      <w:kern w:val="2"/>
      <w:sz w:val="18"/>
      <w:szCs w:val="18"/>
    </w:rPr>
  </w:style>
  <w:style w:type="paragraph" w:styleId="a9">
    <w:name w:val="Balloon Text"/>
    <w:basedOn w:val="a"/>
    <w:link w:val="aa"/>
    <w:uiPriority w:val="99"/>
    <w:semiHidden/>
    <w:unhideWhenUsed/>
    <w:rsid w:val="00694E07"/>
    <w:rPr>
      <w:sz w:val="18"/>
      <w:szCs w:val="18"/>
    </w:rPr>
  </w:style>
  <w:style w:type="character" w:customStyle="1" w:styleId="aa">
    <w:name w:val="批注框文本 字符"/>
    <w:basedOn w:val="a0"/>
    <w:link w:val="a9"/>
    <w:uiPriority w:val="99"/>
    <w:semiHidden/>
    <w:rsid w:val="00694E07"/>
    <w:rPr>
      <w:rFonts w:ascii="Times New Roman" w:hAnsi="Times New Roman" w:cs="Times New Roman"/>
      <w:kern w:val="2"/>
      <w:sz w:val="18"/>
      <w:szCs w:val="18"/>
    </w:rPr>
  </w:style>
  <w:style w:type="paragraph" w:styleId="ab">
    <w:name w:val="List Paragraph"/>
    <w:basedOn w:val="a"/>
    <w:uiPriority w:val="34"/>
    <w:qFormat/>
    <w:rsid w:val="00694E07"/>
    <w:pPr>
      <w:ind w:firstLineChars="200" w:firstLine="420"/>
    </w:pPr>
  </w:style>
  <w:style w:type="character" w:customStyle="1" w:styleId="FontStyle20">
    <w:name w:val="Font Style20"/>
    <w:rsid w:val="00371A58"/>
    <w:rPr>
      <w:rFonts w:ascii="Times New Roman" w:hAnsi="Times New Roman" w:cs="Times New Roman"/>
      <w:sz w:val="20"/>
      <w:szCs w:val="20"/>
    </w:rPr>
  </w:style>
  <w:style w:type="paragraph" w:customStyle="1" w:styleId="Style3">
    <w:name w:val="Style3"/>
    <w:basedOn w:val="a"/>
    <w:rsid w:val="009D00FE"/>
    <w:pPr>
      <w:autoSpaceDE w:val="0"/>
      <w:autoSpaceDN w:val="0"/>
      <w:adjustRightInd w:val="0"/>
      <w:spacing w:line="254" w:lineRule="exact"/>
    </w:pPr>
    <w:rPr>
      <w:rFonts w:ascii="Arial" w:hAnsi="Arial" w:cs="Arial"/>
      <w:snapToGrid w:val="0"/>
      <w:kern w:val="0"/>
      <w:sz w:val="24"/>
    </w:rPr>
  </w:style>
  <w:style w:type="paragraph" w:customStyle="1" w:styleId="Style12">
    <w:name w:val="Style12"/>
    <w:basedOn w:val="a"/>
    <w:rsid w:val="00992521"/>
    <w:pPr>
      <w:autoSpaceDE w:val="0"/>
      <w:autoSpaceDN w:val="0"/>
      <w:adjustRightInd w:val="0"/>
      <w:jc w:val="left"/>
    </w:pPr>
    <w:rPr>
      <w:rFonts w:ascii="Arial" w:hAnsi="Arial" w:cs="Arial"/>
      <w:snapToGrid w:val="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BE9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赵聪</dc:creator>
  <cp:keywords/>
  <dc:description/>
  <cp:lastModifiedBy>华尉利</cp:lastModifiedBy>
  <cp:revision>2</cp:revision>
  <dcterms:created xsi:type="dcterms:W3CDTF">2022-09-06T08:12:00Z</dcterms:created>
  <dcterms:modified xsi:type="dcterms:W3CDTF">2022-09-06T08:12:00Z</dcterms:modified>
</cp:coreProperties>
</file>