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line="600" w:lineRule="exact"/>
        <w:ind w:firstLine="0" w:firstLineChars="0"/>
        <w:rPr>
          <w:rFonts w:eastAsia="方正仿宋_GBK"/>
          <w:bCs/>
          <w:kern w:val="0"/>
          <w:szCs w:val="32"/>
        </w:rPr>
      </w:pPr>
      <w:r>
        <w:rPr>
          <w:rFonts w:hint="eastAsia" w:eastAsia="方正仿宋_GBK"/>
          <w:bCs/>
          <w:kern w:val="0"/>
          <w:szCs w:val="32"/>
        </w:rPr>
        <w:t>附件1</w:t>
      </w:r>
    </w:p>
    <w:p>
      <w:pPr>
        <w:spacing w:line="570" w:lineRule="exact"/>
        <w:ind w:left="320" w:leftChars="100" w:right="320" w:rightChars="100"/>
        <w:jc w:val="center"/>
        <w:rPr>
          <w:rFonts w:eastAsia="方正小标宋_GBK" w:cs="Courier New"/>
          <w:sz w:val="44"/>
          <w:szCs w:val="44"/>
        </w:rPr>
      </w:pPr>
    </w:p>
    <w:p>
      <w:pPr>
        <w:spacing w:line="570" w:lineRule="exact"/>
        <w:ind w:left="320" w:leftChars="100" w:right="320" w:rightChars="100"/>
        <w:jc w:val="center"/>
        <w:rPr>
          <w:rFonts w:eastAsia="方正小标宋_GBK" w:cs="Courier New"/>
          <w:sz w:val="44"/>
          <w:szCs w:val="44"/>
        </w:rPr>
      </w:pPr>
      <w:r>
        <w:rPr>
          <w:rFonts w:hint="eastAsia" w:eastAsia="方正小标宋_GBK" w:cs="Courier New"/>
          <w:sz w:val="44"/>
          <w:szCs w:val="44"/>
        </w:rPr>
        <w:t>生产企业挂网报价须知</w:t>
      </w:r>
    </w:p>
    <w:p>
      <w:pPr>
        <w:spacing w:line="570" w:lineRule="exact"/>
        <w:ind w:left="320" w:leftChars="100" w:right="320" w:rightChars="100"/>
        <w:jc w:val="center"/>
        <w:rPr>
          <w:rFonts w:eastAsia="方正仿宋_GBK" w:cs="Courier New"/>
          <w:sz w:val="44"/>
          <w:szCs w:val="44"/>
        </w:rPr>
      </w:pPr>
    </w:p>
    <w:p>
      <w:pPr>
        <w:pStyle w:val="20"/>
        <w:spacing w:line="600" w:lineRule="exact"/>
        <w:ind w:firstLine="640"/>
        <w:rPr>
          <w:rFonts w:eastAsia="方正仿宋_GBK"/>
          <w:bCs/>
          <w:kern w:val="0"/>
          <w:szCs w:val="32"/>
        </w:rPr>
      </w:pPr>
      <w:r>
        <w:rPr>
          <w:rFonts w:hint="eastAsia" w:eastAsia="方正仿宋_GBK"/>
          <w:bCs/>
          <w:kern w:val="0"/>
          <w:szCs w:val="32"/>
        </w:rPr>
        <w:t>集中带量采购、医保目录药品议价采购、国家谈判、定点生产（采购）等确定了采购价格的药品，生产企业应按要求及时以正式公布的价格信息申报挂网价。进入重庆交易采购的限价挂网药品，须遵守以下规则。</w:t>
      </w:r>
    </w:p>
    <w:p>
      <w:pPr>
        <w:pStyle w:val="20"/>
        <w:spacing w:line="600" w:lineRule="exact"/>
        <w:ind w:firstLine="640"/>
        <w:rPr>
          <w:rFonts w:eastAsia="方正楷体_GBK"/>
          <w:kern w:val="0"/>
          <w:szCs w:val="32"/>
        </w:rPr>
      </w:pPr>
      <w:r>
        <w:rPr>
          <w:rFonts w:hint="eastAsia" w:ascii="方正黑体_GBK" w:hAnsi="方正黑体_GBK" w:eastAsia="方正黑体_GBK" w:cs="方正黑体_GBK"/>
          <w:kern w:val="0"/>
          <w:szCs w:val="32"/>
        </w:rPr>
        <w:t>一、申报省级最低价格为挂网价格的情况</w:t>
      </w:r>
    </w:p>
    <w:p>
      <w:pPr>
        <w:pStyle w:val="20"/>
        <w:spacing w:line="600" w:lineRule="exact"/>
        <w:ind w:firstLine="640"/>
        <w:rPr>
          <w:rFonts w:eastAsia="方正仿宋_GBK"/>
          <w:bCs/>
          <w:kern w:val="0"/>
          <w:szCs w:val="32"/>
        </w:rPr>
      </w:pPr>
      <w:r>
        <w:rPr>
          <w:rFonts w:hint="eastAsia" w:eastAsia="方正仿宋_GBK"/>
          <w:bCs/>
          <w:kern w:val="0"/>
          <w:szCs w:val="32"/>
        </w:rPr>
        <w:t>生产企业应如实申报相同药品在</w:t>
      </w:r>
      <w:r>
        <w:rPr>
          <w:rFonts w:eastAsia="方正仿宋_GBK"/>
          <w:bCs/>
          <w:kern w:val="0"/>
          <w:szCs w:val="32"/>
        </w:rPr>
        <w:t>全国其他省</w:t>
      </w:r>
      <w:r>
        <w:rPr>
          <w:rFonts w:hint="eastAsia" w:eastAsia="方正仿宋_GBK"/>
          <w:bCs/>
          <w:kern w:val="0"/>
          <w:szCs w:val="32"/>
        </w:rPr>
        <w:t>级平台现执行的最低挂网</w:t>
      </w:r>
      <w:r>
        <w:rPr>
          <w:rFonts w:eastAsia="方正仿宋_GBK"/>
          <w:bCs/>
          <w:kern w:val="0"/>
          <w:szCs w:val="32"/>
        </w:rPr>
        <w:t>价格</w:t>
      </w:r>
      <w:r>
        <w:rPr>
          <w:rFonts w:hint="eastAsia" w:eastAsia="方正仿宋_GBK"/>
          <w:bCs/>
          <w:kern w:val="0"/>
          <w:szCs w:val="32"/>
        </w:rPr>
        <w:t>及相关挂网记录证明（基础输液按包材联动价格）。</w:t>
      </w:r>
      <w:r>
        <w:rPr>
          <w:rFonts w:eastAsia="方正仿宋_GBK"/>
          <w:bCs/>
          <w:kern w:val="0"/>
          <w:szCs w:val="32"/>
        </w:rPr>
        <w:t>同一省份有多个在执行价格的，以最低价为准。已撤销</w:t>
      </w:r>
      <w:r>
        <w:rPr>
          <w:rFonts w:hint="eastAsia" w:eastAsia="方正仿宋_GBK"/>
          <w:bCs/>
          <w:kern w:val="0"/>
          <w:szCs w:val="32"/>
        </w:rPr>
        <w:t>挂网或价格无效的</w:t>
      </w:r>
      <w:r>
        <w:rPr>
          <w:rFonts w:eastAsia="方正仿宋_GBK"/>
          <w:bCs/>
          <w:kern w:val="0"/>
          <w:szCs w:val="32"/>
        </w:rPr>
        <w:t>，</w:t>
      </w:r>
      <w:r>
        <w:rPr>
          <w:rFonts w:hint="eastAsia" w:eastAsia="方正仿宋_GBK"/>
          <w:bCs/>
          <w:kern w:val="0"/>
          <w:szCs w:val="32"/>
        </w:rPr>
        <w:t>生产企业须提供对应价格发布机构的证明材料，</w:t>
      </w:r>
      <w:r>
        <w:rPr>
          <w:rFonts w:eastAsia="方正仿宋_GBK"/>
          <w:bCs/>
          <w:kern w:val="0"/>
          <w:szCs w:val="32"/>
        </w:rPr>
        <w:t>经公示无异议后</w:t>
      </w:r>
      <w:r>
        <w:rPr>
          <w:rFonts w:hint="eastAsia" w:eastAsia="方正仿宋_GBK"/>
          <w:bCs/>
          <w:kern w:val="0"/>
          <w:szCs w:val="32"/>
        </w:rPr>
        <w:t>，</w:t>
      </w:r>
      <w:r>
        <w:rPr>
          <w:rFonts w:eastAsia="方正仿宋_GBK"/>
          <w:bCs/>
          <w:kern w:val="0"/>
          <w:szCs w:val="32"/>
        </w:rPr>
        <w:t>不纳入</w:t>
      </w:r>
      <w:r>
        <w:rPr>
          <w:rFonts w:hint="eastAsia" w:eastAsia="方正仿宋_GBK"/>
          <w:bCs/>
          <w:kern w:val="0"/>
          <w:szCs w:val="32"/>
        </w:rPr>
        <w:t>限价范围</w:t>
      </w:r>
      <w:r>
        <w:rPr>
          <w:rFonts w:eastAsia="方正仿宋_GBK"/>
          <w:bCs/>
          <w:kern w:val="0"/>
          <w:szCs w:val="32"/>
        </w:rPr>
        <w:t>。</w:t>
      </w:r>
      <w:r>
        <w:rPr>
          <w:rFonts w:hint="eastAsia" w:eastAsia="方正仿宋_GBK"/>
        </w:rPr>
        <w:t>全国其他</w:t>
      </w:r>
      <w:r>
        <w:rPr>
          <w:rFonts w:eastAsia="方正仿宋_GBK"/>
        </w:rPr>
        <w:t>省级采购平台现执行的最低挂网价，</w:t>
      </w:r>
      <w:r>
        <w:rPr>
          <w:rFonts w:hint="eastAsia" w:eastAsia="方正仿宋_GBK"/>
        </w:rPr>
        <w:t>不含国家和省级集中带量采购药品价格，不含全国其他</w:t>
      </w:r>
      <w:r>
        <w:rPr>
          <w:rFonts w:eastAsia="方正仿宋_GBK"/>
        </w:rPr>
        <w:t>省级采购平台</w:t>
      </w:r>
      <w:r>
        <w:rPr>
          <w:rFonts w:hint="eastAsia" w:eastAsia="方正仿宋_GBK"/>
        </w:rPr>
        <w:t>执行周期结束后未供货的价格及挂网后未供货的价格，不含福建、广东省级平台挂网价格。</w:t>
      </w:r>
    </w:p>
    <w:p>
      <w:pPr>
        <w:pStyle w:val="20"/>
        <w:spacing w:line="600" w:lineRule="exact"/>
        <w:ind w:firstLine="640"/>
        <w:rPr>
          <w:rFonts w:ascii="方正楷体_GBK" w:eastAsia="方正楷体_GBK"/>
          <w:bCs/>
          <w:kern w:val="0"/>
          <w:szCs w:val="32"/>
        </w:rPr>
      </w:pPr>
      <w:r>
        <w:rPr>
          <w:rFonts w:hint="eastAsia" w:ascii="方正楷体_GBK" w:eastAsia="方正楷体_GBK"/>
          <w:bCs/>
          <w:kern w:val="0"/>
          <w:szCs w:val="32"/>
        </w:rPr>
        <w:t>（一）报价时以下情况视为相同药品。</w:t>
      </w:r>
    </w:p>
    <w:p>
      <w:pPr>
        <w:pStyle w:val="20"/>
        <w:spacing w:line="600" w:lineRule="exact"/>
        <w:ind w:firstLine="640"/>
        <w:rPr>
          <w:rFonts w:eastAsia="方正仿宋_GBK"/>
          <w:kern w:val="0"/>
          <w:szCs w:val="32"/>
        </w:rPr>
      </w:pPr>
      <w:r>
        <w:rPr>
          <w:rFonts w:eastAsia="方正仿宋_GBK"/>
          <w:kern w:val="0"/>
          <w:szCs w:val="32"/>
        </w:rPr>
        <w:t>国产</w:t>
      </w:r>
      <w:r>
        <w:rPr>
          <w:rFonts w:hint="eastAsia" w:eastAsia="方正仿宋_GBK"/>
          <w:kern w:val="0"/>
          <w:szCs w:val="32"/>
        </w:rPr>
        <w:t>药品注册证书上的</w:t>
      </w:r>
      <w:r>
        <w:rPr>
          <w:rFonts w:eastAsia="方正仿宋_GBK"/>
          <w:kern w:val="0"/>
          <w:szCs w:val="32"/>
        </w:rPr>
        <w:t>药品通用名</w:t>
      </w:r>
      <w:r>
        <w:rPr>
          <w:rFonts w:hint="eastAsia" w:eastAsia="方正仿宋_GBK"/>
          <w:kern w:val="0"/>
          <w:szCs w:val="32"/>
        </w:rPr>
        <w:t>、上市许可持有人或</w:t>
      </w:r>
      <w:r>
        <w:rPr>
          <w:rFonts w:eastAsia="方正仿宋_GBK"/>
          <w:kern w:val="0"/>
          <w:szCs w:val="32"/>
        </w:rPr>
        <w:t>生产企业（不含</w:t>
      </w:r>
      <w:r>
        <w:rPr>
          <w:rFonts w:hint="eastAsia" w:eastAsia="方正仿宋_GBK"/>
          <w:kern w:val="0"/>
          <w:szCs w:val="32"/>
        </w:rPr>
        <w:t>被</w:t>
      </w:r>
      <w:r>
        <w:rPr>
          <w:rFonts w:eastAsia="方正仿宋_GBK"/>
          <w:kern w:val="0"/>
          <w:szCs w:val="32"/>
        </w:rPr>
        <w:t>委托生产</w:t>
      </w:r>
      <w:r>
        <w:rPr>
          <w:rFonts w:hint="eastAsia" w:eastAsia="方正仿宋_GBK"/>
          <w:kern w:val="0"/>
          <w:szCs w:val="32"/>
        </w:rPr>
        <w:t>的企业</w:t>
      </w:r>
      <w:r>
        <w:rPr>
          <w:rFonts w:eastAsia="方正仿宋_GBK"/>
          <w:kern w:val="0"/>
          <w:szCs w:val="32"/>
        </w:rPr>
        <w:t>）</w:t>
      </w:r>
      <w:r>
        <w:rPr>
          <w:rFonts w:hint="eastAsia" w:eastAsia="方正仿宋_GBK"/>
          <w:kern w:val="0"/>
          <w:szCs w:val="32"/>
        </w:rPr>
        <w:t>均相同</w:t>
      </w:r>
      <w:r>
        <w:rPr>
          <w:rFonts w:eastAsia="方正仿宋_GBK"/>
          <w:kern w:val="0"/>
          <w:szCs w:val="32"/>
        </w:rPr>
        <w:t>的视为相同药品。进口药品（含进口分包装）</w:t>
      </w:r>
      <w:r>
        <w:rPr>
          <w:rFonts w:hint="eastAsia" w:eastAsia="方正仿宋_GBK"/>
          <w:kern w:val="0"/>
          <w:szCs w:val="32"/>
        </w:rPr>
        <w:t>注册证号不同，但进口药品注册证上商品名和</w:t>
      </w:r>
      <w:r>
        <w:rPr>
          <w:rFonts w:eastAsia="方正仿宋_GBK"/>
          <w:kern w:val="0"/>
          <w:szCs w:val="32"/>
        </w:rPr>
        <w:t>药品</w:t>
      </w:r>
      <w:r>
        <w:rPr>
          <w:rFonts w:hint="eastAsia" w:eastAsia="方正仿宋_GBK"/>
          <w:kern w:val="0"/>
          <w:szCs w:val="32"/>
        </w:rPr>
        <w:t>通用名均相同的</w:t>
      </w:r>
      <w:r>
        <w:rPr>
          <w:rFonts w:eastAsia="方正仿宋_GBK"/>
          <w:kern w:val="0"/>
          <w:szCs w:val="32"/>
        </w:rPr>
        <w:t>视为</w:t>
      </w:r>
      <w:r>
        <w:rPr>
          <w:rFonts w:hint="eastAsia" w:eastAsia="方正仿宋_GBK"/>
          <w:kern w:val="0"/>
          <w:szCs w:val="32"/>
        </w:rPr>
        <w:t>相同药品；</w:t>
      </w:r>
      <w:r>
        <w:rPr>
          <w:rFonts w:eastAsia="方正仿宋_GBK"/>
          <w:kern w:val="0"/>
          <w:szCs w:val="32"/>
        </w:rPr>
        <w:t>无商品名的药品，进口药品注册证上的公司名称和药品通用名均相同的视为相同药品。</w:t>
      </w:r>
    </w:p>
    <w:p>
      <w:pPr>
        <w:pStyle w:val="20"/>
        <w:spacing w:line="600" w:lineRule="exact"/>
        <w:ind w:firstLine="640"/>
        <w:rPr>
          <w:rFonts w:ascii="方正楷体_GBK" w:eastAsia="方正楷体_GBK"/>
          <w:szCs w:val="32"/>
        </w:rPr>
      </w:pPr>
      <w:r>
        <w:rPr>
          <w:rFonts w:hint="eastAsia" w:ascii="方正楷体_GBK" w:eastAsia="方正楷体_GBK"/>
          <w:kern w:val="0"/>
          <w:szCs w:val="32"/>
        </w:rPr>
        <w:t>（二）</w:t>
      </w:r>
      <w:r>
        <w:rPr>
          <w:rFonts w:hint="eastAsia" w:ascii="方正楷体_GBK" w:eastAsia="方正楷体_GBK"/>
          <w:szCs w:val="32"/>
        </w:rPr>
        <w:t>最低价报价规则。</w:t>
      </w:r>
    </w:p>
    <w:p>
      <w:pPr>
        <w:pStyle w:val="20"/>
        <w:spacing w:line="600" w:lineRule="exact"/>
        <w:ind w:firstLine="643"/>
        <w:rPr>
          <w:rFonts w:eastAsia="方正仿宋_GBK"/>
          <w:szCs w:val="32"/>
        </w:rPr>
      </w:pPr>
      <w:r>
        <w:rPr>
          <w:rFonts w:eastAsia="方正仿宋_GBK"/>
          <w:b/>
          <w:szCs w:val="32"/>
        </w:rPr>
        <w:t>1.</w:t>
      </w:r>
      <w:r>
        <w:rPr>
          <w:rFonts w:hint="eastAsia" w:eastAsia="方正仿宋_GBK"/>
          <w:b/>
          <w:szCs w:val="32"/>
        </w:rPr>
        <w:t>生产企业产品有</w:t>
      </w:r>
      <w:r>
        <w:rPr>
          <w:rFonts w:hint="eastAsia" w:eastAsia="方正仿宋_GBK"/>
          <w:b/>
          <w:bCs/>
          <w:kern w:val="0"/>
          <w:szCs w:val="32"/>
        </w:rPr>
        <w:t>全国其他省级平台现执行的最低挂网价格。</w:t>
      </w:r>
      <w:r>
        <w:rPr>
          <w:rFonts w:hint="eastAsia" w:eastAsia="方正仿宋_GBK"/>
          <w:szCs w:val="32"/>
        </w:rPr>
        <w:t>注射剂产品生产企业按支/瓶/袋申报外省最低价，相同药品同制剂规格存在包装数量差异的，外省价格应除以相应的包装数量换算为支/瓶/袋的价格后，选择最低价申报。其他剂型产品，生产企业按相同药品的最小零售单位申报价格，相同药品同制剂规格包装数量相同的，直接申报其外省最低价格；相同药品同制剂规格包装数量不同的，应通过简单乘除，与申报药品换算为同包装数量的价格后选择最低价申报挂网价。</w:t>
      </w:r>
    </w:p>
    <w:p>
      <w:pPr>
        <w:pStyle w:val="20"/>
        <w:spacing w:line="600" w:lineRule="exact"/>
        <w:ind w:firstLine="640"/>
        <w:rPr>
          <w:rFonts w:eastAsia="方正仿宋_GBK"/>
          <w:kern w:val="0"/>
          <w:szCs w:val="32"/>
        </w:rPr>
      </w:pPr>
      <w:r>
        <w:rPr>
          <w:rFonts w:hint="eastAsia" w:eastAsia="方正仿宋_GBK"/>
          <w:szCs w:val="32"/>
        </w:rPr>
        <w:t>2.</w:t>
      </w:r>
      <w:r>
        <w:rPr>
          <w:rFonts w:hint="eastAsia" w:eastAsia="方正仿宋_GBK"/>
          <w:b/>
          <w:szCs w:val="32"/>
        </w:rPr>
        <w:t xml:space="preserve"> 生产企业产品无</w:t>
      </w:r>
      <w:r>
        <w:rPr>
          <w:rFonts w:eastAsia="方正仿宋_GBK"/>
          <w:b/>
          <w:bCs/>
          <w:kern w:val="0"/>
          <w:szCs w:val="32"/>
        </w:rPr>
        <w:t>全国其他省</w:t>
      </w:r>
      <w:r>
        <w:rPr>
          <w:rFonts w:hint="eastAsia" w:eastAsia="方正仿宋_GBK"/>
          <w:b/>
          <w:bCs/>
          <w:kern w:val="0"/>
          <w:szCs w:val="32"/>
        </w:rPr>
        <w:t>级平台现执行的最低挂网</w:t>
      </w:r>
      <w:r>
        <w:rPr>
          <w:rFonts w:eastAsia="方正仿宋_GBK"/>
          <w:b/>
          <w:bCs/>
          <w:kern w:val="0"/>
          <w:szCs w:val="32"/>
        </w:rPr>
        <w:t>价格</w:t>
      </w:r>
      <w:r>
        <w:rPr>
          <w:rFonts w:hint="eastAsia" w:eastAsia="方正仿宋_GBK"/>
          <w:b/>
          <w:bCs/>
          <w:kern w:val="0"/>
          <w:szCs w:val="32"/>
        </w:rPr>
        <w:t>。</w:t>
      </w:r>
      <w:r>
        <w:rPr>
          <w:rFonts w:hint="eastAsia" w:eastAsia="方正仿宋_GBK"/>
          <w:szCs w:val="32"/>
        </w:rPr>
        <w:t>相同药品无同制剂规格价格的，生产企业应申报其他各制剂规格的全国最低价，按照</w:t>
      </w:r>
      <w:r>
        <w:rPr>
          <w:rFonts w:eastAsia="方正仿宋_GBK"/>
          <w:bCs/>
          <w:szCs w:val="32"/>
        </w:rPr>
        <w:t>差比价</w:t>
      </w:r>
      <w:r>
        <w:rPr>
          <w:rFonts w:hint="eastAsia" w:eastAsia="方正仿宋_GBK"/>
          <w:bCs/>
          <w:szCs w:val="32"/>
        </w:rPr>
        <w:t>计算方法换算为申报制剂规格药品的挂网价格，生产企业确认后挂网。</w:t>
      </w:r>
      <w:r>
        <w:rPr>
          <w:rFonts w:eastAsia="方正仿宋_GBK"/>
        </w:rPr>
        <w:t>同生产企业无相关价格的，选同通用名同剂型同挂网分组其他生产企业各包装规格的挂网价格差比价后取均价，计算挂网价格</w:t>
      </w:r>
      <w:r>
        <w:rPr>
          <w:rFonts w:hint="eastAsia" w:eastAsia="方正仿宋_GBK"/>
        </w:rPr>
        <w:t>，</w:t>
      </w:r>
      <w:r>
        <w:rPr>
          <w:rFonts w:hint="eastAsia" w:eastAsia="方正仿宋_GBK"/>
          <w:bCs/>
          <w:szCs w:val="32"/>
        </w:rPr>
        <w:t>企业确认后挂网。</w:t>
      </w:r>
    </w:p>
    <w:p>
      <w:pPr>
        <w:pStyle w:val="20"/>
        <w:spacing w:line="600" w:lineRule="exact"/>
        <w:ind w:firstLine="640"/>
        <w:rPr>
          <w:rFonts w:ascii="方正黑体_GBK" w:eastAsia="方正黑体_GBK"/>
          <w:kern w:val="0"/>
          <w:szCs w:val="32"/>
        </w:rPr>
      </w:pPr>
      <w:r>
        <w:rPr>
          <w:rFonts w:hint="eastAsia" w:ascii="方正黑体_GBK" w:eastAsia="方正黑体_GBK"/>
          <w:kern w:val="0"/>
          <w:szCs w:val="32"/>
        </w:rPr>
        <w:t>二、生产企业自报价为挂网价格的情况</w:t>
      </w:r>
    </w:p>
    <w:p>
      <w:pPr>
        <w:pStyle w:val="20"/>
        <w:spacing w:line="600" w:lineRule="exact"/>
        <w:ind w:firstLine="640"/>
        <w:rPr>
          <w:rFonts w:eastAsia="方正仿宋_GBK"/>
          <w:bCs/>
          <w:kern w:val="0"/>
          <w:szCs w:val="32"/>
        </w:rPr>
      </w:pPr>
      <w:r>
        <w:rPr>
          <w:rFonts w:eastAsia="方正仿宋_GBK"/>
          <w:bCs/>
          <w:szCs w:val="32"/>
        </w:rPr>
        <w:t>在全国其他省级平台无价格且不适用差比价的</w:t>
      </w:r>
      <w:r>
        <w:rPr>
          <w:rFonts w:hint="eastAsia" w:eastAsia="方正仿宋_GBK"/>
          <w:bCs/>
          <w:szCs w:val="32"/>
        </w:rPr>
        <w:t>、国家和市级卫生健康部门</w:t>
      </w:r>
      <w:r>
        <w:rPr>
          <w:rFonts w:hint="eastAsia" w:eastAsia="方正仿宋_GBK"/>
          <w:bCs/>
          <w:kern w:val="0"/>
          <w:szCs w:val="32"/>
        </w:rPr>
        <w:t>公布的《短缺药品清单》和突发疫情用药的品种，生产企业自主报价挂网药品的自报价即为挂网价，企业应遵从诚实信用原则，基于成本合理报价，接受社会监督，必要时企业须提供出厂及流通环节发票备查。</w:t>
      </w:r>
    </w:p>
    <w:p>
      <w:pPr>
        <w:pStyle w:val="20"/>
        <w:spacing w:line="600" w:lineRule="exact"/>
        <w:ind w:firstLine="640"/>
        <w:rPr>
          <w:rFonts w:eastAsia="方正仿宋_GBK"/>
          <w:bCs/>
          <w:kern w:val="0"/>
          <w:szCs w:val="32"/>
        </w:rPr>
      </w:pPr>
      <w:r>
        <w:rPr>
          <w:rFonts w:hint="eastAsia" w:eastAsia="方正仿宋_GBK"/>
          <w:bCs/>
          <w:kern w:val="0"/>
          <w:szCs w:val="32"/>
        </w:rPr>
        <w:t>上述价格均以人民币计价，四舍五入保留2位小数。</w:t>
      </w:r>
    </w:p>
    <w:p>
      <w:pPr>
        <w:spacing w:line="600" w:lineRule="exact"/>
        <w:ind w:firstLine="640" w:firstLineChars="200"/>
        <w:rPr>
          <w:rFonts w:eastAsia="方正黑体_GBK"/>
        </w:rPr>
      </w:pPr>
      <w:r>
        <w:rPr>
          <w:rFonts w:hint="eastAsia" w:eastAsia="方正黑体_GBK"/>
        </w:rPr>
        <w:t>三、挂网药品提供基本材料</w:t>
      </w:r>
    </w:p>
    <w:p>
      <w:pPr>
        <w:pStyle w:val="20"/>
        <w:spacing w:line="600" w:lineRule="exact"/>
        <w:ind w:firstLine="640"/>
        <w:rPr>
          <w:rFonts w:eastAsia="方正仿宋_GBK"/>
          <w:szCs w:val="32"/>
        </w:rPr>
      </w:pPr>
      <w:r>
        <w:rPr>
          <w:rFonts w:hint="eastAsia" w:eastAsia="方正仿宋_GBK"/>
          <w:szCs w:val="32"/>
        </w:rPr>
        <w:t>（一）企业填报《医药企业价格和营销行为信用承诺书》《重庆市城镇职工基本医疗保险药品目录品种维护申请书》的扫描件。</w:t>
      </w:r>
    </w:p>
    <w:p>
      <w:pPr>
        <w:pStyle w:val="20"/>
        <w:spacing w:line="600" w:lineRule="exact"/>
        <w:ind w:firstLine="640"/>
        <w:rPr>
          <w:rFonts w:eastAsia="方正仿宋_GBK"/>
          <w:szCs w:val="32"/>
        </w:rPr>
      </w:pPr>
      <w:r>
        <w:rPr>
          <w:rFonts w:hint="eastAsia" w:eastAsia="方正仿宋_GBK"/>
          <w:szCs w:val="32"/>
        </w:rPr>
        <w:t>（二）药品注册证书、药品再注册批准通知书（药品再注册、补充申请批件等）和药品标准的扫描件、药品说明书原件的扫描件及电子档、药品外包装实物图的扫描件。进口药品需提交上市许可持有人出具的全国总代理协议书扫描件。委托生产药品需提交委托生产批件。</w:t>
      </w:r>
    </w:p>
    <w:p>
      <w:pPr>
        <w:spacing w:line="600" w:lineRule="exact"/>
        <w:ind w:firstLine="640" w:firstLineChars="200"/>
        <w:rPr>
          <w:rFonts w:eastAsia="方正黑体_GBK"/>
        </w:rPr>
      </w:pPr>
      <w:r>
        <w:rPr>
          <w:rFonts w:hint="eastAsia" w:eastAsia="方正黑体_GBK"/>
        </w:rPr>
        <w:t>四、申报为专利的药品符合的范围并提供的材料</w:t>
      </w:r>
    </w:p>
    <w:p>
      <w:pPr>
        <w:pStyle w:val="20"/>
        <w:spacing w:line="600" w:lineRule="exact"/>
        <w:ind w:firstLine="640"/>
        <w:rPr>
          <w:rFonts w:eastAsia="方正仿宋_GBK"/>
          <w:szCs w:val="32"/>
        </w:rPr>
      </w:pPr>
      <w:r>
        <w:rPr>
          <w:rFonts w:hint="eastAsia" w:eastAsia="方正楷体_GBK"/>
          <w:szCs w:val="32"/>
        </w:rPr>
        <w:t>（一）</w:t>
      </w:r>
      <w:r>
        <w:rPr>
          <w:rFonts w:eastAsia="方正楷体_GBK"/>
          <w:szCs w:val="32"/>
        </w:rPr>
        <w:t>专利药品</w:t>
      </w:r>
      <w:r>
        <w:rPr>
          <w:rFonts w:hint="eastAsia" w:eastAsia="方正楷体_GBK"/>
          <w:szCs w:val="32"/>
        </w:rPr>
        <w:t>申报范围</w:t>
      </w:r>
      <w:r>
        <w:rPr>
          <w:rFonts w:eastAsia="方正楷体_GBK"/>
          <w:szCs w:val="32"/>
        </w:rPr>
        <w:t>：</w:t>
      </w:r>
      <w:r>
        <w:rPr>
          <w:rFonts w:eastAsia="方正仿宋_GBK"/>
          <w:szCs w:val="32"/>
        </w:rPr>
        <w:t>指</w:t>
      </w:r>
      <w:r>
        <w:rPr>
          <w:rFonts w:hint="eastAsia" w:eastAsia="方正仿宋_GBK"/>
          <w:szCs w:val="32"/>
        </w:rPr>
        <w:t>国家知识产权局授予的保护期内的或原研制国家知识产权保护部门授予的保护期内的</w:t>
      </w:r>
      <w:r>
        <w:rPr>
          <w:rFonts w:eastAsia="方正仿宋_GBK"/>
          <w:szCs w:val="32"/>
        </w:rPr>
        <w:t>化合物、药物组合物、天然提取物、微生物及其代谢物的发明专利。</w:t>
      </w:r>
      <w:r>
        <w:rPr>
          <w:rFonts w:hint="eastAsia" w:eastAsia="方正仿宋_GBK"/>
          <w:szCs w:val="32"/>
        </w:rPr>
        <w:t>不包括</w:t>
      </w:r>
      <w:r>
        <w:rPr>
          <w:rFonts w:eastAsia="方正仿宋_GBK"/>
          <w:szCs w:val="32"/>
        </w:rPr>
        <w:t>外观设计</w:t>
      </w:r>
      <w:r>
        <w:rPr>
          <w:rFonts w:hint="eastAsia" w:eastAsia="方正仿宋_GBK"/>
          <w:szCs w:val="32"/>
        </w:rPr>
        <w:t>专利</w:t>
      </w:r>
      <w:r>
        <w:rPr>
          <w:rFonts w:eastAsia="方正仿宋_GBK"/>
          <w:szCs w:val="32"/>
        </w:rPr>
        <w:t>、实用新型</w:t>
      </w:r>
      <w:r>
        <w:rPr>
          <w:rFonts w:hint="eastAsia" w:eastAsia="方正仿宋_GBK"/>
          <w:szCs w:val="32"/>
        </w:rPr>
        <w:t>专利</w:t>
      </w:r>
      <w:r>
        <w:rPr>
          <w:rFonts w:eastAsia="方正仿宋_GBK"/>
          <w:szCs w:val="32"/>
        </w:rPr>
        <w:t>或工艺流程、疗效、制备方法等专利药品。</w:t>
      </w:r>
    </w:p>
    <w:p>
      <w:pPr>
        <w:pStyle w:val="20"/>
        <w:spacing w:line="600" w:lineRule="exact"/>
        <w:ind w:firstLine="640"/>
        <w:rPr>
          <w:rFonts w:eastAsia="方正仿宋_GBK"/>
          <w:szCs w:val="32"/>
        </w:rPr>
      </w:pPr>
      <w:r>
        <w:rPr>
          <w:rFonts w:hint="eastAsia" w:eastAsia="方正仿宋_GBK"/>
          <w:szCs w:val="32"/>
        </w:rPr>
        <w:t>1．</w:t>
      </w:r>
      <w:r>
        <w:rPr>
          <w:rFonts w:eastAsia="方正仿宋_GBK"/>
          <w:szCs w:val="32"/>
        </w:rPr>
        <w:t>化合物专利：为新化合物专利，在权利要求书中应当有化合物的名称、结构或分子式等关键表征，保护的对象是化合物本身</w:t>
      </w:r>
      <w:r>
        <w:rPr>
          <w:rFonts w:hint="eastAsia" w:eastAsia="方正仿宋_GBK"/>
          <w:szCs w:val="32"/>
        </w:rPr>
        <w:t>，</w:t>
      </w:r>
      <w:r>
        <w:rPr>
          <w:rFonts w:eastAsia="方正仿宋_GBK"/>
          <w:szCs w:val="32"/>
        </w:rPr>
        <w:t xml:space="preserve"> 不包括权利要求书中记载的化合物与现有技术相对比区别技术特征仅为改变或改善给药途径的化合物专利。即表示该成分为申报厂家所研发或所获得之前，未被以任何形式公开。其中，仅以结构中以增加水溶性、脂溶性、延缓或加快药物体内溶解时间等为目的的结构修饰</w:t>
      </w:r>
      <w:r>
        <w:rPr>
          <w:rFonts w:hint="eastAsia" w:eastAsia="方正仿宋_GBK"/>
          <w:szCs w:val="32"/>
        </w:rPr>
        <w:t>（包括</w:t>
      </w:r>
      <w:r>
        <w:rPr>
          <w:rFonts w:eastAsia="方正仿宋_GBK"/>
          <w:szCs w:val="32"/>
        </w:rPr>
        <w:t>增加酸根，盐基、水合物或原有化合物晶型变化等</w:t>
      </w:r>
      <w:r>
        <w:rPr>
          <w:rFonts w:hint="eastAsia" w:eastAsia="方正仿宋_GBK"/>
          <w:szCs w:val="32"/>
        </w:rPr>
        <w:t>情形）</w:t>
      </w:r>
      <w:r>
        <w:rPr>
          <w:rFonts w:eastAsia="方正仿宋_GBK"/>
          <w:szCs w:val="32"/>
        </w:rPr>
        <w:t>，不视为</w:t>
      </w:r>
      <w:r>
        <w:rPr>
          <w:rFonts w:hint="eastAsia" w:eastAsia="方正仿宋_GBK"/>
          <w:szCs w:val="32"/>
        </w:rPr>
        <w:t>规则</w:t>
      </w:r>
      <w:r>
        <w:rPr>
          <w:rFonts w:eastAsia="方正仿宋_GBK"/>
          <w:szCs w:val="32"/>
        </w:rPr>
        <w:t>中所指化合物专利。</w:t>
      </w:r>
    </w:p>
    <w:p>
      <w:pPr>
        <w:pStyle w:val="20"/>
        <w:spacing w:line="600" w:lineRule="exact"/>
        <w:ind w:firstLine="640"/>
        <w:rPr>
          <w:rFonts w:eastAsia="方正仿宋_GBK"/>
          <w:szCs w:val="32"/>
        </w:rPr>
      </w:pPr>
      <w:r>
        <w:rPr>
          <w:rFonts w:hint="eastAsia" w:eastAsia="方正仿宋_GBK"/>
          <w:szCs w:val="32"/>
        </w:rPr>
        <w:t>2．组合物专利：指对两种或两种以上的药物有效成分组成的专利（药物复方专利），在权利要求书和专利说明书中明确表述其为组合物专利，权利要求书中记载的药物组合物成分应当和申报资料中药品说明书中记载的药物有效成分或主要成分一致，不包括权利要求书中记载的药物组合物与现有技术相对比区别技术特征仅为辅料发生变化的药物组合物。属于仅用途、剂型改变，但组方原已存在（即新用途）专利不视为规则中所指组合物专利。</w:t>
      </w:r>
    </w:p>
    <w:p>
      <w:pPr>
        <w:pStyle w:val="20"/>
        <w:spacing w:line="600" w:lineRule="exact"/>
        <w:ind w:firstLine="640"/>
        <w:rPr>
          <w:rFonts w:eastAsia="方正仿宋_GBK"/>
          <w:szCs w:val="32"/>
        </w:rPr>
      </w:pPr>
      <w:r>
        <w:rPr>
          <w:rFonts w:hint="eastAsia" w:eastAsia="方正仿宋_GBK"/>
          <w:szCs w:val="32"/>
        </w:rPr>
        <w:t>3．</w:t>
      </w:r>
      <w:r>
        <w:rPr>
          <w:rFonts w:eastAsia="方正仿宋_GBK"/>
          <w:szCs w:val="32"/>
        </w:rPr>
        <w:t>天然提取物专利：指首次从自然界分离或提取出来的物质的保护专利，该物质结构、形态或者其它物理化学参数等应在其专利文件中被确切地表征；属于提取方法的专利不视为</w:t>
      </w:r>
      <w:r>
        <w:rPr>
          <w:rFonts w:hint="eastAsia" w:eastAsia="方正仿宋_GBK"/>
          <w:szCs w:val="32"/>
        </w:rPr>
        <w:t>规则</w:t>
      </w:r>
      <w:r>
        <w:rPr>
          <w:rFonts w:eastAsia="方正仿宋_GBK"/>
          <w:szCs w:val="32"/>
        </w:rPr>
        <w:t>中天然提取物专利。</w:t>
      </w:r>
    </w:p>
    <w:p>
      <w:pPr>
        <w:pStyle w:val="20"/>
        <w:spacing w:line="600" w:lineRule="exact"/>
        <w:ind w:firstLine="640"/>
        <w:rPr>
          <w:rFonts w:eastAsia="方正仿宋_GBK"/>
          <w:szCs w:val="32"/>
        </w:rPr>
      </w:pPr>
      <w:r>
        <w:rPr>
          <w:rFonts w:hint="eastAsia" w:eastAsia="方正仿宋_GBK"/>
          <w:szCs w:val="32"/>
        </w:rPr>
        <w:t>4．</w:t>
      </w:r>
      <w:r>
        <w:rPr>
          <w:rFonts w:eastAsia="方正仿宋_GBK"/>
          <w:szCs w:val="32"/>
        </w:rPr>
        <w:t>微生物及其代谢物专利：是指对细菌、放线菌、真菌、病毒、原生动物、藻类等微生物种经过筛选、突变、重组等方法得到并分离的纯培养物和其代谢物质的保护专利。</w:t>
      </w:r>
    </w:p>
    <w:p>
      <w:pPr>
        <w:pStyle w:val="20"/>
        <w:spacing w:line="600" w:lineRule="exact"/>
        <w:ind w:firstLine="640" w:firstLineChars="0"/>
        <w:rPr>
          <w:rFonts w:eastAsia="方正楷体_GBK"/>
          <w:szCs w:val="32"/>
        </w:rPr>
      </w:pPr>
      <w:r>
        <w:rPr>
          <w:rFonts w:hint="eastAsia" w:eastAsia="方正楷体_GBK"/>
          <w:szCs w:val="32"/>
        </w:rPr>
        <w:t>（二）专利药品须提交的证明材料。</w:t>
      </w:r>
    </w:p>
    <w:p>
      <w:pPr>
        <w:pStyle w:val="20"/>
        <w:spacing w:line="600" w:lineRule="exact"/>
        <w:ind w:firstLine="579" w:firstLineChars="181"/>
        <w:rPr>
          <w:rFonts w:eastAsia="方正仿宋_GBK"/>
          <w:szCs w:val="32"/>
        </w:rPr>
      </w:pPr>
      <w:r>
        <w:rPr>
          <w:rFonts w:hint="eastAsia" w:eastAsia="方正仿宋_GBK"/>
          <w:szCs w:val="32"/>
        </w:rPr>
        <w:t>1．药品发明专利证书、发明专利说明书、权利要求书及说明书扫描件；该发明专利的专利公告文件扫描件。</w:t>
      </w:r>
    </w:p>
    <w:p>
      <w:pPr>
        <w:pStyle w:val="20"/>
        <w:spacing w:line="600" w:lineRule="exact"/>
        <w:ind w:firstLine="579" w:firstLineChars="181"/>
        <w:rPr>
          <w:rFonts w:eastAsia="方正仿宋_GBK"/>
          <w:szCs w:val="32"/>
        </w:rPr>
      </w:pPr>
      <w:r>
        <w:rPr>
          <w:rFonts w:hint="eastAsia" w:eastAsia="方正仿宋_GBK"/>
          <w:szCs w:val="32"/>
        </w:rPr>
        <w:t>2．最近一年缴纳该发明专利年费的发票或缴费证明扫描件。</w:t>
      </w:r>
    </w:p>
    <w:p>
      <w:pPr>
        <w:pStyle w:val="20"/>
        <w:spacing w:line="600" w:lineRule="exact"/>
        <w:ind w:firstLine="579" w:firstLineChars="181"/>
        <w:rPr>
          <w:rFonts w:eastAsia="方正仿宋_GBK"/>
          <w:szCs w:val="32"/>
        </w:rPr>
      </w:pPr>
      <w:r>
        <w:rPr>
          <w:rFonts w:hint="eastAsia" w:eastAsia="方正仿宋_GBK"/>
          <w:szCs w:val="32"/>
        </w:rPr>
        <w:t>3．有国外化学药品结构专利证书并在有效期内的药品，但未获得中国化学药品结构专利证书的，参照上述要求提交证明材料并提供国内公证机关出具的公证书。</w:t>
      </w:r>
    </w:p>
    <w:p>
      <w:pPr>
        <w:spacing w:line="600" w:lineRule="exact"/>
        <w:ind w:firstLine="640" w:firstLineChars="200"/>
        <w:rPr>
          <w:rFonts w:eastAsia="方正黑体_GBK"/>
        </w:rPr>
      </w:pPr>
      <w:r>
        <w:rPr>
          <w:rFonts w:hint="eastAsia" w:eastAsia="方正黑体_GBK"/>
        </w:rPr>
        <w:t>三、申报为原研药品符合的范围及提供的材料</w:t>
      </w:r>
    </w:p>
    <w:p>
      <w:pPr>
        <w:pStyle w:val="20"/>
        <w:spacing w:line="600" w:lineRule="exact"/>
        <w:ind w:firstLine="640"/>
        <w:rPr>
          <w:rFonts w:eastAsia="方正仿宋_GBK"/>
          <w:szCs w:val="32"/>
        </w:rPr>
      </w:pPr>
      <w:r>
        <w:rPr>
          <w:rFonts w:hint="eastAsia" w:eastAsia="方正楷体_GBK"/>
          <w:szCs w:val="32"/>
        </w:rPr>
        <w:t>（一）原研药品。</w:t>
      </w:r>
      <w:r>
        <w:rPr>
          <w:rFonts w:eastAsia="方正仿宋_GBK"/>
          <w:szCs w:val="32"/>
        </w:rPr>
        <w:t>指过了保护期的上述专利</w:t>
      </w:r>
      <w:r>
        <w:rPr>
          <w:rFonts w:hint="eastAsia" w:eastAsia="方正仿宋_GBK"/>
          <w:szCs w:val="32"/>
        </w:rPr>
        <w:t>且原专利权人与药品上市许可持有人为同一企业的药品，或国家药品监督管理局发布的仿制药参比制剂目录通告中展示信息为原研的药品，或上市药品目录集中收录类别为原研的药品。</w:t>
      </w:r>
    </w:p>
    <w:p>
      <w:pPr>
        <w:pStyle w:val="20"/>
        <w:spacing w:line="600" w:lineRule="exact"/>
        <w:ind w:firstLine="640"/>
        <w:rPr>
          <w:rFonts w:eastAsia="方正仿宋_GBK"/>
          <w:szCs w:val="32"/>
        </w:rPr>
      </w:pPr>
      <w:r>
        <w:rPr>
          <w:rFonts w:hint="eastAsia" w:eastAsia="方正楷体_GBK"/>
          <w:szCs w:val="32"/>
        </w:rPr>
        <w:t>（二）原研药品须提交的证明材料。</w:t>
      </w:r>
      <w:r>
        <w:rPr>
          <w:rFonts w:hint="eastAsia" w:eastAsia="方正仿宋_GBK"/>
          <w:szCs w:val="32"/>
        </w:rPr>
        <w:t>企业提交该药品的原发明专利证书、发明专利说明书、专利公告文件、权利要求书及说明书扫描件；或提交在国家药品监督管理局发布的仿制药参比制剂目录通告查询到该药品为原研药品的截图；或中国上市药品目录查询到该药品为原研药品的截图。</w:t>
      </w:r>
    </w:p>
    <w:p>
      <w:pPr>
        <w:spacing w:line="600" w:lineRule="exact"/>
        <w:ind w:firstLine="640" w:firstLineChars="200"/>
        <w:rPr>
          <w:rFonts w:eastAsia="方正黑体_GBK"/>
        </w:rPr>
      </w:pPr>
      <w:r>
        <w:rPr>
          <w:rFonts w:hint="eastAsia" w:eastAsia="方正黑体_GBK"/>
        </w:rPr>
        <w:t>四、申报为参比制剂药品符合的范围及提供的材料</w:t>
      </w:r>
    </w:p>
    <w:p>
      <w:pPr>
        <w:pStyle w:val="20"/>
        <w:spacing w:line="600" w:lineRule="exact"/>
        <w:ind w:left="6" w:firstLine="640"/>
        <w:rPr>
          <w:rFonts w:eastAsia="方正仿宋_GBK"/>
          <w:szCs w:val="32"/>
        </w:rPr>
      </w:pPr>
      <w:r>
        <w:rPr>
          <w:rFonts w:hint="eastAsia" w:eastAsia="方正仿宋_GBK"/>
          <w:szCs w:val="32"/>
        </w:rPr>
        <w:t>国家药品监督管理局发布的仿制药参比制剂目录通告或《中国上市药品目录集》体现该产品为参比制剂的药品。企业须提交在相关官网查询到该产品为参比制剂的截图。</w:t>
      </w:r>
    </w:p>
    <w:p>
      <w:pPr>
        <w:spacing w:line="600" w:lineRule="exact"/>
        <w:ind w:firstLine="640" w:firstLineChars="200"/>
        <w:rPr>
          <w:rFonts w:eastAsia="方正黑体_GBK"/>
        </w:rPr>
      </w:pPr>
      <w:r>
        <w:rPr>
          <w:rFonts w:hint="eastAsia" w:eastAsia="方正黑体_GBK"/>
        </w:rPr>
        <w:t>五</w:t>
      </w:r>
      <w:r>
        <w:rPr>
          <w:rFonts w:eastAsia="方正黑体_GBK"/>
        </w:rPr>
        <w:t>、</w:t>
      </w:r>
      <w:r>
        <w:rPr>
          <w:rFonts w:hint="eastAsia" w:eastAsia="方正黑体_GBK"/>
        </w:rPr>
        <w:t>申报</w:t>
      </w:r>
      <w:r>
        <w:rPr>
          <w:rFonts w:eastAsia="方正黑体_GBK"/>
        </w:rPr>
        <w:t>通过一致性评价药品</w:t>
      </w:r>
      <w:r>
        <w:rPr>
          <w:rFonts w:hint="eastAsia" w:eastAsia="方正黑体_GBK"/>
        </w:rPr>
        <w:t>符合的范围及提供的材料</w:t>
      </w:r>
    </w:p>
    <w:p>
      <w:pPr>
        <w:pStyle w:val="20"/>
        <w:spacing w:line="600" w:lineRule="exact"/>
        <w:ind w:left="6" w:firstLine="640"/>
        <w:rPr>
          <w:rFonts w:eastAsia="方正仿宋_GBK"/>
          <w:szCs w:val="32"/>
        </w:rPr>
      </w:pPr>
      <w:r>
        <w:rPr>
          <w:rFonts w:eastAsia="方正仿宋_GBK"/>
          <w:szCs w:val="32"/>
        </w:rPr>
        <w:t>国家药品</w:t>
      </w:r>
      <w:r>
        <w:rPr>
          <w:rFonts w:hint="eastAsia" w:eastAsia="方正仿宋_GBK"/>
          <w:szCs w:val="32"/>
        </w:rPr>
        <w:t>监督管理局</w:t>
      </w:r>
      <w:r>
        <w:rPr>
          <w:rFonts w:eastAsia="方正仿宋_GBK"/>
          <w:szCs w:val="32"/>
        </w:rPr>
        <w:t>公布</w:t>
      </w:r>
      <w:r>
        <w:rPr>
          <w:rFonts w:hint="eastAsia" w:eastAsia="方正仿宋_GBK"/>
          <w:szCs w:val="32"/>
        </w:rPr>
        <w:t>的</w:t>
      </w:r>
      <w:r>
        <w:rPr>
          <w:rFonts w:eastAsia="方正仿宋_GBK"/>
          <w:szCs w:val="32"/>
        </w:rPr>
        <w:t>通过</w:t>
      </w:r>
      <w:r>
        <w:rPr>
          <w:rFonts w:hint="eastAsia" w:eastAsia="方正仿宋_GBK"/>
          <w:szCs w:val="32"/>
        </w:rPr>
        <w:t>仿制药质量和疗效一致性评价的药品的证明</w:t>
      </w:r>
      <w:r>
        <w:rPr>
          <w:rFonts w:eastAsia="方正仿宋_GBK"/>
          <w:szCs w:val="32"/>
        </w:rPr>
        <w:t>材料。</w:t>
      </w:r>
    </w:p>
    <w:p>
      <w:pPr>
        <w:pStyle w:val="20"/>
        <w:spacing w:line="600" w:lineRule="exact"/>
        <w:ind w:left="6" w:firstLine="640"/>
        <w:rPr>
          <w:rFonts w:eastAsia="方正黑体_GBK"/>
          <w:szCs w:val="32"/>
        </w:rPr>
      </w:pPr>
      <w:r>
        <w:rPr>
          <w:rFonts w:hint="eastAsia" w:eastAsia="方正黑体_GBK"/>
          <w:szCs w:val="32"/>
        </w:rPr>
        <w:t>六、申报化学药品新注册分类批准药品符合的范围及提供的材料</w:t>
      </w:r>
    </w:p>
    <w:p>
      <w:pPr>
        <w:pStyle w:val="20"/>
        <w:spacing w:line="600" w:lineRule="exact"/>
        <w:ind w:left="6" w:firstLine="640"/>
        <w:rPr>
          <w:rFonts w:eastAsia="方正仿宋_GBK"/>
          <w:szCs w:val="32"/>
        </w:rPr>
      </w:pPr>
      <w:r>
        <w:rPr>
          <w:rFonts w:hint="eastAsia" w:eastAsia="方正仿宋_GBK"/>
          <w:szCs w:val="32"/>
        </w:rPr>
        <w:t>2</w:t>
      </w:r>
      <w:r>
        <w:rPr>
          <w:rFonts w:eastAsia="方正仿宋_GBK"/>
          <w:szCs w:val="32"/>
        </w:rPr>
        <w:t>020</w:t>
      </w:r>
      <w:r>
        <w:rPr>
          <w:rFonts w:hint="eastAsia" w:eastAsia="方正仿宋_GBK"/>
          <w:szCs w:val="32"/>
        </w:rPr>
        <w:t>年</w:t>
      </w:r>
      <w:r>
        <w:rPr>
          <w:rFonts w:eastAsia="方正仿宋_GBK"/>
          <w:szCs w:val="32"/>
        </w:rPr>
        <w:t>7</w:t>
      </w:r>
      <w:r>
        <w:rPr>
          <w:rFonts w:hint="eastAsia" w:eastAsia="方正仿宋_GBK"/>
          <w:szCs w:val="32"/>
        </w:rPr>
        <w:t>月1日《药品注册管理办法》执行之前获批的药品，生产企业须提供国家药品监督管理部门受理和批准注册时间均为2</w:t>
      </w:r>
      <w:r>
        <w:rPr>
          <w:rFonts w:eastAsia="方正仿宋_GBK"/>
          <w:szCs w:val="32"/>
        </w:rPr>
        <w:t>016</w:t>
      </w:r>
      <w:r>
        <w:rPr>
          <w:rFonts w:hint="eastAsia" w:eastAsia="方正仿宋_GBK"/>
          <w:szCs w:val="32"/>
        </w:rPr>
        <w:t>年3月4日后的有效证明文件。</w:t>
      </w:r>
    </w:p>
    <w:p>
      <w:pPr>
        <w:spacing w:line="600" w:lineRule="exact"/>
        <w:ind w:firstLine="640" w:firstLineChars="200"/>
        <w:rPr>
          <w:rFonts w:eastAsia="方正黑体_GBK"/>
        </w:rPr>
      </w:pPr>
      <w:r>
        <w:rPr>
          <w:rFonts w:hint="eastAsia" w:eastAsia="方正黑体_GBK"/>
        </w:rPr>
        <w:t>七</w:t>
      </w:r>
      <w:r>
        <w:rPr>
          <w:rFonts w:eastAsia="方正黑体_GBK"/>
        </w:rPr>
        <w:t>、</w:t>
      </w:r>
      <w:r>
        <w:rPr>
          <w:rFonts w:hint="eastAsia" w:eastAsia="方正黑体_GBK"/>
        </w:rPr>
        <w:t>申报《中国上市药品目录集》中收录药品符合的范围及提供的材料</w:t>
      </w:r>
    </w:p>
    <w:p>
      <w:pPr>
        <w:spacing w:line="600" w:lineRule="exact"/>
        <w:ind w:firstLine="640" w:firstLineChars="200"/>
        <w:rPr>
          <w:rFonts w:eastAsia="方正仿宋_GBK"/>
        </w:rPr>
      </w:pPr>
      <w:r>
        <w:rPr>
          <w:rFonts w:hint="eastAsia" w:eastAsia="方正仿宋_GBK"/>
        </w:rPr>
        <w:t>指国家药品监督管理局发布的</w:t>
      </w:r>
      <w:r>
        <w:rPr>
          <w:rFonts w:eastAsia="方正仿宋_GBK"/>
        </w:rPr>
        <w:t>《</w:t>
      </w:r>
      <w:r>
        <w:rPr>
          <w:rFonts w:hint="eastAsia" w:eastAsia="方正仿宋_GBK"/>
        </w:rPr>
        <w:t>新批准上市以及通过仿制药质量和疗效一致性评价的化学药品目录集》中收录的药品。企业提供相关资料复印件及相关官网查询到该产品的截图。</w:t>
      </w:r>
    </w:p>
    <w:p>
      <w:pPr>
        <w:spacing w:line="600" w:lineRule="exact"/>
        <w:ind w:firstLine="640" w:firstLineChars="200"/>
        <w:rPr>
          <w:rFonts w:eastAsia="方正仿宋_GBK"/>
        </w:rPr>
      </w:pPr>
      <w:r>
        <w:rPr>
          <w:rFonts w:hint="eastAsia" w:eastAsia="方正仿宋_GBK"/>
        </w:rPr>
        <w:t>除提供按要求的材料外，各企业</w:t>
      </w:r>
      <w:r>
        <w:rPr>
          <w:rFonts w:eastAsia="方正仿宋_GBK"/>
        </w:rPr>
        <w:t>可</w:t>
      </w:r>
      <w:r>
        <w:rPr>
          <w:rFonts w:hint="eastAsia" w:eastAsia="方正仿宋_GBK"/>
        </w:rPr>
        <w:t>提供与药品交易</w:t>
      </w:r>
      <w:r>
        <w:rPr>
          <w:rFonts w:eastAsia="方正仿宋_GBK"/>
        </w:rPr>
        <w:t>相关的其他材料</w:t>
      </w:r>
      <w:r>
        <w:rPr>
          <w:rFonts w:hint="eastAsia" w:eastAsia="方正仿宋_GBK"/>
        </w:rPr>
        <w:t>。企业对提供的材料真实性承担法律责任。上传的材料</w:t>
      </w:r>
      <w:r>
        <w:rPr>
          <w:rFonts w:eastAsia="方正仿宋_GBK"/>
        </w:rPr>
        <w:t>需</w:t>
      </w:r>
      <w:r>
        <w:rPr>
          <w:rFonts w:hint="eastAsia" w:eastAsia="方正仿宋_GBK"/>
        </w:rPr>
        <w:t>每页加盖法人公章（鲜章）。涉及的外文材料除提供原件扫描件外，还须提供经公证的中文翻译件，凡未提交经公证的中文翻译件的，视为未提交相关材料。扫描件为pdf格式，同一文件以一个pdf文件上传；电子档为doc格式，文字内容可编辑</w:t>
      </w:r>
      <w:r>
        <w:rPr>
          <w:rFonts w:eastAsia="方正仿宋_GBK"/>
        </w:rPr>
        <w:t>；</w:t>
      </w:r>
      <w:r>
        <w:rPr>
          <w:rFonts w:hint="eastAsia" w:eastAsia="方正仿宋_GBK"/>
        </w:rPr>
        <w:t>图片文件为jpeg格式。保证内容完整清晰的前提下，单个文件的容量大小原则上不超过</w:t>
      </w:r>
      <w:r>
        <w:rPr>
          <w:rFonts w:eastAsia="方正仿宋_GBK"/>
        </w:rPr>
        <w:t>20</w:t>
      </w:r>
    </w:p>
    <w:p>
      <w:pPr>
        <w:spacing w:line="600" w:lineRule="exact"/>
        <w:ind w:firstLine="640" w:firstLineChars="200"/>
        <w:rPr>
          <w:rFonts w:eastAsia="方正仿宋_GBK"/>
        </w:rPr>
      </w:pPr>
    </w:p>
    <w:p>
      <w:pPr>
        <w:jc w:val="center"/>
        <w:rPr>
          <w:rFonts w:eastAsia="方正仿宋_GBK" w:cs="宋体"/>
          <w:spacing w:val="6"/>
          <w:kern w:val="0"/>
        </w:rPr>
      </w:pPr>
      <w:bookmarkStart w:id="0" w:name="_GoBack"/>
      <w:bookmarkEnd w:id="0"/>
    </w:p>
    <w:sectPr>
      <w:footerReference r:id="rId3" w:type="default"/>
      <w:footerReference r:id="rId4" w:type="even"/>
      <w:pgSz w:w="11906" w:h="16838"/>
      <w:pgMar w:top="2098" w:right="1474" w:bottom="1984" w:left="1588" w:header="851" w:footer="992" w:gutter="0"/>
      <w:pgNumType w:fmt="numberInDash"/>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017A4C-11F8-41C1-B6E7-DCC9602BAE4E}"/>
  </w:font>
  <w:font w:name="Arial">
    <w:panose1 w:val="020B0604020202020204"/>
    <w:charset w:val="01"/>
    <w:family w:val="swiss"/>
    <w:pitch w:val="default"/>
    <w:sig w:usb0="E0002AFF" w:usb1="C0007843" w:usb2="00000009" w:usb3="00000000" w:csb0="400001FF" w:csb1="FFFF0000"/>
    <w:embedRegular r:id="rId2" w:fontKey="{03A8E676-533C-46E1-8D75-97449A74ADC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42044C7-C984-4510-9B54-37E38C3D3588}"/>
  </w:font>
  <w:font w:name="Symbol">
    <w:panose1 w:val="05050102010706020507"/>
    <w:charset w:val="02"/>
    <w:family w:val="roman"/>
    <w:pitch w:val="default"/>
    <w:sig w:usb0="00000000" w:usb1="00000000" w:usb2="00000000" w:usb3="00000000" w:csb0="80000000" w:csb1="00000000"/>
    <w:embedRegular r:id="rId4" w:fontKey="{2B0CD0C6-E5EC-458E-803F-B06F6C0228D3}"/>
  </w:font>
  <w:font w:name="Calibri">
    <w:panose1 w:val="020F0502020204030204"/>
    <w:charset w:val="00"/>
    <w:family w:val="swiss"/>
    <w:pitch w:val="default"/>
    <w:sig w:usb0="E10002FF" w:usb1="4000ACFF" w:usb2="00000009" w:usb3="00000000" w:csb0="2000019F" w:csb1="00000000"/>
    <w:embedRegular r:id="rId5" w:fontKey="{66B78AC0-014B-413D-BAB7-E9254AEFD2E8}"/>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embedRegular r:id="rId6" w:fontKey="{0DB801EB-ADE6-4464-8B1C-196A66E185AC}"/>
  </w:font>
  <w:font w:name="方正小标宋_GBK">
    <w:panose1 w:val="03000509000000000000"/>
    <w:charset w:val="86"/>
    <w:family w:val="script"/>
    <w:pitch w:val="default"/>
    <w:sig w:usb0="00000001" w:usb1="080E0000" w:usb2="00000000" w:usb3="00000000" w:csb0="00040000" w:csb1="00000000"/>
    <w:embedRegular r:id="rId7" w:fontKey="{4BBC4BE9-234F-4454-AD98-D9A98C836F0A}"/>
  </w:font>
  <w:font w:name="方正楷体_GBK">
    <w:panose1 w:val="03000509000000000000"/>
    <w:charset w:val="86"/>
    <w:family w:val="script"/>
    <w:pitch w:val="default"/>
    <w:sig w:usb0="00000001" w:usb1="080E0000" w:usb2="00000000" w:usb3="00000000" w:csb0="00040000" w:csb1="00000000"/>
    <w:embedRegular r:id="rId8" w:fontKey="{3D01CAE2-7E38-4EC1-9B83-319D1E390E4B}"/>
  </w:font>
  <w:font w:name="方正仿宋_GBK">
    <w:panose1 w:val="03000509000000000000"/>
    <w:charset w:val="86"/>
    <w:family w:val="script"/>
    <w:pitch w:val="default"/>
    <w:sig w:usb0="00000001" w:usb1="080E0000" w:usb2="00000000" w:usb3="00000000" w:csb0="00040000" w:csb1="00000000"/>
    <w:embedRegular r:id="rId9" w:fontKey="{B08CE6DC-95B7-402B-A2DB-347EB4EAB13A}"/>
  </w:font>
  <w:font w:name="方正黑体_GBK">
    <w:panose1 w:val="03000509000000000000"/>
    <w:charset w:val="86"/>
    <w:family w:val="script"/>
    <w:pitch w:val="default"/>
    <w:sig w:usb0="00000001" w:usb1="080E0000" w:usb2="00000000" w:usb3="00000000" w:csb0="00040000" w:csb1="00000000"/>
    <w:embedRegular r:id="rId10" w:fontKey="{0D96EE94-2C06-4D7E-A2C6-EED6B93E595A}"/>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embedRegular r:id="rId11" w:fontKey="{8FBED418-C4E9-421A-8982-429C6A3C2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- 11 -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205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eU38sBAACc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2J4xYHfvn+7fLj1+XnV7Kq&#10;Xi5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3lN/LAQAAnAMAAA4AAAAAAAAAAQAgAAAAHgEAAGRycy9lMm9E&#10;b2MueG1sUEsFBgAAAAAGAAYAWQEAAFsFAAAAAA==&#10;">
              <v:fill on="f" focussize="0,0"/>
              <v:stroke on="f"/>
              <v:imagedata o:title=""/>
              <o:lock v:ext="edit" aspectratio="f"/>
              <v:textbox inset="0mm,0mm,0mm,0mm" style="mso-fit-shape-to-text:t;">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- 11 -</w:t>
                    </w:r>
                    <w:r>
                      <w:rPr>
                        <w:rFonts w:hint="eastAsia" w:ascii="宋体" w:hAnsi="宋体" w:eastAsia="宋体" w:cs="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jc w:val="right"/>
                          </w:pPr>
                        </w:p>
                        <w:p/>
                      </w:txbxContent>
                    </wps:txbx>
                    <wps:bodyPr wrap="none" lIns="0" tIns="0" rIns="0" bIns="0" upright="1">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6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mvz8ssBAACcAwAADgAAAGRycy9lMm9Eb2MueG1srVNNrtMwEN4jcQfL&#10;e+q0Al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1DiuMWBX75/u/z4dfn5layq&#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pr8/LLAQAAnAMAAA4AAAAAAAAAAQAgAAAAHgEAAGRycy9lMm9E&#10;b2MueG1sUEsFBgAAAAAGAAYAWQEAAFsFAAAAAA==&#10;">
              <v:fill on="f" focussize="0,0"/>
              <v:stroke on="f"/>
              <v:imagedata o:title=""/>
              <o:lock v:ext="edit" aspectratio="f"/>
              <v:textbox inset="0mm,0mm,0mm,0mm" style="mso-fit-shape-to-text:t;">
                <w:txbxContent>
                  <w:p>
                    <w:pPr>
                      <w:pStyle w:val="4"/>
                      <w:jc w:val="right"/>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- 12 -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205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va8wBAACc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TU1x7JYbHPj5+7fzj1/nn19J&#10;WbwtU4d6DxUmPnlMjcOdG3BvZj+gMwkf2mDSFyURjGN/T5f+yiESkR6tytWqwJDA2HxBfPb83AeI&#10;76UzJBk1DTjA3Fd+fIQ4ps4pqZp190rrPERt/3IgZvKwxH3kmKw47IZJ0M41J9TT4+xranHVKdEP&#10;Flub1mQ2wmzsZuPgg9p3SG2ZeYG/PUQkkbmlCiPsVBiHltV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52+9rzAEAAJwDAAAOAAAAAAAAAAEAIAAAAB4BAABkcnMvZTJv&#10;RG9jLnhtbFBLBQYAAAAABgAGAFkBAABcBQAAAAA=&#10;">
              <v:fill on="f" focussize="0,0"/>
              <v:stroke on="f"/>
              <v:imagedata o:title=""/>
              <o:lock v:ext="edit" aspectratio="f"/>
              <v:textbox inset="0mm,0mm,0mm,0mm" style="mso-fit-shape-to-text:t;">
                <w:txbxContent>
                  <w:p>
                    <w:pPr>
                      <w:pStyle w:val="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- 12 -</w:t>
                    </w:r>
                    <w:r>
                      <w:rPr>
                        <w:rFonts w:hint="eastAsia" w:ascii="宋体" w:hAnsi="宋体" w:eastAsia="宋体" w:cs="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p>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44pt;width:144pt;mso-position-horizontal:right;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y6D2nLAQAAnAMAAA4AAAAAAAAAAQAgAAAAHgEAAGRycy9lMm9E&#10;b2MueG1sUEsFBgAAAAAGAAYAWQEAAFsFAAAAAA==&#10;">
              <v:fill on="f" focussize="0,0"/>
              <v:stroke on="f"/>
              <v:imagedata o:title=""/>
              <o:lock v:ext="edit" aspectratio="f"/>
              <v:textbox inset="0mm,0mm,0mm,0mm" style="mso-fit-shape-to-text:t;">
                <w:txbxContent>
                  <w:p>
                    <w:pPr>
                      <w:pStyle w:val="4"/>
                    </w:pPr>
                  </w:p>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bordersDoNotSurroundHeader w:val="1"/>
  <w:bordersDoNotSurroundFooter w:val="1"/>
  <w:documentProtection w:enforcement="0"/>
  <w:defaultTabStop w:val="420"/>
  <w:evenAndOddHeaders w:val="1"/>
  <w:drawingGridHorizontalSpacing w:val="160"/>
  <w:drawingGridVerticalSpacing w:val="228"/>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0"/>
    <w:rsid w:val="00000D1F"/>
    <w:rsid w:val="0000186C"/>
    <w:rsid w:val="000028BC"/>
    <w:rsid w:val="00007988"/>
    <w:rsid w:val="00007EF0"/>
    <w:rsid w:val="0001097F"/>
    <w:rsid w:val="00011496"/>
    <w:rsid w:val="000119FA"/>
    <w:rsid w:val="00012A54"/>
    <w:rsid w:val="00013130"/>
    <w:rsid w:val="00017675"/>
    <w:rsid w:val="00017F4C"/>
    <w:rsid w:val="000241AA"/>
    <w:rsid w:val="000244CA"/>
    <w:rsid w:val="000260DA"/>
    <w:rsid w:val="000304A2"/>
    <w:rsid w:val="00030D85"/>
    <w:rsid w:val="000326E9"/>
    <w:rsid w:val="000334C6"/>
    <w:rsid w:val="00035099"/>
    <w:rsid w:val="000351D2"/>
    <w:rsid w:val="000359A6"/>
    <w:rsid w:val="00036D84"/>
    <w:rsid w:val="00041D0E"/>
    <w:rsid w:val="000429B6"/>
    <w:rsid w:val="00042C1E"/>
    <w:rsid w:val="000442ED"/>
    <w:rsid w:val="000468E9"/>
    <w:rsid w:val="000509E5"/>
    <w:rsid w:val="000509EA"/>
    <w:rsid w:val="0005240C"/>
    <w:rsid w:val="00053934"/>
    <w:rsid w:val="00057AF6"/>
    <w:rsid w:val="00057C67"/>
    <w:rsid w:val="00060AE5"/>
    <w:rsid w:val="00064B79"/>
    <w:rsid w:val="00065E02"/>
    <w:rsid w:val="00066D69"/>
    <w:rsid w:val="00067940"/>
    <w:rsid w:val="00070F95"/>
    <w:rsid w:val="000722B4"/>
    <w:rsid w:val="00072DF3"/>
    <w:rsid w:val="000730F6"/>
    <w:rsid w:val="0007347C"/>
    <w:rsid w:val="000741A2"/>
    <w:rsid w:val="000744F2"/>
    <w:rsid w:val="0007470C"/>
    <w:rsid w:val="00076E48"/>
    <w:rsid w:val="000779AF"/>
    <w:rsid w:val="000810A4"/>
    <w:rsid w:val="00081DDB"/>
    <w:rsid w:val="00084497"/>
    <w:rsid w:val="000864D7"/>
    <w:rsid w:val="000919D3"/>
    <w:rsid w:val="00092776"/>
    <w:rsid w:val="000936FF"/>
    <w:rsid w:val="00094A6E"/>
    <w:rsid w:val="000A20CC"/>
    <w:rsid w:val="000A6FDE"/>
    <w:rsid w:val="000B0C08"/>
    <w:rsid w:val="000B33F5"/>
    <w:rsid w:val="000B355B"/>
    <w:rsid w:val="000B43A8"/>
    <w:rsid w:val="000B4458"/>
    <w:rsid w:val="000C18DC"/>
    <w:rsid w:val="000C5AE5"/>
    <w:rsid w:val="000C7577"/>
    <w:rsid w:val="000D0AFC"/>
    <w:rsid w:val="000D2997"/>
    <w:rsid w:val="000D3993"/>
    <w:rsid w:val="000D5DDC"/>
    <w:rsid w:val="000D64DE"/>
    <w:rsid w:val="000D7794"/>
    <w:rsid w:val="000E1C1B"/>
    <w:rsid w:val="000E7B14"/>
    <w:rsid w:val="000F0D63"/>
    <w:rsid w:val="000F1D69"/>
    <w:rsid w:val="000F27C4"/>
    <w:rsid w:val="000F5F84"/>
    <w:rsid w:val="001003C1"/>
    <w:rsid w:val="001060B6"/>
    <w:rsid w:val="00107E5D"/>
    <w:rsid w:val="00110A92"/>
    <w:rsid w:val="00111F24"/>
    <w:rsid w:val="00114CC0"/>
    <w:rsid w:val="00116F16"/>
    <w:rsid w:val="00117DDE"/>
    <w:rsid w:val="00121DDE"/>
    <w:rsid w:val="00125D8D"/>
    <w:rsid w:val="0012672C"/>
    <w:rsid w:val="00132777"/>
    <w:rsid w:val="00133CAC"/>
    <w:rsid w:val="00134243"/>
    <w:rsid w:val="00135091"/>
    <w:rsid w:val="00137931"/>
    <w:rsid w:val="001405B2"/>
    <w:rsid w:val="00145C68"/>
    <w:rsid w:val="00147043"/>
    <w:rsid w:val="00150DBE"/>
    <w:rsid w:val="00156629"/>
    <w:rsid w:val="00156BC1"/>
    <w:rsid w:val="00160186"/>
    <w:rsid w:val="0016386C"/>
    <w:rsid w:val="00164C87"/>
    <w:rsid w:val="00165EBF"/>
    <w:rsid w:val="0016712F"/>
    <w:rsid w:val="0016722E"/>
    <w:rsid w:val="00172A27"/>
    <w:rsid w:val="001750DA"/>
    <w:rsid w:val="00175669"/>
    <w:rsid w:val="0017696C"/>
    <w:rsid w:val="001779E8"/>
    <w:rsid w:val="00180DD4"/>
    <w:rsid w:val="001831EC"/>
    <w:rsid w:val="00183DF2"/>
    <w:rsid w:val="00183E17"/>
    <w:rsid w:val="00187720"/>
    <w:rsid w:val="00187772"/>
    <w:rsid w:val="00187A7E"/>
    <w:rsid w:val="00192146"/>
    <w:rsid w:val="001921BE"/>
    <w:rsid w:val="00192227"/>
    <w:rsid w:val="00193D95"/>
    <w:rsid w:val="00197A6A"/>
    <w:rsid w:val="001A0EAD"/>
    <w:rsid w:val="001A2151"/>
    <w:rsid w:val="001A7564"/>
    <w:rsid w:val="001A7EBF"/>
    <w:rsid w:val="001B0128"/>
    <w:rsid w:val="001B1CFC"/>
    <w:rsid w:val="001B33E6"/>
    <w:rsid w:val="001B36E0"/>
    <w:rsid w:val="001B41DC"/>
    <w:rsid w:val="001B6368"/>
    <w:rsid w:val="001C12FD"/>
    <w:rsid w:val="001C16F8"/>
    <w:rsid w:val="001C1F1F"/>
    <w:rsid w:val="001C2879"/>
    <w:rsid w:val="001C2900"/>
    <w:rsid w:val="001C316A"/>
    <w:rsid w:val="001C4B35"/>
    <w:rsid w:val="001C7068"/>
    <w:rsid w:val="001C76B2"/>
    <w:rsid w:val="001D13A6"/>
    <w:rsid w:val="001D1785"/>
    <w:rsid w:val="001D24DA"/>
    <w:rsid w:val="001D2879"/>
    <w:rsid w:val="001D34C9"/>
    <w:rsid w:val="001D6964"/>
    <w:rsid w:val="001D70D5"/>
    <w:rsid w:val="001E06DA"/>
    <w:rsid w:val="001E16D5"/>
    <w:rsid w:val="001E3E12"/>
    <w:rsid w:val="001E4267"/>
    <w:rsid w:val="001E50A9"/>
    <w:rsid w:val="001E53CF"/>
    <w:rsid w:val="001E606D"/>
    <w:rsid w:val="001E7485"/>
    <w:rsid w:val="001F0C5F"/>
    <w:rsid w:val="001F1942"/>
    <w:rsid w:val="001F66D9"/>
    <w:rsid w:val="001F7F47"/>
    <w:rsid w:val="00205490"/>
    <w:rsid w:val="00215134"/>
    <w:rsid w:val="00216032"/>
    <w:rsid w:val="0021605F"/>
    <w:rsid w:val="002168AD"/>
    <w:rsid w:val="002174A9"/>
    <w:rsid w:val="002205BD"/>
    <w:rsid w:val="002209ED"/>
    <w:rsid w:val="00220B7F"/>
    <w:rsid w:val="00221739"/>
    <w:rsid w:val="00223DF1"/>
    <w:rsid w:val="0022422F"/>
    <w:rsid w:val="00224CA9"/>
    <w:rsid w:val="002255A8"/>
    <w:rsid w:val="002258F5"/>
    <w:rsid w:val="0022699E"/>
    <w:rsid w:val="00226B73"/>
    <w:rsid w:val="00230370"/>
    <w:rsid w:val="002324EB"/>
    <w:rsid w:val="00232705"/>
    <w:rsid w:val="00232B86"/>
    <w:rsid w:val="00232BC8"/>
    <w:rsid w:val="00232CEA"/>
    <w:rsid w:val="00233C7A"/>
    <w:rsid w:val="00234CCD"/>
    <w:rsid w:val="0023567F"/>
    <w:rsid w:val="00236051"/>
    <w:rsid w:val="00237EA8"/>
    <w:rsid w:val="00237F29"/>
    <w:rsid w:val="0024128B"/>
    <w:rsid w:val="002413CB"/>
    <w:rsid w:val="002436BF"/>
    <w:rsid w:val="0024429C"/>
    <w:rsid w:val="002462CE"/>
    <w:rsid w:val="00246742"/>
    <w:rsid w:val="0024740C"/>
    <w:rsid w:val="002509A4"/>
    <w:rsid w:val="002510CB"/>
    <w:rsid w:val="00252657"/>
    <w:rsid w:val="002620FA"/>
    <w:rsid w:val="002635AD"/>
    <w:rsid w:val="002638B1"/>
    <w:rsid w:val="0026730D"/>
    <w:rsid w:val="00270950"/>
    <w:rsid w:val="002717EB"/>
    <w:rsid w:val="00275925"/>
    <w:rsid w:val="002807AE"/>
    <w:rsid w:val="00282B9E"/>
    <w:rsid w:val="00283484"/>
    <w:rsid w:val="00287B03"/>
    <w:rsid w:val="00287D70"/>
    <w:rsid w:val="00293FA9"/>
    <w:rsid w:val="002942A6"/>
    <w:rsid w:val="00297E48"/>
    <w:rsid w:val="002A07EA"/>
    <w:rsid w:val="002A0F3B"/>
    <w:rsid w:val="002A22E8"/>
    <w:rsid w:val="002A68EC"/>
    <w:rsid w:val="002A6DD8"/>
    <w:rsid w:val="002B02A9"/>
    <w:rsid w:val="002B0FAB"/>
    <w:rsid w:val="002B2668"/>
    <w:rsid w:val="002B5816"/>
    <w:rsid w:val="002B67E2"/>
    <w:rsid w:val="002B6EF9"/>
    <w:rsid w:val="002B7E60"/>
    <w:rsid w:val="002C05E4"/>
    <w:rsid w:val="002C0A7D"/>
    <w:rsid w:val="002C40F4"/>
    <w:rsid w:val="002C4DF9"/>
    <w:rsid w:val="002C558F"/>
    <w:rsid w:val="002C6810"/>
    <w:rsid w:val="002D2089"/>
    <w:rsid w:val="002D44E0"/>
    <w:rsid w:val="002D4653"/>
    <w:rsid w:val="002D5C7F"/>
    <w:rsid w:val="002E3550"/>
    <w:rsid w:val="002E6B95"/>
    <w:rsid w:val="002E7B0F"/>
    <w:rsid w:val="002F0174"/>
    <w:rsid w:val="002F0429"/>
    <w:rsid w:val="002F0A1E"/>
    <w:rsid w:val="002F2248"/>
    <w:rsid w:val="002F3F97"/>
    <w:rsid w:val="002F64F4"/>
    <w:rsid w:val="002F6600"/>
    <w:rsid w:val="002F6BB9"/>
    <w:rsid w:val="002F7DE7"/>
    <w:rsid w:val="003001B8"/>
    <w:rsid w:val="00302534"/>
    <w:rsid w:val="00302E47"/>
    <w:rsid w:val="00302F94"/>
    <w:rsid w:val="00303889"/>
    <w:rsid w:val="003047D9"/>
    <w:rsid w:val="00305132"/>
    <w:rsid w:val="0030615F"/>
    <w:rsid w:val="0030669B"/>
    <w:rsid w:val="003070B2"/>
    <w:rsid w:val="00316BC7"/>
    <w:rsid w:val="00324F32"/>
    <w:rsid w:val="003279FA"/>
    <w:rsid w:val="00327F8A"/>
    <w:rsid w:val="0033235C"/>
    <w:rsid w:val="00333B33"/>
    <w:rsid w:val="003426C2"/>
    <w:rsid w:val="00344174"/>
    <w:rsid w:val="00344866"/>
    <w:rsid w:val="00345AFC"/>
    <w:rsid w:val="00345ED1"/>
    <w:rsid w:val="00347565"/>
    <w:rsid w:val="00347C3C"/>
    <w:rsid w:val="00350423"/>
    <w:rsid w:val="00350823"/>
    <w:rsid w:val="00352049"/>
    <w:rsid w:val="00352085"/>
    <w:rsid w:val="00352565"/>
    <w:rsid w:val="0035284E"/>
    <w:rsid w:val="00356099"/>
    <w:rsid w:val="00356574"/>
    <w:rsid w:val="003576C8"/>
    <w:rsid w:val="00360D60"/>
    <w:rsid w:val="00363440"/>
    <w:rsid w:val="00370330"/>
    <w:rsid w:val="003751A7"/>
    <w:rsid w:val="00377CD4"/>
    <w:rsid w:val="00380BBB"/>
    <w:rsid w:val="00382AC2"/>
    <w:rsid w:val="00385396"/>
    <w:rsid w:val="003872AA"/>
    <w:rsid w:val="00393B77"/>
    <w:rsid w:val="00395EF3"/>
    <w:rsid w:val="003974FF"/>
    <w:rsid w:val="00397EB2"/>
    <w:rsid w:val="003A08A4"/>
    <w:rsid w:val="003A2518"/>
    <w:rsid w:val="003A259E"/>
    <w:rsid w:val="003A3934"/>
    <w:rsid w:val="003A59AC"/>
    <w:rsid w:val="003A650A"/>
    <w:rsid w:val="003A7321"/>
    <w:rsid w:val="003B01AA"/>
    <w:rsid w:val="003B3AEE"/>
    <w:rsid w:val="003B49F6"/>
    <w:rsid w:val="003B4BBC"/>
    <w:rsid w:val="003B649B"/>
    <w:rsid w:val="003B6C3F"/>
    <w:rsid w:val="003C04C0"/>
    <w:rsid w:val="003C0FFC"/>
    <w:rsid w:val="003C277F"/>
    <w:rsid w:val="003C40B3"/>
    <w:rsid w:val="003C4595"/>
    <w:rsid w:val="003D14C9"/>
    <w:rsid w:val="003D296E"/>
    <w:rsid w:val="003D75D3"/>
    <w:rsid w:val="003E6A9D"/>
    <w:rsid w:val="003F0B58"/>
    <w:rsid w:val="003F1624"/>
    <w:rsid w:val="003F3077"/>
    <w:rsid w:val="003F3772"/>
    <w:rsid w:val="003F4EB3"/>
    <w:rsid w:val="003F6211"/>
    <w:rsid w:val="003F6BAA"/>
    <w:rsid w:val="00400A96"/>
    <w:rsid w:val="0040693C"/>
    <w:rsid w:val="0040772B"/>
    <w:rsid w:val="00410180"/>
    <w:rsid w:val="00411A62"/>
    <w:rsid w:val="0042159A"/>
    <w:rsid w:val="004303D5"/>
    <w:rsid w:val="004306B5"/>
    <w:rsid w:val="00432651"/>
    <w:rsid w:val="00434B96"/>
    <w:rsid w:val="00440E81"/>
    <w:rsid w:val="00441F68"/>
    <w:rsid w:val="00446481"/>
    <w:rsid w:val="0045035A"/>
    <w:rsid w:val="00450B9D"/>
    <w:rsid w:val="00453AC7"/>
    <w:rsid w:val="00455093"/>
    <w:rsid w:val="004560AA"/>
    <w:rsid w:val="004576C8"/>
    <w:rsid w:val="0046371B"/>
    <w:rsid w:val="00465404"/>
    <w:rsid w:val="00470B2A"/>
    <w:rsid w:val="00471062"/>
    <w:rsid w:val="00471DFF"/>
    <w:rsid w:val="00472A87"/>
    <w:rsid w:val="0047388E"/>
    <w:rsid w:val="004773B3"/>
    <w:rsid w:val="00477A4F"/>
    <w:rsid w:val="004802F6"/>
    <w:rsid w:val="004805BA"/>
    <w:rsid w:val="00482100"/>
    <w:rsid w:val="00483323"/>
    <w:rsid w:val="0048335A"/>
    <w:rsid w:val="00483991"/>
    <w:rsid w:val="00483CF3"/>
    <w:rsid w:val="004854D4"/>
    <w:rsid w:val="00487357"/>
    <w:rsid w:val="00491FB0"/>
    <w:rsid w:val="004925D6"/>
    <w:rsid w:val="004934D0"/>
    <w:rsid w:val="00493957"/>
    <w:rsid w:val="00496B35"/>
    <w:rsid w:val="00496CA8"/>
    <w:rsid w:val="00496D00"/>
    <w:rsid w:val="004A0840"/>
    <w:rsid w:val="004A1B1A"/>
    <w:rsid w:val="004A1FC3"/>
    <w:rsid w:val="004A31C7"/>
    <w:rsid w:val="004A33EF"/>
    <w:rsid w:val="004A5466"/>
    <w:rsid w:val="004A5B31"/>
    <w:rsid w:val="004A6B19"/>
    <w:rsid w:val="004A74FF"/>
    <w:rsid w:val="004A7505"/>
    <w:rsid w:val="004B3A14"/>
    <w:rsid w:val="004B55F4"/>
    <w:rsid w:val="004B7050"/>
    <w:rsid w:val="004C1460"/>
    <w:rsid w:val="004C3272"/>
    <w:rsid w:val="004C38B7"/>
    <w:rsid w:val="004D1E5C"/>
    <w:rsid w:val="004D2371"/>
    <w:rsid w:val="004D32E1"/>
    <w:rsid w:val="004D5CCA"/>
    <w:rsid w:val="004D634F"/>
    <w:rsid w:val="004E1509"/>
    <w:rsid w:val="004E3562"/>
    <w:rsid w:val="004E455E"/>
    <w:rsid w:val="004E5974"/>
    <w:rsid w:val="004E60FC"/>
    <w:rsid w:val="004E67BC"/>
    <w:rsid w:val="004E6CA9"/>
    <w:rsid w:val="004E7D47"/>
    <w:rsid w:val="004F1ABF"/>
    <w:rsid w:val="004F357B"/>
    <w:rsid w:val="004F36CD"/>
    <w:rsid w:val="004F4FF8"/>
    <w:rsid w:val="004F687B"/>
    <w:rsid w:val="004F7536"/>
    <w:rsid w:val="004F7E96"/>
    <w:rsid w:val="00501078"/>
    <w:rsid w:val="005017C9"/>
    <w:rsid w:val="005025DC"/>
    <w:rsid w:val="0050658D"/>
    <w:rsid w:val="005065E2"/>
    <w:rsid w:val="00507FB0"/>
    <w:rsid w:val="005101ED"/>
    <w:rsid w:val="005112DC"/>
    <w:rsid w:val="005122C5"/>
    <w:rsid w:val="00514064"/>
    <w:rsid w:val="00516541"/>
    <w:rsid w:val="005201CA"/>
    <w:rsid w:val="005205C8"/>
    <w:rsid w:val="00523AFC"/>
    <w:rsid w:val="00524CD0"/>
    <w:rsid w:val="0052546D"/>
    <w:rsid w:val="00526662"/>
    <w:rsid w:val="00527815"/>
    <w:rsid w:val="00530929"/>
    <w:rsid w:val="00530C00"/>
    <w:rsid w:val="00532414"/>
    <w:rsid w:val="0053306A"/>
    <w:rsid w:val="00533C0E"/>
    <w:rsid w:val="005411AC"/>
    <w:rsid w:val="00542FA1"/>
    <w:rsid w:val="00544C73"/>
    <w:rsid w:val="005461A9"/>
    <w:rsid w:val="00547087"/>
    <w:rsid w:val="0054749F"/>
    <w:rsid w:val="005474D0"/>
    <w:rsid w:val="0055238C"/>
    <w:rsid w:val="005563D6"/>
    <w:rsid w:val="005569BA"/>
    <w:rsid w:val="00556EF9"/>
    <w:rsid w:val="00557694"/>
    <w:rsid w:val="00560FA2"/>
    <w:rsid w:val="0056179E"/>
    <w:rsid w:val="00561B1B"/>
    <w:rsid w:val="00562FBC"/>
    <w:rsid w:val="00563229"/>
    <w:rsid w:val="005645AE"/>
    <w:rsid w:val="00566886"/>
    <w:rsid w:val="00566A56"/>
    <w:rsid w:val="005677EB"/>
    <w:rsid w:val="00571DEA"/>
    <w:rsid w:val="00572031"/>
    <w:rsid w:val="005734DA"/>
    <w:rsid w:val="0057489B"/>
    <w:rsid w:val="005824F6"/>
    <w:rsid w:val="00583AED"/>
    <w:rsid w:val="00584DB2"/>
    <w:rsid w:val="00584F06"/>
    <w:rsid w:val="005868A3"/>
    <w:rsid w:val="00587894"/>
    <w:rsid w:val="00591DBE"/>
    <w:rsid w:val="00593B5B"/>
    <w:rsid w:val="00594C9A"/>
    <w:rsid w:val="005A1E44"/>
    <w:rsid w:val="005A269C"/>
    <w:rsid w:val="005A2903"/>
    <w:rsid w:val="005A3D64"/>
    <w:rsid w:val="005A7C5B"/>
    <w:rsid w:val="005B1E04"/>
    <w:rsid w:val="005B286B"/>
    <w:rsid w:val="005B3957"/>
    <w:rsid w:val="005B4682"/>
    <w:rsid w:val="005B4E14"/>
    <w:rsid w:val="005B6234"/>
    <w:rsid w:val="005C2168"/>
    <w:rsid w:val="005C28A0"/>
    <w:rsid w:val="005C2F7D"/>
    <w:rsid w:val="005C650F"/>
    <w:rsid w:val="005C6A02"/>
    <w:rsid w:val="005C6A5E"/>
    <w:rsid w:val="005D00B2"/>
    <w:rsid w:val="005D0266"/>
    <w:rsid w:val="005D0BD0"/>
    <w:rsid w:val="005D3242"/>
    <w:rsid w:val="005D3DB7"/>
    <w:rsid w:val="005D45B7"/>
    <w:rsid w:val="005D51D3"/>
    <w:rsid w:val="005D554E"/>
    <w:rsid w:val="005D58A3"/>
    <w:rsid w:val="005E0252"/>
    <w:rsid w:val="005E0A02"/>
    <w:rsid w:val="005E3403"/>
    <w:rsid w:val="005E607A"/>
    <w:rsid w:val="005E6621"/>
    <w:rsid w:val="005F196D"/>
    <w:rsid w:val="005F37ED"/>
    <w:rsid w:val="005F3F62"/>
    <w:rsid w:val="005F4C18"/>
    <w:rsid w:val="005F5BA7"/>
    <w:rsid w:val="005F6100"/>
    <w:rsid w:val="00601F06"/>
    <w:rsid w:val="0060337C"/>
    <w:rsid w:val="006038F9"/>
    <w:rsid w:val="00605C0A"/>
    <w:rsid w:val="00606933"/>
    <w:rsid w:val="00610EB8"/>
    <w:rsid w:val="00623361"/>
    <w:rsid w:val="0062419E"/>
    <w:rsid w:val="00624682"/>
    <w:rsid w:val="00625D30"/>
    <w:rsid w:val="00630ED9"/>
    <w:rsid w:val="0063347D"/>
    <w:rsid w:val="00634BC2"/>
    <w:rsid w:val="00635DCD"/>
    <w:rsid w:val="00637641"/>
    <w:rsid w:val="006412D6"/>
    <w:rsid w:val="00642E67"/>
    <w:rsid w:val="0064374C"/>
    <w:rsid w:val="0064441D"/>
    <w:rsid w:val="006469A6"/>
    <w:rsid w:val="00650072"/>
    <w:rsid w:val="0065055B"/>
    <w:rsid w:val="00651CCC"/>
    <w:rsid w:val="0065560F"/>
    <w:rsid w:val="006603C9"/>
    <w:rsid w:val="006607FB"/>
    <w:rsid w:val="00661916"/>
    <w:rsid w:val="00662579"/>
    <w:rsid w:val="00663CDC"/>
    <w:rsid w:val="00664FE0"/>
    <w:rsid w:val="00665BA8"/>
    <w:rsid w:val="00666C4B"/>
    <w:rsid w:val="00666E78"/>
    <w:rsid w:val="0066773E"/>
    <w:rsid w:val="00671BA0"/>
    <w:rsid w:val="00672AFF"/>
    <w:rsid w:val="0067330C"/>
    <w:rsid w:val="00674BB3"/>
    <w:rsid w:val="00675782"/>
    <w:rsid w:val="0067612F"/>
    <w:rsid w:val="00676814"/>
    <w:rsid w:val="0068153A"/>
    <w:rsid w:val="006820A7"/>
    <w:rsid w:val="0069312E"/>
    <w:rsid w:val="006A108E"/>
    <w:rsid w:val="006A2178"/>
    <w:rsid w:val="006A37BC"/>
    <w:rsid w:val="006A5A9E"/>
    <w:rsid w:val="006A5FBE"/>
    <w:rsid w:val="006A6F17"/>
    <w:rsid w:val="006A7ADA"/>
    <w:rsid w:val="006B00C8"/>
    <w:rsid w:val="006B062F"/>
    <w:rsid w:val="006B2246"/>
    <w:rsid w:val="006B5D7E"/>
    <w:rsid w:val="006B77B3"/>
    <w:rsid w:val="006C0689"/>
    <w:rsid w:val="006C270E"/>
    <w:rsid w:val="006C27F1"/>
    <w:rsid w:val="006C3623"/>
    <w:rsid w:val="006C3FA7"/>
    <w:rsid w:val="006C5847"/>
    <w:rsid w:val="006C5C71"/>
    <w:rsid w:val="006D0895"/>
    <w:rsid w:val="006D11C3"/>
    <w:rsid w:val="006D1B3A"/>
    <w:rsid w:val="006D2E44"/>
    <w:rsid w:val="006D37C8"/>
    <w:rsid w:val="006D562F"/>
    <w:rsid w:val="006E0C85"/>
    <w:rsid w:val="006E4A32"/>
    <w:rsid w:val="006E58AE"/>
    <w:rsid w:val="006E7D94"/>
    <w:rsid w:val="006F1F4A"/>
    <w:rsid w:val="006F2F39"/>
    <w:rsid w:val="006F5910"/>
    <w:rsid w:val="006F6249"/>
    <w:rsid w:val="006F70DB"/>
    <w:rsid w:val="00700320"/>
    <w:rsid w:val="00702ABA"/>
    <w:rsid w:val="00707CAC"/>
    <w:rsid w:val="00715E98"/>
    <w:rsid w:val="007161A4"/>
    <w:rsid w:val="0071684F"/>
    <w:rsid w:val="00716AFA"/>
    <w:rsid w:val="0072337B"/>
    <w:rsid w:val="00725C01"/>
    <w:rsid w:val="007268E0"/>
    <w:rsid w:val="00732990"/>
    <w:rsid w:val="007360A7"/>
    <w:rsid w:val="007363B4"/>
    <w:rsid w:val="00736A62"/>
    <w:rsid w:val="007412AB"/>
    <w:rsid w:val="00741F4B"/>
    <w:rsid w:val="007433E1"/>
    <w:rsid w:val="00743C34"/>
    <w:rsid w:val="007440B7"/>
    <w:rsid w:val="007477F1"/>
    <w:rsid w:val="00747A9F"/>
    <w:rsid w:val="00752F6B"/>
    <w:rsid w:val="0075310F"/>
    <w:rsid w:val="00753D94"/>
    <w:rsid w:val="0076243F"/>
    <w:rsid w:val="00763C75"/>
    <w:rsid w:val="00766D0B"/>
    <w:rsid w:val="007710E9"/>
    <w:rsid w:val="007729FF"/>
    <w:rsid w:val="007749E0"/>
    <w:rsid w:val="0078115C"/>
    <w:rsid w:val="0078146B"/>
    <w:rsid w:val="00781731"/>
    <w:rsid w:val="00783B01"/>
    <w:rsid w:val="007842E5"/>
    <w:rsid w:val="007843C3"/>
    <w:rsid w:val="007846FA"/>
    <w:rsid w:val="00784B43"/>
    <w:rsid w:val="00784BB5"/>
    <w:rsid w:val="00785E8D"/>
    <w:rsid w:val="007866FB"/>
    <w:rsid w:val="00790F7C"/>
    <w:rsid w:val="00792DE9"/>
    <w:rsid w:val="00793E34"/>
    <w:rsid w:val="00794073"/>
    <w:rsid w:val="00795533"/>
    <w:rsid w:val="00796103"/>
    <w:rsid w:val="00796619"/>
    <w:rsid w:val="007A197A"/>
    <w:rsid w:val="007A38D9"/>
    <w:rsid w:val="007A5E73"/>
    <w:rsid w:val="007B00A0"/>
    <w:rsid w:val="007B0E79"/>
    <w:rsid w:val="007B19C0"/>
    <w:rsid w:val="007B2E72"/>
    <w:rsid w:val="007B3EC4"/>
    <w:rsid w:val="007B65C1"/>
    <w:rsid w:val="007B66EC"/>
    <w:rsid w:val="007B71A5"/>
    <w:rsid w:val="007B762C"/>
    <w:rsid w:val="007B78B8"/>
    <w:rsid w:val="007C1C02"/>
    <w:rsid w:val="007C1F60"/>
    <w:rsid w:val="007C2C64"/>
    <w:rsid w:val="007C3625"/>
    <w:rsid w:val="007C4BC6"/>
    <w:rsid w:val="007C578C"/>
    <w:rsid w:val="007C58B4"/>
    <w:rsid w:val="007C71A4"/>
    <w:rsid w:val="007D3010"/>
    <w:rsid w:val="007D3478"/>
    <w:rsid w:val="007D5902"/>
    <w:rsid w:val="007D61E7"/>
    <w:rsid w:val="007D6202"/>
    <w:rsid w:val="007D7F22"/>
    <w:rsid w:val="007E0C47"/>
    <w:rsid w:val="007E3223"/>
    <w:rsid w:val="007F1807"/>
    <w:rsid w:val="007F25CB"/>
    <w:rsid w:val="007F34D7"/>
    <w:rsid w:val="007F67B4"/>
    <w:rsid w:val="008044FE"/>
    <w:rsid w:val="008052DB"/>
    <w:rsid w:val="00805581"/>
    <w:rsid w:val="008105F6"/>
    <w:rsid w:val="0081177A"/>
    <w:rsid w:val="00813A7B"/>
    <w:rsid w:val="00814D82"/>
    <w:rsid w:val="00816335"/>
    <w:rsid w:val="00816A91"/>
    <w:rsid w:val="00816CDF"/>
    <w:rsid w:val="00817247"/>
    <w:rsid w:val="008174CB"/>
    <w:rsid w:val="0081786A"/>
    <w:rsid w:val="00817DA8"/>
    <w:rsid w:val="00822457"/>
    <w:rsid w:val="00822AF5"/>
    <w:rsid w:val="00822D39"/>
    <w:rsid w:val="0082409D"/>
    <w:rsid w:val="008244BE"/>
    <w:rsid w:val="008248BE"/>
    <w:rsid w:val="00825F7C"/>
    <w:rsid w:val="0082669D"/>
    <w:rsid w:val="00827905"/>
    <w:rsid w:val="008317DF"/>
    <w:rsid w:val="0083406C"/>
    <w:rsid w:val="00834AE8"/>
    <w:rsid w:val="00835D56"/>
    <w:rsid w:val="00841264"/>
    <w:rsid w:val="008432AE"/>
    <w:rsid w:val="00843980"/>
    <w:rsid w:val="00844393"/>
    <w:rsid w:val="0084442A"/>
    <w:rsid w:val="00844EFC"/>
    <w:rsid w:val="00846729"/>
    <w:rsid w:val="00851578"/>
    <w:rsid w:val="00852DC3"/>
    <w:rsid w:val="00853087"/>
    <w:rsid w:val="00853B9D"/>
    <w:rsid w:val="008545B6"/>
    <w:rsid w:val="00855CAB"/>
    <w:rsid w:val="00855D6C"/>
    <w:rsid w:val="00857ECB"/>
    <w:rsid w:val="008624F3"/>
    <w:rsid w:val="008625D3"/>
    <w:rsid w:val="00862D68"/>
    <w:rsid w:val="00863BF5"/>
    <w:rsid w:val="00863BF6"/>
    <w:rsid w:val="00864126"/>
    <w:rsid w:val="00864835"/>
    <w:rsid w:val="00864A3C"/>
    <w:rsid w:val="00864B91"/>
    <w:rsid w:val="00866357"/>
    <w:rsid w:val="0086636E"/>
    <w:rsid w:val="00866978"/>
    <w:rsid w:val="00866C33"/>
    <w:rsid w:val="00866CDD"/>
    <w:rsid w:val="00866D9E"/>
    <w:rsid w:val="0086704A"/>
    <w:rsid w:val="0086732D"/>
    <w:rsid w:val="00871523"/>
    <w:rsid w:val="00873B0D"/>
    <w:rsid w:val="008770BB"/>
    <w:rsid w:val="008770DC"/>
    <w:rsid w:val="00877DA6"/>
    <w:rsid w:val="00877F1E"/>
    <w:rsid w:val="008828D6"/>
    <w:rsid w:val="008828E1"/>
    <w:rsid w:val="00885979"/>
    <w:rsid w:val="00887892"/>
    <w:rsid w:val="0089055A"/>
    <w:rsid w:val="00893355"/>
    <w:rsid w:val="00894422"/>
    <w:rsid w:val="008A1114"/>
    <w:rsid w:val="008A2FD4"/>
    <w:rsid w:val="008A3336"/>
    <w:rsid w:val="008A3620"/>
    <w:rsid w:val="008A3D6F"/>
    <w:rsid w:val="008A4411"/>
    <w:rsid w:val="008A6EA2"/>
    <w:rsid w:val="008B33DD"/>
    <w:rsid w:val="008B5E6D"/>
    <w:rsid w:val="008B6AD3"/>
    <w:rsid w:val="008B730C"/>
    <w:rsid w:val="008B7E5C"/>
    <w:rsid w:val="008C1C57"/>
    <w:rsid w:val="008C4757"/>
    <w:rsid w:val="008C48B4"/>
    <w:rsid w:val="008C6964"/>
    <w:rsid w:val="008D0F37"/>
    <w:rsid w:val="008D1506"/>
    <w:rsid w:val="008D1EB9"/>
    <w:rsid w:val="008D321E"/>
    <w:rsid w:val="008D69EE"/>
    <w:rsid w:val="008D6A05"/>
    <w:rsid w:val="008D7176"/>
    <w:rsid w:val="008D7662"/>
    <w:rsid w:val="008E1123"/>
    <w:rsid w:val="008E2795"/>
    <w:rsid w:val="008E687D"/>
    <w:rsid w:val="008E74C9"/>
    <w:rsid w:val="008F2B34"/>
    <w:rsid w:val="008F4C5C"/>
    <w:rsid w:val="008F64A2"/>
    <w:rsid w:val="0090202E"/>
    <w:rsid w:val="00902C20"/>
    <w:rsid w:val="009033E0"/>
    <w:rsid w:val="00903CC6"/>
    <w:rsid w:val="00906AD4"/>
    <w:rsid w:val="00906CDF"/>
    <w:rsid w:val="00907C84"/>
    <w:rsid w:val="009115D5"/>
    <w:rsid w:val="009116C6"/>
    <w:rsid w:val="00911BA5"/>
    <w:rsid w:val="00911C14"/>
    <w:rsid w:val="009208FB"/>
    <w:rsid w:val="0092553D"/>
    <w:rsid w:val="009273D0"/>
    <w:rsid w:val="00927831"/>
    <w:rsid w:val="0093675D"/>
    <w:rsid w:val="00942EB9"/>
    <w:rsid w:val="00945768"/>
    <w:rsid w:val="0095036A"/>
    <w:rsid w:val="0095097C"/>
    <w:rsid w:val="00950CB1"/>
    <w:rsid w:val="00951AB7"/>
    <w:rsid w:val="00955FBF"/>
    <w:rsid w:val="00956268"/>
    <w:rsid w:val="00956480"/>
    <w:rsid w:val="009565A1"/>
    <w:rsid w:val="00960801"/>
    <w:rsid w:val="00963EF9"/>
    <w:rsid w:val="009645C5"/>
    <w:rsid w:val="00965359"/>
    <w:rsid w:val="0096578B"/>
    <w:rsid w:val="009671D4"/>
    <w:rsid w:val="00967416"/>
    <w:rsid w:val="009719C9"/>
    <w:rsid w:val="009756A2"/>
    <w:rsid w:val="00975E20"/>
    <w:rsid w:val="0097732E"/>
    <w:rsid w:val="00977B71"/>
    <w:rsid w:val="00977D4D"/>
    <w:rsid w:val="009815EC"/>
    <w:rsid w:val="009817A8"/>
    <w:rsid w:val="00985D4A"/>
    <w:rsid w:val="009865AA"/>
    <w:rsid w:val="009874F9"/>
    <w:rsid w:val="00990605"/>
    <w:rsid w:val="00991334"/>
    <w:rsid w:val="00991FFB"/>
    <w:rsid w:val="00994D27"/>
    <w:rsid w:val="00995363"/>
    <w:rsid w:val="00997119"/>
    <w:rsid w:val="009A11D4"/>
    <w:rsid w:val="009A2BC2"/>
    <w:rsid w:val="009A2D24"/>
    <w:rsid w:val="009A3ADE"/>
    <w:rsid w:val="009A3D81"/>
    <w:rsid w:val="009A57A8"/>
    <w:rsid w:val="009A5D68"/>
    <w:rsid w:val="009A5DC7"/>
    <w:rsid w:val="009A7A93"/>
    <w:rsid w:val="009B0102"/>
    <w:rsid w:val="009B0837"/>
    <w:rsid w:val="009B2159"/>
    <w:rsid w:val="009B225D"/>
    <w:rsid w:val="009B2B92"/>
    <w:rsid w:val="009B43B0"/>
    <w:rsid w:val="009B4DB8"/>
    <w:rsid w:val="009B5CFA"/>
    <w:rsid w:val="009B64DA"/>
    <w:rsid w:val="009C0FCF"/>
    <w:rsid w:val="009C1589"/>
    <w:rsid w:val="009C5367"/>
    <w:rsid w:val="009C6F1B"/>
    <w:rsid w:val="009C753D"/>
    <w:rsid w:val="009D080F"/>
    <w:rsid w:val="009D3B97"/>
    <w:rsid w:val="009D3D72"/>
    <w:rsid w:val="009D5419"/>
    <w:rsid w:val="009D7913"/>
    <w:rsid w:val="009E32D1"/>
    <w:rsid w:val="009E3A96"/>
    <w:rsid w:val="009E4E9C"/>
    <w:rsid w:val="009E50FA"/>
    <w:rsid w:val="009E5233"/>
    <w:rsid w:val="009E6A35"/>
    <w:rsid w:val="009E756B"/>
    <w:rsid w:val="009E7B1B"/>
    <w:rsid w:val="009F1B16"/>
    <w:rsid w:val="009F28F9"/>
    <w:rsid w:val="009F3C1B"/>
    <w:rsid w:val="009F3E71"/>
    <w:rsid w:val="009F738C"/>
    <w:rsid w:val="00A04320"/>
    <w:rsid w:val="00A07D96"/>
    <w:rsid w:val="00A10632"/>
    <w:rsid w:val="00A10A9E"/>
    <w:rsid w:val="00A11BEB"/>
    <w:rsid w:val="00A13E00"/>
    <w:rsid w:val="00A20211"/>
    <w:rsid w:val="00A22BDD"/>
    <w:rsid w:val="00A2518D"/>
    <w:rsid w:val="00A25D81"/>
    <w:rsid w:val="00A27983"/>
    <w:rsid w:val="00A30F9B"/>
    <w:rsid w:val="00A326FE"/>
    <w:rsid w:val="00A32ADA"/>
    <w:rsid w:val="00A3395C"/>
    <w:rsid w:val="00A3495A"/>
    <w:rsid w:val="00A36312"/>
    <w:rsid w:val="00A414A0"/>
    <w:rsid w:val="00A4249F"/>
    <w:rsid w:val="00A5218B"/>
    <w:rsid w:val="00A5421C"/>
    <w:rsid w:val="00A551E1"/>
    <w:rsid w:val="00A55A3B"/>
    <w:rsid w:val="00A6012D"/>
    <w:rsid w:val="00A62145"/>
    <w:rsid w:val="00A6425C"/>
    <w:rsid w:val="00A643CF"/>
    <w:rsid w:val="00A74A80"/>
    <w:rsid w:val="00A75CEB"/>
    <w:rsid w:val="00A76113"/>
    <w:rsid w:val="00A76132"/>
    <w:rsid w:val="00A76736"/>
    <w:rsid w:val="00A80243"/>
    <w:rsid w:val="00A80E85"/>
    <w:rsid w:val="00A85330"/>
    <w:rsid w:val="00A85FC2"/>
    <w:rsid w:val="00A878B0"/>
    <w:rsid w:val="00A93570"/>
    <w:rsid w:val="00A93F98"/>
    <w:rsid w:val="00A962D5"/>
    <w:rsid w:val="00AA0535"/>
    <w:rsid w:val="00AA1FF3"/>
    <w:rsid w:val="00AA2470"/>
    <w:rsid w:val="00AA3581"/>
    <w:rsid w:val="00AA4397"/>
    <w:rsid w:val="00AA4581"/>
    <w:rsid w:val="00AA4E9E"/>
    <w:rsid w:val="00AA535C"/>
    <w:rsid w:val="00AA6196"/>
    <w:rsid w:val="00AB2331"/>
    <w:rsid w:val="00AB2737"/>
    <w:rsid w:val="00AB293D"/>
    <w:rsid w:val="00AB2EC0"/>
    <w:rsid w:val="00AB3842"/>
    <w:rsid w:val="00AB422B"/>
    <w:rsid w:val="00AB4D20"/>
    <w:rsid w:val="00AB7AE9"/>
    <w:rsid w:val="00AB7C24"/>
    <w:rsid w:val="00AC1AC2"/>
    <w:rsid w:val="00AC6694"/>
    <w:rsid w:val="00AD25E2"/>
    <w:rsid w:val="00AD310A"/>
    <w:rsid w:val="00AD367E"/>
    <w:rsid w:val="00AD3C64"/>
    <w:rsid w:val="00AD5CB1"/>
    <w:rsid w:val="00AE1829"/>
    <w:rsid w:val="00AE2E01"/>
    <w:rsid w:val="00AE4335"/>
    <w:rsid w:val="00AE555E"/>
    <w:rsid w:val="00AE6896"/>
    <w:rsid w:val="00AE7090"/>
    <w:rsid w:val="00AE7381"/>
    <w:rsid w:val="00AE78CC"/>
    <w:rsid w:val="00AF149C"/>
    <w:rsid w:val="00AF175A"/>
    <w:rsid w:val="00AF19B3"/>
    <w:rsid w:val="00AF2ACF"/>
    <w:rsid w:val="00AF40D4"/>
    <w:rsid w:val="00AF4AAE"/>
    <w:rsid w:val="00B008F7"/>
    <w:rsid w:val="00B00A44"/>
    <w:rsid w:val="00B00D26"/>
    <w:rsid w:val="00B01879"/>
    <w:rsid w:val="00B01D80"/>
    <w:rsid w:val="00B02799"/>
    <w:rsid w:val="00B04CCD"/>
    <w:rsid w:val="00B051F3"/>
    <w:rsid w:val="00B070BF"/>
    <w:rsid w:val="00B07AAC"/>
    <w:rsid w:val="00B1007C"/>
    <w:rsid w:val="00B1095E"/>
    <w:rsid w:val="00B11B94"/>
    <w:rsid w:val="00B12D72"/>
    <w:rsid w:val="00B16FD2"/>
    <w:rsid w:val="00B170BB"/>
    <w:rsid w:val="00B22D18"/>
    <w:rsid w:val="00B30F2B"/>
    <w:rsid w:val="00B3142D"/>
    <w:rsid w:val="00B3299C"/>
    <w:rsid w:val="00B33504"/>
    <w:rsid w:val="00B35E43"/>
    <w:rsid w:val="00B37DD8"/>
    <w:rsid w:val="00B4017E"/>
    <w:rsid w:val="00B41D7B"/>
    <w:rsid w:val="00B42E5C"/>
    <w:rsid w:val="00B439CD"/>
    <w:rsid w:val="00B441F2"/>
    <w:rsid w:val="00B4524C"/>
    <w:rsid w:val="00B45258"/>
    <w:rsid w:val="00B46066"/>
    <w:rsid w:val="00B46FF2"/>
    <w:rsid w:val="00B50086"/>
    <w:rsid w:val="00B52377"/>
    <w:rsid w:val="00B53F9A"/>
    <w:rsid w:val="00B56DFE"/>
    <w:rsid w:val="00B57412"/>
    <w:rsid w:val="00B60DA1"/>
    <w:rsid w:val="00B63F34"/>
    <w:rsid w:val="00B65E1A"/>
    <w:rsid w:val="00B66993"/>
    <w:rsid w:val="00B66CC8"/>
    <w:rsid w:val="00B70604"/>
    <w:rsid w:val="00B7085B"/>
    <w:rsid w:val="00B70A22"/>
    <w:rsid w:val="00B73824"/>
    <w:rsid w:val="00B759A3"/>
    <w:rsid w:val="00B761DB"/>
    <w:rsid w:val="00B83F12"/>
    <w:rsid w:val="00B83F27"/>
    <w:rsid w:val="00B858CF"/>
    <w:rsid w:val="00B85A42"/>
    <w:rsid w:val="00B9480A"/>
    <w:rsid w:val="00B965FD"/>
    <w:rsid w:val="00B96A4F"/>
    <w:rsid w:val="00BA0014"/>
    <w:rsid w:val="00BA0E63"/>
    <w:rsid w:val="00BA361B"/>
    <w:rsid w:val="00BA52D6"/>
    <w:rsid w:val="00BA6BAD"/>
    <w:rsid w:val="00BA7E86"/>
    <w:rsid w:val="00BB0A1D"/>
    <w:rsid w:val="00BB24C0"/>
    <w:rsid w:val="00BB260D"/>
    <w:rsid w:val="00BB3609"/>
    <w:rsid w:val="00BB455C"/>
    <w:rsid w:val="00BB461F"/>
    <w:rsid w:val="00BB4E63"/>
    <w:rsid w:val="00BB6C40"/>
    <w:rsid w:val="00BB73AC"/>
    <w:rsid w:val="00BB7F7F"/>
    <w:rsid w:val="00BC1415"/>
    <w:rsid w:val="00BC1A36"/>
    <w:rsid w:val="00BC1AFA"/>
    <w:rsid w:val="00BC2B6D"/>
    <w:rsid w:val="00BC4189"/>
    <w:rsid w:val="00BC4197"/>
    <w:rsid w:val="00BC4589"/>
    <w:rsid w:val="00BC4854"/>
    <w:rsid w:val="00BC4867"/>
    <w:rsid w:val="00BC7AB6"/>
    <w:rsid w:val="00BD1C13"/>
    <w:rsid w:val="00BD24B9"/>
    <w:rsid w:val="00BD2DD3"/>
    <w:rsid w:val="00BD553D"/>
    <w:rsid w:val="00BD7ACA"/>
    <w:rsid w:val="00BD7E7B"/>
    <w:rsid w:val="00BE053B"/>
    <w:rsid w:val="00BE2099"/>
    <w:rsid w:val="00BE60DC"/>
    <w:rsid w:val="00BF1295"/>
    <w:rsid w:val="00BF14D6"/>
    <w:rsid w:val="00BF17CC"/>
    <w:rsid w:val="00BF438F"/>
    <w:rsid w:val="00C04201"/>
    <w:rsid w:val="00C104D4"/>
    <w:rsid w:val="00C10B59"/>
    <w:rsid w:val="00C10C83"/>
    <w:rsid w:val="00C11079"/>
    <w:rsid w:val="00C14F69"/>
    <w:rsid w:val="00C15D6A"/>
    <w:rsid w:val="00C164E9"/>
    <w:rsid w:val="00C16940"/>
    <w:rsid w:val="00C22974"/>
    <w:rsid w:val="00C2557A"/>
    <w:rsid w:val="00C32076"/>
    <w:rsid w:val="00C32940"/>
    <w:rsid w:val="00C3314E"/>
    <w:rsid w:val="00C3328D"/>
    <w:rsid w:val="00C3411A"/>
    <w:rsid w:val="00C3606A"/>
    <w:rsid w:val="00C37A98"/>
    <w:rsid w:val="00C41687"/>
    <w:rsid w:val="00C416EC"/>
    <w:rsid w:val="00C46809"/>
    <w:rsid w:val="00C50F32"/>
    <w:rsid w:val="00C516D2"/>
    <w:rsid w:val="00C51BBA"/>
    <w:rsid w:val="00C5306C"/>
    <w:rsid w:val="00C53205"/>
    <w:rsid w:val="00C5369C"/>
    <w:rsid w:val="00C540D5"/>
    <w:rsid w:val="00C54A10"/>
    <w:rsid w:val="00C5531D"/>
    <w:rsid w:val="00C55BBA"/>
    <w:rsid w:val="00C63838"/>
    <w:rsid w:val="00C64B65"/>
    <w:rsid w:val="00C64CC8"/>
    <w:rsid w:val="00C64D7B"/>
    <w:rsid w:val="00C65E6B"/>
    <w:rsid w:val="00C6705C"/>
    <w:rsid w:val="00C70C5A"/>
    <w:rsid w:val="00C751D5"/>
    <w:rsid w:val="00C76E89"/>
    <w:rsid w:val="00C77327"/>
    <w:rsid w:val="00C81C62"/>
    <w:rsid w:val="00C820F2"/>
    <w:rsid w:val="00C83B2F"/>
    <w:rsid w:val="00C85EEC"/>
    <w:rsid w:val="00C86CDE"/>
    <w:rsid w:val="00C900E2"/>
    <w:rsid w:val="00C92874"/>
    <w:rsid w:val="00C94F87"/>
    <w:rsid w:val="00CA0C39"/>
    <w:rsid w:val="00CA51CD"/>
    <w:rsid w:val="00CA6264"/>
    <w:rsid w:val="00CA6662"/>
    <w:rsid w:val="00CB5A29"/>
    <w:rsid w:val="00CB6EC1"/>
    <w:rsid w:val="00CC1728"/>
    <w:rsid w:val="00CC2A38"/>
    <w:rsid w:val="00CC3199"/>
    <w:rsid w:val="00CC322C"/>
    <w:rsid w:val="00CD3131"/>
    <w:rsid w:val="00CD4368"/>
    <w:rsid w:val="00CD49C2"/>
    <w:rsid w:val="00CD4D84"/>
    <w:rsid w:val="00CD629E"/>
    <w:rsid w:val="00CD721C"/>
    <w:rsid w:val="00CD7C85"/>
    <w:rsid w:val="00CE3796"/>
    <w:rsid w:val="00CE3BED"/>
    <w:rsid w:val="00CE4F4A"/>
    <w:rsid w:val="00CF1233"/>
    <w:rsid w:val="00CF1F10"/>
    <w:rsid w:val="00CF5303"/>
    <w:rsid w:val="00CF5A8F"/>
    <w:rsid w:val="00D0056B"/>
    <w:rsid w:val="00D0109A"/>
    <w:rsid w:val="00D0117B"/>
    <w:rsid w:val="00D04BED"/>
    <w:rsid w:val="00D0573A"/>
    <w:rsid w:val="00D07182"/>
    <w:rsid w:val="00D07342"/>
    <w:rsid w:val="00D11CB7"/>
    <w:rsid w:val="00D12C88"/>
    <w:rsid w:val="00D142E7"/>
    <w:rsid w:val="00D154F5"/>
    <w:rsid w:val="00D15F6E"/>
    <w:rsid w:val="00D168FE"/>
    <w:rsid w:val="00D17536"/>
    <w:rsid w:val="00D20C3C"/>
    <w:rsid w:val="00D223EC"/>
    <w:rsid w:val="00D24231"/>
    <w:rsid w:val="00D25F6F"/>
    <w:rsid w:val="00D27812"/>
    <w:rsid w:val="00D2794C"/>
    <w:rsid w:val="00D31200"/>
    <w:rsid w:val="00D325FB"/>
    <w:rsid w:val="00D33392"/>
    <w:rsid w:val="00D35440"/>
    <w:rsid w:val="00D365BA"/>
    <w:rsid w:val="00D431A7"/>
    <w:rsid w:val="00D4400D"/>
    <w:rsid w:val="00D53338"/>
    <w:rsid w:val="00D53DBA"/>
    <w:rsid w:val="00D53E5D"/>
    <w:rsid w:val="00D579C6"/>
    <w:rsid w:val="00D61B85"/>
    <w:rsid w:val="00D62B71"/>
    <w:rsid w:val="00D65DB4"/>
    <w:rsid w:val="00D66BB1"/>
    <w:rsid w:val="00D67914"/>
    <w:rsid w:val="00D7204E"/>
    <w:rsid w:val="00D741E4"/>
    <w:rsid w:val="00D75368"/>
    <w:rsid w:val="00D75875"/>
    <w:rsid w:val="00D76BF6"/>
    <w:rsid w:val="00D83783"/>
    <w:rsid w:val="00D86C6A"/>
    <w:rsid w:val="00D900F1"/>
    <w:rsid w:val="00D90C88"/>
    <w:rsid w:val="00D94670"/>
    <w:rsid w:val="00D9657A"/>
    <w:rsid w:val="00D96C04"/>
    <w:rsid w:val="00DA3167"/>
    <w:rsid w:val="00DA3601"/>
    <w:rsid w:val="00DA53CA"/>
    <w:rsid w:val="00DA628A"/>
    <w:rsid w:val="00DA7394"/>
    <w:rsid w:val="00DB0B1E"/>
    <w:rsid w:val="00DB2A64"/>
    <w:rsid w:val="00DB2EDA"/>
    <w:rsid w:val="00DC1DF6"/>
    <w:rsid w:val="00DC6380"/>
    <w:rsid w:val="00DC6BDA"/>
    <w:rsid w:val="00DD0876"/>
    <w:rsid w:val="00DD2657"/>
    <w:rsid w:val="00DD30ED"/>
    <w:rsid w:val="00DD6753"/>
    <w:rsid w:val="00DD6CB6"/>
    <w:rsid w:val="00DD6ECB"/>
    <w:rsid w:val="00DE1532"/>
    <w:rsid w:val="00DE2B94"/>
    <w:rsid w:val="00DE2C59"/>
    <w:rsid w:val="00DE326B"/>
    <w:rsid w:val="00DE58B7"/>
    <w:rsid w:val="00DE6E0E"/>
    <w:rsid w:val="00DF21B2"/>
    <w:rsid w:val="00DF30AA"/>
    <w:rsid w:val="00DF39BE"/>
    <w:rsid w:val="00DF583E"/>
    <w:rsid w:val="00DF66C5"/>
    <w:rsid w:val="00DF6DC1"/>
    <w:rsid w:val="00DF76E3"/>
    <w:rsid w:val="00E02F7E"/>
    <w:rsid w:val="00E033B0"/>
    <w:rsid w:val="00E03EE8"/>
    <w:rsid w:val="00E0475F"/>
    <w:rsid w:val="00E05D78"/>
    <w:rsid w:val="00E06E6B"/>
    <w:rsid w:val="00E10D2E"/>
    <w:rsid w:val="00E11483"/>
    <w:rsid w:val="00E13602"/>
    <w:rsid w:val="00E13D41"/>
    <w:rsid w:val="00E14BD8"/>
    <w:rsid w:val="00E15E31"/>
    <w:rsid w:val="00E172C8"/>
    <w:rsid w:val="00E17792"/>
    <w:rsid w:val="00E22546"/>
    <w:rsid w:val="00E236A6"/>
    <w:rsid w:val="00E323CA"/>
    <w:rsid w:val="00E37BED"/>
    <w:rsid w:val="00E41FD7"/>
    <w:rsid w:val="00E42C1D"/>
    <w:rsid w:val="00E43A83"/>
    <w:rsid w:val="00E43E3C"/>
    <w:rsid w:val="00E44D46"/>
    <w:rsid w:val="00E46048"/>
    <w:rsid w:val="00E46EE5"/>
    <w:rsid w:val="00E47CB7"/>
    <w:rsid w:val="00E512DE"/>
    <w:rsid w:val="00E52A6D"/>
    <w:rsid w:val="00E54A77"/>
    <w:rsid w:val="00E5577F"/>
    <w:rsid w:val="00E56FC7"/>
    <w:rsid w:val="00E57A08"/>
    <w:rsid w:val="00E606F0"/>
    <w:rsid w:val="00E60753"/>
    <w:rsid w:val="00E67DFC"/>
    <w:rsid w:val="00E732FA"/>
    <w:rsid w:val="00E735B6"/>
    <w:rsid w:val="00E73B30"/>
    <w:rsid w:val="00E74626"/>
    <w:rsid w:val="00E7779F"/>
    <w:rsid w:val="00E77B9F"/>
    <w:rsid w:val="00E80E21"/>
    <w:rsid w:val="00E82A8D"/>
    <w:rsid w:val="00E82B8C"/>
    <w:rsid w:val="00E878C5"/>
    <w:rsid w:val="00E93287"/>
    <w:rsid w:val="00E95A36"/>
    <w:rsid w:val="00E9618D"/>
    <w:rsid w:val="00EA0AF7"/>
    <w:rsid w:val="00EA1F3B"/>
    <w:rsid w:val="00EA44BE"/>
    <w:rsid w:val="00EA572B"/>
    <w:rsid w:val="00EA6BE9"/>
    <w:rsid w:val="00EA7364"/>
    <w:rsid w:val="00EA7386"/>
    <w:rsid w:val="00EB5FA3"/>
    <w:rsid w:val="00EB6601"/>
    <w:rsid w:val="00EB674C"/>
    <w:rsid w:val="00EB759B"/>
    <w:rsid w:val="00EB7C91"/>
    <w:rsid w:val="00EC1ACC"/>
    <w:rsid w:val="00EC348E"/>
    <w:rsid w:val="00EC3858"/>
    <w:rsid w:val="00EC4EF3"/>
    <w:rsid w:val="00EC6115"/>
    <w:rsid w:val="00ED0FEC"/>
    <w:rsid w:val="00ED1545"/>
    <w:rsid w:val="00ED3C74"/>
    <w:rsid w:val="00ED5CE9"/>
    <w:rsid w:val="00EE0157"/>
    <w:rsid w:val="00EE0B8A"/>
    <w:rsid w:val="00EE1439"/>
    <w:rsid w:val="00EE2DD6"/>
    <w:rsid w:val="00EE3236"/>
    <w:rsid w:val="00EE436B"/>
    <w:rsid w:val="00EE7384"/>
    <w:rsid w:val="00EE7A75"/>
    <w:rsid w:val="00EF0EF3"/>
    <w:rsid w:val="00EF316C"/>
    <w:rsid w:val="00EF4E84"/>
    <w:rsid w:val="00EF59AB"/>
    <w:rsid w:val="00EF6636"/>
    <w:rsid w:val="00F00AF4"/>
    <w:rsid w:val="00F03EE1"/>
    <w:rsid w:val="00F04AF4"/>
    <w:rsid w:val="00F04F4D"/>
    <w:rsid w:val="00F0539B"/>
    <w:rsid w:val="00F10236"/>
    <w:rsid w:val="00F10B28"/>
    <w:rsid w:val="00F10BC8"/>
    <w:rsid w:val="00F11587"/>
    <w:rsid w:val="00F11683"/>
    <w:rsid w:val="00F1459C"/>
    <w:rsid w:val="00F17144"/>
    <w:rsid w:val="00F17ABB"/>
    <w:rsid w:val="00F206F3"/>
    <w:rsid w:val="00F2154E"/>
    <w:rsid w:val="00F229AA"/>
    <w:rsid w:val="00F2570F"/>
    <w:rsid w:val="00F26741"/>
    <w:rsid w:val="00F26C4A"/>
    <w:rsid w:val="00F3775C"/>
    <w:rsid w:val="00F40D89"/>
    <w:rsid w:val="00F417CB"/>
    <w:rsid w:val="00F429CA"/>
    <w:rsid w:val="00F43A88"/>
    <w:rsid w:val="00F460B9"/>
    <w:rsid w:val="00F47368"/>
    <w:rsid w:val="00F52C82"/>
    <w:rsid w:val="00F53384"/>
    <w:rsid w:val="00F570B8"/>
    <w:rsid w:val="00F6182C"/>
    <w:rsid w:val="00F63B3E"/>
    <w:rsid w:val="00F64E07"/>
    <w:rsid w:val="00F6555E"/>
    <w:rsid w:val="00F655CA"/>
    <w:rsid w:val="00F664C7"/>
    <w:rsid w:val="00F701FD"/>
    <w:rsid w:val="00F705D1"/>
    <w:rsid w:val="00F71B0B"/>
    <w:rsid w:val="00F72362"/>
    <w:rsid w:val="00F75495"/>
    <w:rsid w:val="00F77464"/>
    <w:rsid w:val="00F809CF"/>
    <w:rsid w:val="00F80C30"/>
    <w:rsid w:val="00F8249F"/>
    <w:rsid w:val="00F8274D"/>
    <w:rsid w:val="00F8368E"/>
    <w:rsid w:val="00F85790"/>
    <w:rsid w:val="00F90912"/>
    <w:rsid w:val="00F9354D"/>
    <w:rsid w:val="00F94011"/>
    <w:rsid w:val="00F940A7"/>
    <w:rsid w:val="00F942B8"/>
    <w:rsid w:val="00F9470F"/>
    <w:rsid w:val="00F96E9D"/>
    <w:rsid w:val="00FA35E7"/>
    <w:rsid w:val="00FA4010"/>
    <w:rsid w:val="00FA4727"/>
    <w:rsid w:val="00FA4CBD"/>
    <w:rsid w:val="00FA50A7"/>
    <w:rsid w:val="00FA69F3"/>
    <w:rsid w:val="00FA795B"/>
    <w:rsid w:val="00FB58F3"/>
    <w:rsid w:val="00FC0AE6"/>
    <w:rsid w:val="00FC2F94"/>
    <w:rsid w:val="00FD10ED"/>
    <w:rsid w:val="00FD2893"/>
    <w:rsid w:val="00FD524E"/>
    <w:rsid w:val="00FE2032"/>
    <w:rsid w:val="00FE24BE"/>
    <w:rsid w:val="00FE4CB6"/>
    <w:rsid w:val="00FF07C5"/>
    <w:rsid w:val="00FF0A8E"/>
    <w:rsid w:val="00FF1D74"/>
    <w:rsid w:val="00FF1F09"/>
    <w:rsid w:val="00FF4912"/>
    <w:rsid w:val="00FF686C"/>
    <w:rsid w:val="01204E17"/>
    <w:rsid w:val="02DC018D"/>
    <w:rsid w:val="03FB2FF3"/>
    <w:rsid w:val="06E350C8"/>
    <w:rsid w:val="074E765E"/>
    <w:rsid w:val="08F60326"/>
    <w:rsid w:val="08F91C05"/>
    <w:rsid w:val="09F36E1D"/>
    <w:rsid w:val="0C952EFB"/>
    <w:rsid w:val="13520387"/>
    <w:rsid w:val="14DA03BC"/>
    <w:rsid w:val="16E45C40"/>
    <w:rsid w:val="17977316"/>
    <w:rsid w:val="17AD4290"/>
    <w:rsid w:val="18E4093B"/>
    <w:rsid w:val="190C4B7E"/>
    <w:rsid w:val="19454610"/>
    <w:rsid w:val="1AF6460F"/>
    <w:rsid w:val="1B72198E"/>
    <w:rsid w:val="1C95075C"/>
    <w:rsid w:val="1E1154C5"/>
    <w:rsid w:val="1F1B594B"/>
    <w:rsid w:val="1FB02BFD"/>
    <w:rsid w:val="208C23AF"/>
    <w:rsid w:val="21612021"/>
    <w:rsid w:val="2287572F"/>
    <w:rsid w:val="23E3029A"/>
    <w:rsid w:val="258B58EF"/>
    <w:rsid w:val="278C1492"/>
    <w:rsid w:val="280A1244"/>
    <w:rsid w:val="283C04A7"/>
    <w:rsid w:val="2E647F25"/>
    <w:rsid w:val="300D5BFC"/>
    <w:rsid w:val="34987B08"/>
    <w:rsid w:val="362F254F"/>
    <w:rsid w:val="3B98528A"/>
    <w:rsid w:val="3C226F5E"/>
    <w:rsid w:val="3E0A3FC3"/>
    <w:rsid w:val="3E6E1FB3"/>
    <w:rsid w:val="3EE528AE"/>
    <w:rsid w:val="3FAEBF9A"/>
    <w:rsid w:val="41BA4588"/>
    <w:rsid w:val="4901363C"/>
    <w:rsid w:val="4A7457FD"/>
    <w:rsid w:val="4B6553CD"/>
    <w:rsid w:val="4CB42A8B"/>
    <w:rsid w:val="4DF4725A"/>
    <w:rsid w:val="4E1B232F"/>
    <w:rsid w:val="4E5558A5"/>
    <w:rsid w:val="508B2A10"/>
    <w:rsid w:val="50A52567"/>
    <w:rsid w:val="51C94EC3"/>
    <w:rsid w:val="58A93419"/>
    <w:rsid w:val="5A3564B9"/>
    <w:rsid w:val="5BDC710B"/>
    <w:rsid w:val="5C60603F"/>
    <w:rsid w:val="5D7A2F4C"/>
    <w:rsid w:val="60B94E93"/>
    <w:rsid w:val="60B957C7"/>
    <w:rsid w:val="617716D9"/>
    <w:rsid w:val="62A3521E"/>
    <w:rsid w:val="639E277B"/>
    <w:rsid w:val="67125383"/>
    <w:rsid w:val="68611E81"/>
    <w:rsid w:val="68865F95"/>
    <w:rsid w:val="69216CB8"/>
    <w:rsid w:val="697D7380"/>
    <w:rsid w:val="6B104919"/>
    <w:rsid w:val="701C23B7"/>
    <w:rsid w:val="70372DF9"/>
    <w:rsid w:val="710B0DC9"/>
    <w:rsid w:val="733F2388"/>
    <w:rsid w:val="77BB0982"/>
    <w:rsid w:val="7C3826AE"/>
    <w:rsid w:val="7E9C500A"/>
    <w:rsid w:val="958940B3"/>
    <w:rsid w:val="DCEA2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iPriority w:val="0"/>
    <w:pPr>
      <w:jc w:val="left"/>
    </w:pPr>
  </w:style>
  <w:style w:type="paragraph" w:styleId="3">
    <w:name w:val="Balloon Text"/>
    <w:basedOn w:val="1"/>
    <w:link w:val="15"/>
    <w:uiPriority w:val="0"/>
    <w:rPr>
      <w:sz w:val="18"/>
      <w:szCs w:val="18"/>
    </w:rPr>
  </w:style>
  <w:style w:type="paragraph" w:styleId="4">
    <w:name w:val="footer"/>
    <w:basedOn w:val="1"/>
    <w:link w:val="19"/>
    <w:qFormat/>
    <w:uiPriority w:val="99"/>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7"/>
    <w:uiPriority w:val="0"/>
    <w:rPr>
      <w:b/>
      <w:bCs/>
    </w:rPr>
  </w:style>
  <w:style w:type="table" w:styleId="9">
    <w:name w:val="Table Grid"/>
    <w:basedOn w:val="8"/>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uiPriority w:val="99"/>
    <w:rPr>
      <w:color w:val="0000FF"/>
      <w:u w:val="single"/>
    </w:rPr>
  </w:style>
  <w:style w:type="character" w:styleId="12">
    <w:name w:val="annotation reference"/>
    <w:qFormat/>
    <w:uiPriority w:val="0"/>
    <w:rPr>
      <w:sz w:val="21"/>
      <w:szCs w:val="21"/>
    </w:rPr>
  </w:style>
  <w:style w:type="character" w:customStyle="1" w:styleId="13">
    <w:name w:val="页眉 Char"/>
    <w:link w:val="5"/>
    <w:uiPriority w:val="0"/>
    <w:rPr>
      <w:rFonts w:ascii="Times New Roman" w:hAnsi="Times New Roman" w:eastAsia="仿宋_GB2312"/>
      <w:kern w:val="2"/>
      <w:sz w:val="18"/>
      <w:szCs w:val="18"/>
    </w:rPr>
  </w:style>
  <w:style w:type="character" w:customStyle="1" w:styleId="14">
    <w:name w:val="a1"/>
    <w:uiPriority w:val="0"/>
    <w:rPr>
      <w:rFonts w:cs="Times New Roman"/>
    </w:rPr>
  </w:style>
  <w:style w:type="character" w:customStyle="1" w:styleId="15">
    <w:name w:val="批注框文本 Char"/>
    <w:link w:val="3"/>
    <w:uiPriority w:val="0"/>
    <w:rPr>
      <w:rFonts w:ascii="Times New Roman" w:hAnsi="Times New Roman" w:eastAsia="仿宋_GB2312"/>
      <w:kern w:val="2"/>
      <w:sz w:val="18"/>
      <w:szCs w:val="18"/>
    </w:rPr>
  </w:style>
  <w:style w:type="character" w:customStyle="1" w:styleId="16">
    <w:name w:val="a11"/>
    <w:uiPriority w:val="0"/>
    <w:rPr>
      <w:rFonts w:cs="Times New Roman"/>
    </w:rPr>
  </w:style>
  <w:style w:type="character" w:customStyle="1" w:styleId="17">
    <w:name w:val="批注主题 Char"/>
    <w:link w:val="7"/>
    <w:uiPriority w:val="0"/>
    <w:rPr>
      <w:rFonts w:ascii="Times New Roman" w:hAnsi="Times New Roman" w:eastAsia="仿宋_GB2312"/>
      <w:b/>
      <w:bCs/>
      <w:kern w:val="2"/>
      <w:sz w:val="32"/>
      <w:szCs w:val="32"/>
    </w:rPr>
  </w:style>
  <w:style w:type="character" w:customStyle="1" w:styleId="18">
    <w:name w:val="批注文字 Char"/>
    <w:link w:val="2"/>
    <w:qFormat/>
    <w:uiPriority w:val="0"/>
    <w:rPr>
      <w:rFonts w:ascii="Times New Roman" w:hAnsi="Times New Roman" w:eastAsia="仿宋_GB2312"/>
      <w:kern w:val="2"/>
      <w:sz w:val="32"/>
      <w:szCs w:val="32"/>
    </w:rPr>
  </w:style>
  <w:style w:type="character" w:customStyle="1" w:styleId="19">
    <w:name w:val="页脚 Char"/>
    <w:link w:val="4"/>
    <w:uiPriority w:val="99"/>
    <w:rPr>
      <w:rFonts w:ascii="Times New Roman" w:hAnsi="Times New Roman" w:eastAsia="仿宋_GB2312"/>
      <w:kern w:val="2"/>
      <w:sz w:val="18"/>
      <w:szCs w:val="18"/>
    </w:rPr>
  </w:style>
  <w:style w:type="paragraph" w:styleId="20">
    <w:name w:val="List Paragraph"/>
    <w:basedOn w:val="1"/>
    <w:qFormat/>
    <w:uiPriority w:val="34"/>
    <w:pPr>
      <w:ind w:firstLine="420" w:firstLineChars="200"/>
    </w:pPr>
    <w:rPr>
      <w:rFonts w:eastAsia="宋体"/>
      <w:szCs w:val="20"/>
    </w:rPr>
  </w:style>
  <w:style w:type="paragraph" w:customStyle="1" w:styleId="21">
    <w:name w:val="普通(网站)1"/>
    <w:basedOn w:val="1"/>
    <w:uiPriority w:val="0"/>
    <w:pPr>
      <w:spacing w:line="432" w:lineRule="auto"/>
      <w:jc w:val="left"/>
    </w:pPr>
    <w:rPr>
      <w:rFonts w:eastAsia="宋体"/>
      <w:kern w:val="0"/>
      <w:sz w:val="24"/>
      <w:szCs w:val="20"/>
    </w:rPr>
  </w:style>
  <w:style w:type="paragraph" w:customStyle="1" w:styleId="22">
    <w:name w:val="列出段落11"/>
    <w:basedOn w:val="1"/>
    <w:qFormat/>
    <w:uiPriority w:val="99"/>
    <w:pPr>
      <w:ind w:firstLine="420" w:firstLineChars="200"/>
    </w:pPr>
    <w:rPr>
      <w:rFonts w:ascii="Calibri" w:hAnsi="Calibri" w:eastAsia="宋体"/>
      <w:sz w:val="21"/>
      <w:szCs w:val="21"/>
    </w:rPr>
  </w:style>
  <w:style w:type="paragraph" w:customStyle="1" w:styleId="23">
    <w:name w:val="列出段落1"/>
    <w:basedOn w:val="1"/>
    <w:qFormat/>
    <w:uiPriority w:val="34"/>
    <w:pPr>
      <w:ind w:firstLine="420" w:firstLineChars="200"/>
    </w:pPr>
    <w:rPr>
      <w:rFonts w:eastAsia="宋体"/>
      <w:sz w:val="21"/>
      <w:szCs w:val="24"/>
    </w:rPr>
  </w:style>
  <w:style w:type="paragraph" w:customStyle="1" w:styleId="24">
    <w:name w:val="默认段落字体 Para Char Char Char Char Char Char Char Char Char Char"/>
    <w:basedOn w:val="1"/>
    <w:qFormat/>
    <w:uiPriority w:val="0"/>
    <w:rPr>
      <w:rFonts w:ascii="Arial" w:hAnsi="Arial" w:eastAsia="宋体" w:cs="Arial"/>
      <w:sz w:val="20"/>
      <w:szCs w:val="20"/>
    </w:rPr>
  </w:style>
  <w:style w:type="paragraph" w:customStyle="1" w:styleId="25">
    <w:name w:val="p0"/>
    <w:basedOn w:val="1"/>
    <w:qFormat/>
    <w:uiPriority w:val="0"/>
    <w:pPr>
      <w:widowControl/>
    </w:pPr>
    <w:rPr>
      <w:rFonts w:ascii="Calibri" w:hAnsi="Calibri" w:eastAsia="宋体"/>
      <w:kern w:val="0"/>
      <w:sz w:val="21"/>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E597CC-AA73-455E-A0F3-2DEBC18BF0AD}">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937</Words>
  <Characters>5342</Characters>
  <Lines>44</Lines>
  <Paragraphs>12</Paragraphs>
  <TotalTime>47</TotalTime>
  <ScaleCrop>false</ScaleCrop>
  <LinksUpToDate>false</LinksUpToDate>
  <CharactersWithSpaces>6267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2021-01-29T03:18:00Z</dcterms:created>
  <dc:creator>abc</dc:creator>
  <cp:lastModifiedBy>acer</cp:lastModifiedBy>
  <cp:lastPrinted>2021-01-22T02:13:00Z</cp:lastPrinted>
  <dcterms:modified xsi:type="dcterms:W3CDTF">2021-02-01T11:37:20Z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