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10"/>
        <w:rPr>
          <w:rFonts w:hint="default" w:ascii="Times New Roman" w:hAnsi="Times New Roman" w:cs="Times New Roman"/>
        </w:rPr>
      </w:pP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关于《广东省医疗保障局关于印发〈广东省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基本医疗保险按疾病诊断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相关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分组付费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管理办法〉的通知（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）》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的起草说明</w:t>
      </w:r>
      <w:bookmarkEnd w:id="0"/>
    </w:p>
    <w:bookmarkEnd w:id="1"/>
    <w:p>
      <w:pPr>
        <w:pStyle w:val="10"/>
        <w:rPr>
          <w:rFonts w:hint="default" w:ascii="Times New Roman" w:hAnsi="Times New Roman" w:cs="Times New Roman"/>
        </w:rPr>
      </w:pP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为规范统一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我省按疾病诊断相关分组付费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工作，提高医疗保障基金使用效率，推动建立管用高效的医保支付机制，更好地维护参保人员的权益，我局起草了《广东省基本医疗保险按疾病诊断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分组付费管理办法（征求意见稿）》（以下简称《管理办法》），现将有关情况说明如下：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一、主要背景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（一）国家高度重视医保支付方式改革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。中共中央、国务院和国家医保局高度重视医保支付方式改革，多次发文要求加快推进相关工作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2020年《中共中央 国务院关于深化医疗保障制度改革的意见》（中发〔2020〕5号）指出，要加快建立管用高效的医保支付体制，推行按病种付费为主的多元复合式医保支付方式。2021年国家医保局出台《国家医疗保障局关于印发DRG/DIP支付方式改革三年行动计划的通知》（医保发〔2021〕48号），加快推进按病组和病种分值付费支付方式改革全覆盖，促进医疗机构主动控制成本、规范诊疗行为，切实减轻参保患者经济负担。2024年国家医保局出台《国家医疗保障局办公室关于印发按病组和病种分值付费2.0版分组方案并深入推进相关工作的通知》（医保办发〔2024〕9号），为持续深化支付方式改革提供了更贴近临床的分组，优化了医保付费技术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2025年，国家医保局印发了《医疗保障按病种付费管理暂行办法》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（医保发〔2025〕18号）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，进一步规范按病组和病种分值付费相关工作，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推进改革走深走实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（二）我省已有按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疾病诊断相关分组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付费改革实践经验。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2018年，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佛山市作为按疾病诊断相关分组付费国家试点城市，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成效显著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顺利完成国家医保局试点任务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。汕尾市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作为我省按疾病诊断相关分组付费试点城市，在前期探索、实施阶段取得较好成效。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lightGray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（三）进一步规范按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疾病诊断相关分组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付费</w:t>
      </w:r>
      <w:r>
        <w:rPr>
          <w:rFonts w:hint="default" w:ascii="Times New Roman" w:hAnsi="Times New Roman" w:eastAsia="楷体_GB2312" w:cs="Times New Roman"/>
          <w:spacing w:val="12"/>
          <w:kern w:val="0"/>
          <w:sz w:val="32"/>
          <w:szCs w:val="32"/>
          <w:shd w:val="clear" w:color="auto" w:fill="FFFFFF"/>
        </w:rPr>
        <w:t>工作的必要性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规范统一全省按疾病诊断相关分组付费工作机制，我局根据国家技术规范，结合本省实际，起草了《管理办法》，规范统一按疾病诊断相关分组付费整体框架，</w:t>
      </w:r>
      <w:r>
        <w:rPr>
          <w:rFonts w:hint="default" w:ascii="Times New Roman" w:hAnsi="Times New Roman" w:eastAsia="仿宋_GB2312" w:cs="Times New Roman"/>
          <w:spacing w:val="12"/>
          <w:kern w:val="0"/>
          <w:sz w:val="32"/>
          <w:szCs w:val="32"/>
          <w:shd w:val="clear" w:color="auto" w:fill="FFFFFF"/>
        </w:rPr>
        <w:t>突出可操作性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，明确医保支付方式改革关键要素和机制，加快建立协同改革机制，将</w:t>
      </w:r>
      <w:r>
        <w:rPr>
          <w:rFonts w:hint="default" w:ascii="Times New Roman" w:hAnsi="Times New Roman" w:eastAsia="仿宋_GB2312" w:cs="Times New Roman"/>
          <w:spacing w:val="12"/>
          <w:kern w:val="0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全省开展按疾病诊断相关分组付费提供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政策依据</w:t>
      </w:r>
      <w:r>
        <w:rPr>
          <w:rFonts w:hint="default" w:ascii="Times New Roman" w:hAnsi="Times New Roman" w:eastAsia="仿宋_GB2312" w:cs="Times New Roman"/>
          <w:spacing w:val="12"/>
          <w:kern w:val="0"/>
          <w:sz w:val="32"/>
          <w:szCs w:val="32"/>
          <w:shd w:val="clear" w:color="auto" w:fill="FFFFFF"/>
        </w:rPr>
        <w:t>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二、文件依据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《中共中央 国务院关于深化医疗保障制度改革的意见》（中发〔2020〕5号）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《定点医疗机构医疗保障定点管理暂行办法》（国家医疗保障局令第2号）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《国家医疗保障局关于印发DRG/DIP支付方式改革三年行动计划的通知》（医保发〔2021〕48号）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《国家医疗保障局办公室关于印发按病组和病种分值付费2.0版分组方案并深入推进相关工作的通知》（医保办发〔2024〕9号）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utoSpaceDE w:val="0"/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《广东省基本医疗保险按病种分值付费管理办法》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（粤医保规〔2024〕11号）；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6.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《医疗保障按病种付费管理暂行办法》（医保发〔2025〕18号）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《管理办法》共有12章52条。第一章是总则，包括政策依据、适用范围、主要概念、支付方式、实施目标、工作职责等6条内容。第二章是总额预算管理，包括基本原则、区域总额、风险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、预算调整等4条内容。第三章是病组管理，包括分组方案、分组框架、细化分组、病组分类、其他病种、动态调整机制等6条内容。第四章是病组点数的确定，包括基准点数、计算方法、基层病组、其他病种、病组分类、调节机制等6条内容。第五章是医疗机构系数，包括机构系数、系数分类、基本系数确定、调整系数等4条内容。第六章是费用结算和清算，包括病组付费的标准、结算制度、预付金制度、二次分配等4条内容。第七章是结余留用、超支分担机制，包括结余留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、合理超支分担机制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。第八章是协商谈判机制，包括专家库建立、专家库组成、评议内容、议事规则、意见收集反馈等5条内容。第九章是特殊病例单议规则，包括特殊病例概念、特例单议机制、创新技术支持等3条内容。第十章是医保数据工作组，包括数据工作组、组成人员、工作机制、工作职责、运行监测等5条内容。第十一章是考核监督，包括结算清单质控、职能监管、考评机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规定等4条内容。第十二章是附则，包括组织领导、政策宣传、政策调整、实施时效等4条内容。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四、主要亮点</w:t>
      </w:r>
    </w:p>
    <w:p>
      <w:pPr>
        <w:topLinePunct/>
        <w:autoSpaceDE w:val="0"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（一）完善按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疾病诊断相关分组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付费的工作机制。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一是实施区域总额预算。我省医保实施市级统筹，坚持“以收定支、收支平衡、略有结余”的基本原则，以地级以上市作为单位，做好医保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基金区域总额预算管理，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科学确定统筹区域内年度住院统筹基金支出总额，不再对单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医疗机构下达总额预算控制指标，促进统筹区域内医疗机构之间公平竞争。二是构建以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按疾病诊断相关分组付费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，按</w:t>
      </w:r>
      <w:r>
        <w:rPr>
          <w:rFonts w:hint="default" w:ascii="Times New Roman" w:hAnsi="Times New Roman" w:eastAsia="仿宋_GB2312" w:cs="Times New Roman"/>
          <w:sz w:val="32"/>
        </w:rPr>
        <w:t>病种、床日、项目付费等相结合的多元复合式医保支付方式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有利于促进医疗资源合理配置，根据住院不同类型精准支付，医保基金支付更加公平、公正、合理，提高医保基金使用效率。三是建立协商谈判机制。由医保行政部门牵头，各定点医疗机构代表组成专家评议组织，通过专家评议组织集体协商对有争议的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权重系数等进行评议，提出意见和建议。充分发挥专家集体协商、论证功能，建立健全医保部门与医疗机构之间良性互动机制。四是完善特殊病例单议机制。医保部门组织专家评议组织对住院时间长、医疗费用高、新药耗新技术使用等特殊病例进行评议，经审定符合规定的特殊病例可按项目付费或调整支付标准，解决医疗机构推诿重病患者或分解住院等问题。</w:t>
      </w:r>
    </w:p>
    <w:p>
      <w:pPr>
        <w:pBdr>
          <w:bottom w:val="single" w:color="FFFFFF" w:sz="4" w:space="31"/>
        </w:pBdr>
        <w:tabs>
          <w:tab w:val="left" w:pos="846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（二）支持中医药传承创新发展。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中医优势病种、中医日间治疗病种按照疾病诊断编码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纳入对应DRG细化分组中，实行中西医同病同效同价，或增加病组支付标准等方式，折算计入各定点医疗机构年度付费点数总和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健全我省中医特色医保支付政策体系，激发医疗机构积极使用中医药治疗的内生动力，让参保患者享受到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更丰富、更优质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的中医特色诊疗技术。</w:t>
      </w:r>
    </w:p>
    <w:p>
      <w:pPr>
        <w:pBdr>
          <w:bottom w:val="single" w:color="FFFFFF" w:sz="4" w:space="31"/>
        </w:pBdr>
        <w:tabs>
          <w:tab w:val="left" w:pos="846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（三）强化医保支付制度监测考核体系。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一是建立考核评价机制，对定点医疗机构执行医保政策情况进行考核评价，为年度清算等工作提供依据，规范定点医疗机构服务行为。二是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运行监测。医保部门和定点医疗机构代表组成医保数据工作组，加强数据应用分析，建立数据定期公开机制，从医保基金、病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费用、定点医疗机构等维度进行实时分析，掌握基金支出、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病组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收治结构等情况，防范医保基金发生系统性风险。</w:t>
      </w:r>
    </w:p>
    <w:p>
      <w:pPr>
        <w:pBdr>
          <w:bottom w:val="single" w:color="FFFFFF" w:sz="4" w:space="31"/>
        </w:pBdr>
        <w:tabs>
          <w:tab w:val="left" w:pos="14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D2"/>
    <w:rsid w:val="00042A82"/>
    <w:rsid w:val="00070C44"/>
    <w:rsid w:val="000956DD"/>
    <w:rsid w:val="000E0BB5"/>
    <w:rsid w:val="00125F00"/>
    <w:rsid w:val="001D66F0"/>
    <w:rsid w:val="00231287"/>
    <w:rsid w:val="0023647E"/>
    <w:rsid w:val="00261230"/>
    <w:rsid w:val="00265DC9"/>
    <w:rsid w:val="002E6CC9"/>
    <w:rsid w:val="00362F8B"/>
    <w:rsid w:val="00397376"/>
    <w:rsid w:val="00456C5C"/>
    <w:rsid w:val="00470CCE"/>
    <w:rsid w:val="004D3CB7"/>
    <w:rsid w:val="005C01E3"/>
    <w:rsid w:val="0060439C"/>
    <w:rsid w:val="00610478"/>
    <w:rsid w:val="006234F0"/>
    <w:rsid w:val="00733B73"/>
    <w:rsid w:val="008151E7"/>
    <w:rsid w:val="00837229"/>
    <w:rsid w:val="008944D2"/>
    <w:rsid w:val="009A45E6"/>
    <w:rsid w:val="00AC4677"/>
    <w:rsid w:val="00BD32E5"/>
    <w:rsid w:val="00C31F72"/>
    <w:rsid w:val="00CA064D"/>
    <w:rsid w:val="00D10B6C"/>
    <w:rsid w:val="00D51542"/>
    <w:rsid w:val="00DE7702"/>
    <w:rsid w:val="00EF5AC9"/>
    <w:rsid w:val="00F0718E"/>
    <w:rsid w:val="00FD4469"/>
    <w:rsid w:val="0B772980"/>
    <w:rsid w:val="129FAFD4"/>
    <w:rsid w:val="25DDF8F9"/>
    <w:rsid w:val="2E7F50CB"/>
    <w:rsid w:val="2FB989BA"/>
    <w:rsid w:val="3F7D890D"/>
    <w:rsid w:val="3F8FBFA5"/>
    <w:rsid w:val="3F9F6234"/>
    <w:rsid w:val="3FB7B9BE"/>
    <w:rsid w:val="3FDBE233"/>
    <w:rsid w:val="3FFDF967"/>
    <w:rsid w:val="46E03DA0"/>
    <w:rsid w:val="48FFE9C2"/>
    <w:rsid w:val="4BD34DA8"/>
    <w:rsid w:val="4EDCD3E0"/>
    <w:rsid w:val="52BFB80A"/>
    <w:rsid w:val="53EFE0FA"/>
    <w:rsid w:val="56BF79F1"/>
    <w:rsid w:val="57A7D110"/>
    <w:rsid w:val="5B5FE2B7"/>
    <w:rsid w:val="5BBDEAA4"/>
    <w:rsid w:val="5CF1B008"/>
    <w:rsid w:val="5DBBF95C"/>
    <w:rsid w:val="5E5F380C"/>
    <w:rsid w:val="5F7C8D8F"/>
    <w:rsid w:val="5F9BC455"/>
    <w:rsid w:val="5FDF4379"/>
    <w:rsid w:val="5FFEC441"/>
    <w:rsid w:val="5FFF4D4F"/>
    <w:rsid w:val="5FFFB00C"/>
    <w:rsid w:val="626F8EF1"/>
    <w:rsid w:val="62FFEB91"/>
    <w:rsid w:val="66BBDFF7"/>
    <w:rsid w:val="66FF5A5E"/>
    <w:rsid w:val="6B7D2754"/>
    <w:rsid w:val="6F7F9268"/>
    <w:rsid w:val="6F9F0B2E"/>
    <w:rsid w:val="6FF1702D"/>
    <w:rsid w:val="755F9289"/>
    <w:rsid w:val="757E6130"/>
    <w:rsid w:val="75FF5980"/>
    <w:rsid w:val="76DB6523"/>
    <w:rsid w:val="77B7F023"/>
    <w:rsid w:val="7AFD6836"/>
    <w:rsid w:val="7BBFCC6B"/>
    <w:rsid w:val="7BEF04E3"/>
    <w:rsid w:val="7BFB9FDC"/>
    <w:rsid w:val="7D6FBE6C"/>
    <w:rsid w:val="7DD477EC"/>
    <w:rsid w:val="7DE29798"/>
    <w:rsid w:val="7E390FAA"/>
    <w:rsid w:val="7EAFD6E2"/>
    <w:rsid w:val="7F3F098A"/>
    <w:rsid w:val="7F672900"/>
    <w:rsid w:val="7F7BC94E"/>
    <w:rsid w:val="7F7F87BA"/>
    <w:rsid w:val="7FBF3E1E"/>
    <w:rsid w:val="7FF42B54"/>
    <w:rsid w:val="7FF73D7A"/>
    <w:rsid w:val="8B972E5B"/>
    <w:rsid w:val="96F7C0B1"/>
    <w:rsid w:val="9EDCF88D"/>
    <w:rsid w:val="AF35D036"/>
    <w:rsid w:val="B68D7D85"/>
    <w:rsid w:val="B7EEC905"/>
    <w:rsid w:val="BB7FAF5F"/>
    <w:rsid w:val="BDE58A53"/>
    <w:rsid w:val="D6B70D32"/>
    <w:rsid w:val="DF3B1250"/>
    <w:rsid w:val="DF6F9D2B"/>
    <w:rsid w:val="DF7B84B0"/>
    <w:rsid w:val="DF9F3B37"/>
    <w:rsid w:val="DFBF08A3"/>
    <w:rsid w:val="DFBFE7B9"/>
    <w:rsid w:val="DFEF39C1"/>
    <w:rsid w:val="DFF5E7E7"/>
    <w:rsid w:val="E6F6C437"/>
    <w:rsid w:val="E77EDB7A"/>
    <w:rsid w:val="E7F3D233"/>
    <w:rsid w:val="EBFF98C9"/>
    <w:rsid w:val="ED9BF36F"/>
    <w:rsid w:val="EDA2125F"/>
    <w:rsid w:val="EF75D366"/>
    <w:rsid w:val="F5F93B74"/>
    <w:rsid w:val="F77EF6D8"/>
    <w:rsid w:val="F7AF23AB"/>
    <w:rsid w:val="F7FBD23B"/>
    <w:rsid w:val="F7FE5DDF"/>
    <w:rsid w:val="F7FFD706"/>
    <w:rsid w:val="F95EA43A"/>
    <w:rsid w:val="F9816118"/>
    <w:rsid w:val="F99FFC53"/>
    <w:rsid w:val="F9F3D595"/>
    <w:rsid w:val="FB6D8CA4"/>
    <w:rsid w:val="FBE38492"/>
    <w:rsid w:val="FBFDB53D"/>
    <w:rsid w:val="FD7A3CEE"/>
    <w:rsid w:val="FE97C889"/>
    <w:rsid w:val="FEFB653B"/>
    <w:rsid w:val="FF3B6222"/>
    <w:rsid w:val="FFCDC88E"/>
    <w:rsid w:val="FFDB07E3"/>
    <w:rsid w:val="FFEED566"/>
    <w:rsid w:val="FFFBFF92"/>
    <w:rsid w:val="FFFD1520"/>
    <w:rsid w:val="FFFE1F44"/>
    <w:rsid w:val="FFFF4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/>
      <w:bCs/>
      <w:sz w:val="2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10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453</Words>
  <Characters>2587</Characters>
  <Lines>21</Lines>
  <Paragraphs>6</Paragraphs>
  <TotalTime>16</TotalTime>
  <ScaleCrop>false</ScaleCrop>
  <LinksUpToDate>false</LinksUpToDate>
  <CharactersWithSpaces>3034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2024-08-15T03:32:00Z</dcterms:created>
  <dc:creator>Chen Haorui</dc:creator>
  <cp:lastModifiedBy>万佳乐（驻场）</cp:lastModifiedBy>
  <cp:lastPrinted>2024-11-14T02:20:00Z</cp:lastPrinted>
  <dcterms:modified xsi:type="dcterms:W3CDTF">2025-09-02T01:05:24Z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AFBC6E5A879DF954A719B068B2E93EDB</vt:lpwstr>
  </property>
  <property fmtid="{D5CDD505-2E9C-101B-9397-08002B2CF9AE}" pid="4" name="showFlag">
    <vt:bool>true</vt:bool>
  </property>
</Properties>
</file>