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1-5</w:t>
      </w:r>
    </w:p>
    <w:p w14:paraId="4E6DC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0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szCs w:val="32"/>
        </w:rPr>
      </w:pPr>
    </w:p>
    <w:p w14:paraId="61A34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sz w:val="44"/>
          <w:szCs w:val="44"/>
          <w:lang w:eastAsia="zh-CN"/>
        </w:rPr>
        <w:t>巴中市中医骨伤类医疗服务项目价格及医保支付类别表</w:t>
      </w:r>
    </w:p>
    <w:p w14:paraId="40814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jc w:val="both"/>
        <w:textAlignment w:val="auto"/>
        <w:rPr>
          <w:rFonts w:hint="default" w:ascii="Times New Roman" w:hAnsi="Times New Roman" w:eastAsia="宋体" w:cs="Times New Roman"/>
          <w:snapToGrid w:val="0"/>
          <w:color w:val="auto"/>
          <w:spacing w:val="0"/>
          <w:sz w:val="19"/>
          <w:szCs w:val="19"/>
          <w:lang w:eastAsia="zh-CN"/>
        </w:rPr>
      </w:pPr>
    </w:p>
    <w:tbl>
      <w:tblPr>
        <w:tblStyle w:val="2"/>
        <w:tblW w:w="14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5"/>
      </w:tblGrid>
      <w:tr w14:paraId="67168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4525" w:type="dxa"/>
            <w:tcBorders>
              <w:tl2br w:val="nil"/>
              <w:tr2bl w:val="nil"/>
            </w:tcBorders>
            <w:noWrap w:val="0"/>
            <w:vAlign w:val="center"/>
          </w:tcPr>
          <w:p w14:paraId="4723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使用说明：</w:t>
            </w:r>
          </w:p>
          <w:p w14:paraId="799C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1.所定价格属于政府指导价为最高限价，下浮不限；同时，医疗机构、医务人员实施中医骨伤过程中有关创新改良，采取“现有项目兼容”的方式简化处理，直接按照对应的整合项目执行即可。地方价格政策与《全国医疗服务价格规范》不一致时，医疗机构收费依据应以当地价格政策为准。</w:t>
            </w:r>
          </w:p>
          <w:p w14:paraId="46D21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2.“价格构成”，指项目价格应涵盖的各类资源消耗，用于确定计价单元的边界，是各级医疗保障部门制定调整项目价格考虑的测算因子，不应作为临床技术标准理解，不是实际操作方式、路径、步骤、程序的强制性要求，价格构成中包含，但个别临床实践中非必要、未发生的，无需强制要求公立医疗机构减计费用。所列”设备投入”包括但不限于操作设备、器具及固定资产投入。</w:t>
            </w:r>
          </w:p>
          <w:p w14:paraId="7B6E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3.“加收项”，指同一项目以不同方式提供或在不同场景应用时，确有必要制定差异化收费标准而细分的一类子项，包括在原项目价格基础上增加或减少收费的情况，具体的加减收标准（加/减收率或加/减收金额）由各地依权限制定；实际应用中，同时涉及多个加收项的，以项目单价为基础计算各项的加/减收水平后，求和得出加减收金额。</w:t>
            </w:r>
          </w:p>
          <w:p w14:paraId="7A7A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4.“扩展项”，指同一项目下以不同方式提供或在不同场景应用时，只扩展价格项目适用范围、不额外加价的一类子项，子项的价格按主项目执行。</w:t>
            </w:r>
          </w:p>
          <w:p w14:paraId="30432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5.“基本物耗”指原则上限于不应或不必要与医疗服务项目分割的易耗品，包括但不限于各类消杀灭菌用品、标签、储存用品、清洁用品、个人防护用品、垃圾处理用品、冲洗液、润滑剂、棉球、棉签、纱布（垫）、护（尿）垫、手术巾（单）、治疗巾（单）、中单、治疗护理盘（包）、手术包、注射器、防渗漏垫、悬吊巾、压垫、棉垫、可复用的操作器具、各种针具刀具等。基本物耗成本计入项目价格，不另行收费。</w:t>
            </w:r>
          </w:p>
          <w:p w14:paraId="231CB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6.“每关节”是指，单个大关节（肩、肘、腕、髋、膝、踝）、颈椎、胸椎、腰椎、单侧手掌部关节、单侧足部关节、单侧颞颌关节、单侧肩锁关节、胸锁关节。</w:t>
            </w:r>
          </w:p>
          <w:p w14:paraId="2CA4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7.“儿童”是指 6 周岁及以下未成年人。周岁的计算方法以法律的相关规定为准。</w:t>
            </w:r>
          </w:p>
          <w:p w14:paraId="792DD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8.涉及“包括……”“……等”的，属于开放型表述，所指对象不仅局限于表述中列明的事项，也包括未列明的同类事项。</w:t>
            </w:r>
          </w:p>
          <w:p w14:paraId="6B47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0"/>
                <w:sz w:val="19"/>
                <w:szCs w:val="19"/>
                <w:lang w:eastAsia="zh-CN"/>
              </w:rPr>
              <w:t>9.在诊疗项目服务中，除另有规定的，不足一个计价单位的按一个计价单位计算；一个服务项目在同一时间经多次操作方能完成，也应按一次计价。</w:t>
            </w:r>
          </w:p>
        </w:tc>
      </w:tr>
    </w:tbl>
    <w:p w14:paraId="04A24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jc w:val="both"/>
        <w:textAlignment w:val="auto"/>
        <w:rPr>
          <w:rFonts w:hint="default" w:ascii="Times New Roman" w:hAnsi="Times New Roman" w:eastAsia="宋体" w:cs="Times New Roman"/>
          <w:snapToGrid w:val="0"/>
          <w:color w:val="auto"/>
          <w:spacing w:val="0"/>
          <w:sz w:val="19"/>
          <w:szCs w:val="19"/>
          <w:lang w:eastAsia="zh-CN"/>
        </w:rPr>
      </w:pPr>
    </w:p>
    <w:tbl>
      <w:tblPr>
        <w:tblStyle w:val="2"/>
        <w:tblW w:w="145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793"/>
        <w:gridCol w:w="1055"/>
        <w:gridCol w:w="2233"/>
        <w:gridCol w:w="2517"/>
        <w:gridCol w:w="933"/>
        <w:gridCol w:w="884"/>
        <w:gridCol w:w="616"/>
        <w:gridCol w:w="1967"/>
        <w:gridCol w:w="506"/>
        <w:gridCol w:w="506"/>
        <w:gridCol w:w="506"/>
        <w:gridCol w:w="506"/>
        <w:gridCol w:w="506"/>
        <w:gridCol w:w="550"/>
      </w:tblGrid>
      <w:tr w14:paraId="1BBB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tblHeader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D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1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服务产出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价格构成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加收项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4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扩展项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5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计价</w:t>
            </w:r>
          </w:p>
          <w:p w14:paraId="68B6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单位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9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D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巴中市公立医疗机构价格（元）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医保支付类别</w:t>
            </w:r>
          </w:p>
        </w:tc>
      </w:tr>
      <w:tr w14:paraId="0487E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Header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4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F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DE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三甲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0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三乙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A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二甲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二乙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437E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二乙以下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  <w:tr w14:paraId="7A78F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A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14300000010000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手法整复术（关节脱位 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F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通过手法（或辅助器械）使脱位或紊乱关节复位。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所定价格涵盖摆位、整复、包扎、必要时固定等步骤，以及必要时使用辅助器械所需的人力资源和基本物质资源消耗。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01儿童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每关节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164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150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1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130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4E2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7C0E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3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6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14300000010001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手法整复术（关节脱位）-儿童（加收）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通过手法（或辅助器械）使儿童脱位或紊乱关节复位。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C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每关节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0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1518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6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E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14300000020000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8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手法整复术（复杂关节脱位）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8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通过手法（或辅助器械）使脱位复杂关节复位。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所定价格涵盖摆位、整复、包扎、必要时固定等步骤，以及必要时使用辅助器械所需的人力资源和基本物质资源消耗。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C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01儿童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E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每关节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“复杂关节脱位”指寰枢椎、髋关节、骨盆等关节脱位以及陈旧性脱位。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2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596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546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497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48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398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C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753B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2F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14300000020001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B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手法整复术（复杂关节脱位）-儿童（加收）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通过手法（或辅助器械）使儿童脱位复杂关节复位。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5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每关节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“复杂关节脱位”指寰枢椎、髋关节、骨盆等关节脱位以及陈旧性脱位。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6DA2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C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B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14300000030000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手法整复术（骨伤）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通过正骨手法（或辅助器械）使骨折或韧带损伤复位。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所定价格涵盖摆位、整复、包扎、必要时固定等步骤，以及必要时使用辅助器械所需的人力资源和基本物质资源消耗。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01儿童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9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每处骨折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228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5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209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190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180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6188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83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5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14300000030001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手法整复术（骨伤）-儿童（加收）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通过正骨手法（或辅助器械）使儿童骨折或韧带损伤复位。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F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1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3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每处骨折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3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D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88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1A98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0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A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14300000040000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手法整复术（复杂骨伤）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通过正骨手法（或辅助器械）使复杂骨折或韧带损伤复位。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0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所定价格涵盖摆位、整复、包扎、必要时固定等步骤，以及必要时使用辅助器械所需的人力资源和基本物质资源消耗。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01儿童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每处骨折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“复杂骨伤”指脊柱、骨盆、关节内等骨折以及陈旧性、粉碎性骨折。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8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375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1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337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1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6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7E8A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4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14300000040001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手法整复术（复杂骨伤）-儿童（加收）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A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通过正骨手法（或辅助器械）使儿童复杂骨折或韧带损伤复位。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12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每处骨折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7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“复杂骨伤”指脊柱、骨盆、关节内等骨折以及陈旧性、粉碎性骨折。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8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D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35CC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1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14300000050000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小夹板固定术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通过小夹板等各种外固定方式对骨折部位进行包扎固定。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所定价格涵盖摆位、固定等步骤所需的人力资源和基本物质资源消耗。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0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01儿童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9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部位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7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5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1167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7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C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14300000050001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小夹板固定术-儿童（加收）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通过小夹板等各种外固定方式对儿童骨折部位进行包扎固定。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2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部位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2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1082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0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14300000060000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6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小夹板调整术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根据患者复诊情况对小夹板等外固定装置进行调整。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所定价格涵盖观察、调整等步骤所需的人力资源和基本物质资源消耗。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01儿童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D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部位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0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80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53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7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49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6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2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2034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9B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5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14300000060001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4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小夹板调整术-儿童（加收）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根据儿童患者复诊情况对小夹板等外固定装置进行调整。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3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C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8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部位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A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7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4A33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B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B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14300000070000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中医复位内固定术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使用各种针具、钉具，以内固定方式复位固定骨折部位。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所定价格涵盖摆位、消毒、进针、牵拉复位、撬拨、包扎固定等步骤所需的人力资源和基本物质资源消耗。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01儿童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每处骨折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432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396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4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360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6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342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2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5E24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D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14300000070001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3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中医复位内固定术-儿童（加收）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使用各种针具、钉具，以内固定方式复位固定儿童骨折部位。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4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9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每处骨折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D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6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5E21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CB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14300000080000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手法松解术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通过理筋、松筋、弹拨等手法疏通经络、松解粘连、滑利关节。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FC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所定价格涵盖摆位、手法疏通等步骤，以及必要时使用辅助器械所需的人力资源和基本物质资源消耗。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01儿童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C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不与同部位中医推拿同时收费 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155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7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129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A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C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D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14F8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14300000080001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手法松解术-儿童（加收）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1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通过理筋、松筋、弹拨等手法疏通儿童经络、松解粘连、滑利关节。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不与同部位中医推拿同时收费 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5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5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0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6A52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B2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1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14300000090000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1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手法挤压术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通过抚触挤压腱鞘囊肿，使囊肿破裂。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所定价格涵盖定位、抚触、挤压等步骤所需的人力资源和基本物质资源消耗。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E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01儿童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B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5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7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0F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B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A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C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  <w:tr w14:paraId="1FFD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56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14300000090001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手法挤压术-儿童（加收）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通过抚触挤压儿童腱鞘囊肿，使囊肿破裂。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B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C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C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0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20%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C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</w:t>
            </w:r>
          </w:p>
        </w:tc>
      </w:tr>
    </w:tbl>
    <w:p w14:paraId="41B17B02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731E5"/>
    <w:rsid w:val="2C604C9D"/>
    <w:rsid w:val="76773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2423</Words>
  <Characters>2876</Characters>
  <Lines>0</Lines>
  <Paragraphs>0</Paragraphs>
  <TotalTime>0</TotalTime>
  <ScaleCrop>false</ScaleCrop>
  <LinksUpToDate>false</LinksUpToDate>
  <CharactersWithSpaces>2890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2025-09-01T11:34:00Z</dcterms:created>
  <dc:creator>wwww</dc:creator>
  <cp:lastModifiedBy>闫bing~</cp:lastModifiedBy>
  <dcterms:modified xsi:type="dcterms:W3CDTF">2025-09-01T08:57:21Z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824C7437CC2245B0969D5F0F4B0E0734_13</vt:lpwstr>
  </property>
</Properties>
</file>