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4</w:t>
      </w:r>
    </w:p>
    <w:p>
      <w:pPr>
        <w:spacing w:line="360" w:lineRule="auto"/>
        <w:ind w:firstLine="480" w:firstLineChars="150"/>
        <w:rPr>
          <w:rFonts w:hint="default" w:ascii="Times New Roman" w:hAnsi="Times New Roman" w:eastAsia="仿宋_GB2312" w:cs="Times New Roman"/>
          <w:color w:val="000000"/>
          <w:sz w:val="32"/>
          <w:szCs w:val="32"/>
          <w:highlight w:val="none"/>
        </w:rPr>
      </w:pPr>
    </w:p>
    <w:p>
      <w:pPr>
        <w:spacing w:line="720" w:lineRule="exact"/>
        <w:ind w:firstLine="0" w:firstLineChars="0"/>
        <w:jc w:val="center"/>
        <w:rPr>
          <w:rFonts w:hint="default" w:ascii="Times New Roman" w:hAnsi="Times New Roman" w:eastAsia="方正公文小标宋" w:cs="Times New Roman"/>
          <w:b/>
          <w:bCs/>
          <w:color w:val="000000"/>
          <w:sz w:val="44"/>
          <w:szCs w:val="44"/>
          <w:highlight w:val="none"/>
          <w:lang w:val="en-US" w:eastAsia="zh-CN"/>
        </w:rPr>
      </w:pPr>
      <w:r>
        <w:rPr>
          <w:rFonts w:hint="default" w:ascii="Times New Roman" w:hAnsi="Times New Roman" w:eastAsia="方正公文小标宋" w:cs="Times New Roman"/>
          <w:b/>
          <w:bCs/>
          <w:color w:val="000000"/>
          <w:sz w:val="44"/>
          <w:szCs w:val="44"/>
          <w:highlight w:val="none"/>
          <w:lang w:val="en-US" w:eastAsia="zh-CN"/>
        </w:rPr>
        <w:t>2024年度健全现代医院管理制度事权</w:t>
      </w:r>
    </w:p>
    <w:p>
      <w:pPr>
        <w:spacing w:line="720" w:lineRule="exact"/>
        <w:ind w:firstLine="0" w:firstLineChars="0"/>
        <w:jc w:val="center"/>
        <w:rPr>
          <w:rFonts w:hint="default" w:ascii="Times New Roman" w:hAnsi="Times New Roman" w:eastAsia="方正公文小标宋" w:cs="Times New Roman"/>
          <w:b/>
          <w:bCs/>
          <w:color w:val="000000"/>
          <w:sz w:val="44"/>
          <w:szCs w:val="44"/>
          <w:highlight w:val="none"/>
        </w:rPr>
      </w:pPr>
      <w:r>
        <w:rPr>
          <w:rFonts w:hint="default" w:ascii="Times New Roman" w:hAnsi="Times New Roman" w:eastAsia="方正公文小标宋" w:cs="Times New Roman"/>
          <w:b/>
          <w:bCs/>
          <w:color w:val="000000"/>
          <w:sz w:val="44"/>
          <w:szCs w:val="44"/>
          <w:highlight w:val="none"/>
          <w:lang w:val="en-US" w:eastAsia="zh-CN"/>
        </w:rPr>
        <w:t>省级财政资金</w:t>
      </w:r>
      <w:r>
        <w:rPr>
          <w:rFonts w:hint="default" w:ascii="Times New Roman" w:hAnsi="Times New Roman" w:eastAsia="方正公文小标宋" w:cs="Times New Roman"/>
          <w:b/>
          <w:bCs/>
          <w:color w:val="000000"/>
          <w:sz w:val="44"/>
          <w:szCs w:val="44"/>
          <w:highlight w:val="none"/>
        </w:rPr>
        <w:t>绩效自评报告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452" w:firstLineChars="150"/>
        <w:textAlignment w:val="auto"/>
        <w:rPr>
          <w:rFonts w:hint="default" w:ascii="Times New Roman" w:hAnsi="Times New Roman" w:eastAsia="仿宋_GB2312" w:cs="Times New Roman"/>
          <w:b/>
          <w:bCs/>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450" w:firstLineChars="150"/>
        <w:textAlignment w:val="auto"/>
        <w:rPr>
          <w:rFonts w:hint="default" w:ascii="Times New Roman" w:hAnsi="Times New Roman" w:eastAsia="仿宋_GB2312" w:cs="Times New Roman"/>
          <w:color w:val="00000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0"/>
          <w:szCs w:val="30"/>
          <w:highlight w:val="none"/>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450"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450"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450"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财政事权</w:t>
      </w:r>
      <w:r>
        <w:rPr>
          <w:rFonts w:hint="default" w:ascii="Times New Roman" w:hAnsi="Times New Roman" w:eastAsia="仿宋_GB2312" w:cs="Times New Roman"/>
          <w:b/>
          <w:bCs/>
          <w:color w:val="000000"/>
          <w:sz w:val="32"/>
          <w:szCs w:val="32"/>
          <w:highlight w:val="none"/>
        </w:rPr>
        <w:t>名称：</w:t>
      </w:r>
      <w:r>
        <w:rPr>
          <w:rFonts w:hint="default" w:ascii="Times New Roman" w:hAnsi="Times New Roman" w:eastAsia="仿宋_GB2312" w:cs="Times New Roman"/>
          <w:color w:val="000000"/>
          <w:sz w:val="32"/>
          <w:szCs w:val="32"/>
          <w:highlight w:val="none"/>
        </w:rPr>
        <w:t>健全现代医院管理制度</w:t>
      </w:r>
    </w:p>
    <w:p>
      <w:pPr>
        <w:keepNext w:val="0"/>
        <w:keepLines w:val="0"/>
        <w:pageBreakBefore w:val="0"/>
        <w:widowControl w:val="0"/>
        <w:kinsoku/>
        <w:wordWrap/>
        <w:overflowPunct/>
        <w:topLinePunct w:val="0"/>
        <w:autoSpaceDE/>
        <w:autoSpaceDN/>
        <w:bidi w:val="0"/>
        <w:adjustRightInd/>
        <w:snapToGrid/>
        <w:spacing w:line="560" w:lineRule="exact"/>
        <w:ind w:left="0" w:hanging="2891" w:hangingChars="9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对应政策任务个数：</w:t>
      </w:r>
      <w:r>
        <w:rPr>
          <w:rFonts w:hint="default" w:ascii="Times New Roman" w:hAnsi="Times New Roman" w:eastAsia="仿宋_GB2312" w:cs="Times New Roman"/>
          <w:color w:val="000000"/>
          <w:sz w:val="32"/>
          <w:szCs w:val="32"/>
          <w:highlight w:val="none"/>
          <w:lang w:val="en-US" w:eastAsia="zh-CN"/>
        </w:rPr>
        <w:t>2个（具体项目名称：高水平医院建设、国家医学（医疗）中心建设）</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预算</w:t>
      </w:r>
      <w:r>
        <w:rPr>
          <w:rFonts w:hint="default" w:ascii="Times New Roman" w:hAnsi="Times New Roman" w:eastAsia="仿宋_GB2312" w:cs="Times New Roman"/>
          <w:b/>
          <w:bCs/>
          <w:color w:val="000000"/>
          <w:sz w:val="32"/>
          <w:szCs w:val="32"/>
          <w:highlight w:val="none"/>
          <w:lang w:val="en-US" w:eastAsia="zh-CN"/>
        </w:rPr>
        <w:t>单位</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广东省卫生健康委员会</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eastAsia="zh-CN"/>
        </w:rPr>
        <w:t>填报人姓名：</w:t>
      </w:r>
      <w:r>
        <w:rPr>
          <w:rFonts w:hint="default" w:ascii="Times New Roman" w:hAnsi="Times New Roman" w:eastAsia="仿宋_GB2312" w:cs="Times New Roman"/>
          <w:b w:val="0"/>
          <w:bCs w:val="0"/>
          <w:color w:val="000000"/>
          <w:sz w:val="32"/>
          <w:szCs w:val="32"/>
          <w:highlight w:val="none"/>
          <w:lang w:eastAsia="zh-CN"/>
        </w:rPr>
        <w:t>陈星宇</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联系电话：</w:t>
      </w:r>
      <w:r>
        <w:rPr>
          <w:rFonts w:hint="default" w:ascii="Times New Roman" w:hAnsi="Times New Roman" w:eastAsia="仿宋_GB2312" w:cs="Times New Roman"/>
          <w:b w:val="0"/>
          <w:bCs w:val="0"/>
          <w:color w:val="000000"/>
          <w:sz w:val="32"/>
          <w:szCs w:val="32"/>
          <w:highlight w:val="none"/>
          <w:lang w:eastAsia="zh-CN"/>
        </w:rPr>
        <w:t>020-83801170</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填报日期：</w:t>
      </w:r>
      <w:r>
        <w:rPr>
          <w:rFonts w:hint="default" w:ascii="Times New Roman" w:hAnsi="Times New Roman" w:eastAsia="仿宋_GB2312" w:cs="Times New Roman"/>
          <w:b w:val="0"/>
          <w:bCs w:val="0"/>
          <w:color w:val="000000"/>
          <w:sz w:val="32"/>
          <w:szCs w:val="32"/>
          <w:highlight w:val="none"/>
          <w:lang w:val="en-US" w:eastAsia="zh-CN"/>
        </w:rPr>
        <w:t>2025年5月</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br w:type="page"/>
      </w:r>
      <w:r>
        <w:rPr>
          <w:rFonts w:hint="default" w:ascii="Times New Roman" w:hAnsi="Times New Roman" w:eastAsia="仿宋_GB2312" w:cs="Times New Roman"/>
          <w:color w:val="000000"/>
          <w:sz w:val="32"/>
          <w:szCs w:val="32"/>
          <w:highlight w:val="none"/>
          <w:lang w:val="en-US" w:eastAsia="zh-CN"/>
        </w:rPr>
        <w:t>根据《广东省财政厅关于开展2025年省级财政资金绩效自评工作的通知》，我委认真组织开展2024年度健全现代医院管理制度事权省级财政资金绩效自评工作。现报告如下：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一、基本情况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（一）评价资金额度及预算调整情况。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2024年，省财政厅下达健全现代医院管理制度财政事权省级补助资金合计179,200.00万元，年度绩效评价资金额度179,200.00万元。资金具体涵盖高水平医院建设和国家医学（医疗）中心建设等2个政策任务。详见表1。</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年度内本事权各政策任务预算执行规范，未发生预算调整或项目调整。</w:t>
      </w:r>
    </w:p>
    <w:p>
      <w:pPr>
        <w:keepNext w:val="0"/>
        <w:keepLines w:val="0"/>
        <w:pageBreakBefore w:val="0"/>
        <w:widowControl/>
        <w:suppressLineNumbers w:val="0"/>
        <w:kinsoku/>
        <w:wordWrap/>
        <w:overflowPunct/>
        <w:topLinePunct w:val="0"/>
        <w:autoSpaceDE/>
        <w:autoSpaceDN/>
        <w:bidi w:val="0"/>
        <w:adjustRightInd/>
        <w:spacing w:line="400" w:lineRule="exact"/>
        <w:ind w:left="0" w:firstLine="0" w:firstLineChars="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表1  评价资金额度情况</w:t>
      </w:r>
    </w:p>
    <w:p>
      <w:pPr>
        <w:keepNext w:val="0"/>
        <w:keepLines w:val="0"/>
        <w:pageBreakBefore w:val="0"/>
        <w:kinsoku/>
        <w:wordWrap/>
        <w:overflowPunct/>
        <w:topLinePunct w:val="0"/>
        <w:autoSpaceDE/>
        <w:autoSpaceDN/>
        <w:bidi w:val="0"/>
        <w:adjustRightInd/>
        <w:snapToGrid w:val="0"/>
        <w:spacing w:line="400" w:lineRule="exact"/>
        <w:ind w:left="0"/>
        <w:jc w:val="right"/>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金额单位：万元</w:t>
      </w:r>
    </w:p>
    <w:tbl>
      <w:tblPr>
        <w:tblStyle w:val="6"/>
        <w:tblW w:w="0" w:type="auto"/>
        <w:tblInd w:w="-606" w:type="dxa"/>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372"/>
        <w:gridCol w:w="1167"/>
        <w:gridCol w:w="1071"/>
        <w:gridCol w:w="1085"/>
        <w:gridCol w:w="1661"/>
        <w:gridCol w:w="1594"/>
      </w:tblGrid>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序号</w:t>
            </w:r>
          </w:p>
        </w:tc>
        <w:tc>
          <w:tcPr>
            <w:tcW w:w="2372"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财政事权/政策任务</w:t>
            </w:r>
          </w:p>
        </w:tc>
        <w:tc>
          <w:tcPr>
            <w:tcW w:w="1167"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小计</w:t>
            </w:r>
          </w:p>
        </w:tc>
        <w:tc>
          <w:tcPr>
            <w:tcW w:w="1071"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省本级</w:t>
            </w:r>
          </w:p>
        </w:tc>
        <w:tc>
          <w:tcPr>
            <w:tcW w:w="1085"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对下</w:t>
            </w:r>
          </w:p>
        </w:tc>
        <w:tc>
          <w:tcPr>
            <w:tcW w:w="3255" w:type="dxa"/>
            <w:gridSpan w:val="2"/>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黑体" w:hAnsi="黑体" w:eastAsia="黑体" w:cs="黑体"/>
                <w:b w:val="0"/>
                <w:bCs w:val="0"/>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bidi="ar"/>
              </w:rPr>
              <w:t>省下达文号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71"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rPr>
            </w:pPr>
          </w:p>
        </w:tc>
        <w:tc>
          <w:tcPr>
            <w:tcW w:w="23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健全现代医院管理制度事权合计</w:t>
            </w:r>
          </w:p>
        </w:tc>
        <w:tc>
          <w:tcPr>
            <w:tcW w:w="11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179200</w:t>
            </w:r>
          </w:p>
        </w:tc>
        <w:tc>
          <w:tcPr>
            <w:tcW w:w="107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108600</w:t>
            </w:r>
          </w:p>
        </w:tc>
        <w:tc>
          <w:tcPr>
            <w:tcW w:w="10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70600</w:t>
            </w:r>
          </w:p>
        </w:tc>
        <w:tc>
          <w:tcPr>
            <w:tcW w:w="3255" w:type="dxa"/>
            <w:gridSpan w:val="2"/>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b/>
                <w:bCs/>
                <w:i w:val="0"/>
                <w:iCs w:val="0"/>
                <w:color w:val="000000"/>
                <w:sz w:val="22"/>
                <w:szCs w:val="22"/>
                <w:highlight w:val="none"/>
                <w:u w:val="none"/>
              </w:rPr>
            </w:pP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一</w:t>
            </w:r>
          </w:p>
        </w:tc>
        <w:tc>
          <w:tcPr>
            <w:tcW w:w="23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高水平医院建设项目</w:t>
            </w:r>
          </w:p>
        </w:tc>
        <w:tc>
          <w:tcPr>
            <w:tcW w:w="116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100000</w:t>
            </w:r>
          </w:p>
        </w:tc>
        <w:tc>
          <w:tcPr>
            <w:tcW w:w="107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29400</w:t>
            </w:r>
          </w:p>
        </w:tc>
        <w:tc>
          <w:tcPr>
            <w:tcW w:w="1085"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70600</w:t>
            </w:r>
          </w:p>
        </w:tc>
        <w:tc>
          <w:tcPr>
            <w:tcW w:w="166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粤财社</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〔2023〕359号</w:t>
            </w:r>
          </w:p>
        </w:tc>
        <w:tc>
          <w:tcPr>
            <w:tcW w:w="159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二</w:t>
            </w:r>
          </w:p>
        </w:tc>
        <w:tc>
          <w:tcPr>
            <w:tcW w:w="23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国家医学（医疗）中心建设项</w:t>
            </w:r>
          </w:p>
        </w:tc>
        <w:tc>
          <w:tcPr>
            <w:tcW w:w="11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79200</w:t>
            </w:r>
          </w:p>
        </w:tc>
        <w:tc>
          <w:tcPr>
            <w:tcW w:w="107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79200</w:t>
            </w:r>
          </w:p>
        </w:tc>
        <w:tc>
          <w:tcPr>
            <w:tcW w:w="10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w:t>
            </w:r>
          </w:p>
        </w:tc>
        <w:tc>
          <w:tcPr>
            <w:tcW w:w="166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粤财社</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〔2024〕171号 </w:t>
            </w:r>
          </w:p>
        </w:tc>
        <w:tc>
          <w:tcPr>
            <w:tcW w:w="159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1"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1</w:t>
            </w:r>
          </w:p>
        </w:tc>
        <w:tc>
          <w:tcPr>
            <w:tcW w:w="23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其中：</w:t>
            </w:r>
            <w:r>
              <w:rPr>
                <w:rFonts w:hint="default" w:ascii="Times New Roman" w:hAnsi="Times New Roman" w:eastAsia="宋体" w:cs="Times New Roman"/>
                <w:color w:val="000000"/>
                <w:sz w:val="22"/>
                <w:szCs w:val="22"/>
                <w:highlight w:val="none"/>
                <w:lang w:bidi="ar"/>
              </w:rPr>
              <w:t>广东乳腺肿瘤防治中心</w:t>
            </w:r>
          </w:p>
        </w:tc>
        <w:tc>
          <w:tcPr>
            <w:tcW w:w="116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2500</w:t>
            </w:r>
          </w:p>
        </w:tc>
        <w:tc>
          <w:tcPr>
            <w:tcW w:w="107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2500</w:t>
            </w:r>
          </w:p>
        </w:tc>
        <w:tc>
          <w:tcPr>
            <w:tcW w:w="1085"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661"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59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2</w:t>
            </w:r>
          </w:p>
        </w:tc>
        <w:tc>
          <w:tcPr>
            <w:tcW w:w="23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广东国际肾脏病医学中心</w:t>
            </w:r>
          </w:p>
        </w:tc>
        <w:tc>
          <w:tcPr>
            <w:tcW w:w="11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10000</w:t>
            </w:r>
          </w:p>
        </w:tc>
        <w:tc>
          <w:tcPr>
            <w:tcW w:w="107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10000</w:t>
            </w:r>
          </w:p>
        </w:tc>
        <w:tc>
          <w:tcPr>
            <w:tcW w:w="10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661"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59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3</w:t>
            </w:r>
          </w:p>
        </w:tc>
        <w:tc>
          <w:tcPr>
            <w:tcW w:w="23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广东国际心血管医学中心</w:t>
            </w:r>
          </w:p>
        </w:tc>
        <w:tc>
          <w:tcPr>
            <w:tcW w:w="116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55700</w:t>
            </w:r>
          </w:p>
        </w:tc>
        <w:tc>
          <w:tcPr>
            <w:tcW w:w="107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55700</w:t>
            </w:r>
          </w:p>
        </w:tc>
        <w:tc>
          <w:tcPr>
            <w:tcW w:w="1085"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66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粤财社（2024〕171号 </w:t>
            </w:r>
          </w:p>
        </w:tc>
        <w:tc>
          <w:tcPr>
            <w:tcW w:w="159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粤财预〔2024〕170号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4</w:t>
            </w:r>
          </w:p>
        </w:tc>
        <w:tc>
          <w:tcPr>
            <w:tcW w:w="237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广东国际精准医学中心</w:t>
            </w:r>
          </w:p>
        </w:tc>
        <w:tc>
          <w:tcPr>
            <w:tcW w:w="11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9000</w:t>
            </w:r>
          </w:p>
        </w:tc>
        <w:tc>
          <w:tcPr>
            <w:tcW w:w="107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9000</w:t>
            </w:r>
          </w:p>
        </w:tc>
        <w:tc>
          <w:tcPr>
            <w:tcW w:w="1085"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661"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59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r>
        <w:tblPrEx>
          <w:tblBorders>
            <w:top w:val="single" w:color="000000" w:sz="4" w:space="0"/>
            <w:left w:val="none" w:color="auto" w:sz="0" w:space="0"/>
            <w:bottom w:val="single" w:color="999999"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1"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5</w:t>
            </w:r>
          </w:p>
        </w:tc>
        <w:tc>
          <w:tcPr>
            <w:tcW w:w="2372"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国家创伤医学中心</w:t>
            </w:r>
          </w:p>
        </w:tc>
        <w:tc>
          <w:tcPr>
            <w:tcW w:w="1167"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2000</w:t>
            </w:r>
          </w:p>
        </w:tc>
        <w:tc>
          <w:tcPr>
            <w:tcW w:w="107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2000</w:t>
            </w:r>
          </w:p>
        </w:tc>
        <w:tc>
          <w:tcPr>
            <w:tcW w:w="1085"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661" w:type="dxa"/>
            <w:tcBorders>
              <w:tl2br w:val="nil"/>
              <w:tr2bl w:val="nil"/>
            </w:tcBorders>
            <w:shd w:val="clear" w:color="auto" w:fill="F2F2F2"/>
            <w:noWrap w:val="0"/>
            <w:vAlign w:val="center"/>
          </w:tcPr>
          <w:p>
            <w:pPr>
              <w:keepNext w:val="0"/>
              <w:keepLines w:val="0"/>
              <w:pageBreakBefore w:val="0"/>
              <w:kinsoku/>
              <w:wordWrap/>
              <w:overflowPunct/>
              <w:topLinePunct w:val="0"/>
              <w:autoSpaceDE/>
              <w:autoSpaceDN/>
              <w:bidi w:val="0"/>
              <w:adjustRightInd/>
              <w:snapToGrid/>
              <w:spacing w:line="320" w:lineRule="exact"/>
              <w:ind w:left="0"/>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1594"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bl>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eastAsia="zh-CN"/>
        </w:rPr>
        <w:t>（</w:t>
      </w: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color w:val="000000"/>
          <w:sz w:val="32"/>
          <w:szCs w:val="32"/>
          <w:highlight w:val="none"/>
          <w:lang w:eastAsia="zh-CN"/>
        </w:rPr>
        <w:t>）</w:t>
      </w:r>
      <w:r>
        <w:rPr>
          <w:rFonts w:hint="default" w:ascii="Times New Roman" w:hAnsi="Times New Roman" w:eastAsia="楷体_GB2312" w:cs="Times New Roman"/>
          <w:color w:val="000000"/>
          <w:sz w:val="32"/>
          <w:szCs w:val="32"/>
          <w:highlight w:val="none"/>
        </w:rPr>
        <w:t>资金分配方式</w:t>
      </w:r>
      <w:r>
        <w:rPr>
          <w:rFonts w:hint="default" w:ascii="Times New Roman" w:hAnsi="Times New Roman" w:eastAsia="楷体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对高水平医院建设资金、国家医学（医疗）中心建设资金</w:t>
      </w:r>
      <w:r>
        <w:rPr>
          <w:rFonts w:hint="default" w:ascii="Times New Roman" w:hAnsi="Times New Roman" w:eastAsia="仿宋_GB2312" w:cs="Times New Roman"/>
          <w:color w:val="000000"/>
          <w:sz w:val="32"/>
          <w:szCs w:val="32"/>
          <w:highlight w:val="none"/>
        </w:rPr>
        <w:t>分配</w:t>
      </w:r>
      <w:r>
        <w:rPr>
          <w:rFonts w:hint="default" w:ascii="Times New Roman" w:hAnsi="Times New Roman" w:eastAsia="仿宋_GB2312" w:cs="Times New Roman"/>
          <w:color w:val="000000"/>
          <w:sz w:val="32"/>
          <w:szCs w:val="32"/>
          <w:highlight w:val="none"/>
          <w:lang w:val="en-US" w:eastAsia="zh-CN"/>
        </w:rPr>
        <w:t>，主要按项目法分配，分配因素主要有支持方向、建设规模、成本造价及相关的考核管理办法</w:t>
      </w:r>
      <w:r>
        <w:rPr>
          <w:rFonts w:hint="eastAsia" w:ascii="Times New Roman" w:hAnsi="Times New Roman"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lang w:eastAsia="zh-CN"/>
        </w:rPr>
        <w:t>（</w:t>
      </w:r>
      <w:r>
        <w:rPr>
          <w:rFonts w:hint="default" w:ascii="Times New Roman" w:hAnsi="Times New Roman" w:eastAsia="楷体_GB2312" w:cs="Times New Roman"/>
          <w:color w:val="000000"/>
          <w:sz w:val="32"/>
          <w:szCs w:val="32"/>
          <w:highlight w:val="none"/>
          <w:lang w:val="en-US" w:eastAsia="zh-CN"/>
        </w:rPr>
        <w:t>三</w:t>
      </w:r>
      <w:r>
        <w:rPr>
          <w:rFonts w:hint="default" w:ascii="Times New Roman" w:hAnsi="Times New Roman" w:eastAsia="楷体_GB2312" w:cs="Times New Roman"/>
          <w:color w:val="000000"/>
          <w:sz w:val="32"/>
          <w:szCs w:val="32"/>
          <w:highlight w:val="none"/>
          <w:lang w:eastAsia="zh-CN"/>
        </w:rPr>
        <w:t>）主要用途。</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1.高水平医院建设项目。</w:t>
      </w:r>
    </w:p>
    <w:p>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主要用于对广东省第二期高水平医院在学科建设、技术创新、研究突破、人才引进、辐射带动等方面予以能力提升。</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2.国家医学（医疗）中心建设项目。</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主要用于提升</w:t>
      </w:r>
      <w:r>
        <w:rPr>
          <w:rFonts w:hint="default" w:ascii="Times New Roman" w:hAnsi="Times New Roman" w:eastAsia="仿宋_GB2312" w:cs="Times New Roman"/>
          <w:color w:val="000000"/>
          <w:sz w:val="32"/>
          <w:szCs w:val="32"/>
          <w:highlight w:val="none"/>
        </w:rPr>
        <w:t>广东国际心血管医学中心</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广东国际精准医学中心</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cs="Times New Roman"/>
          <w:color w:val="000000"/>
          <w:sz w:val="32"/>
          <w:szCs w:val="32"/>
          <w:highlight w:val="none"/>
          <w:lang w:val="en-US" w:eastAsia="zh-CN"/>
        </w:rPr>
        <w:t>广东乳腺肿瘤防治中心</w:t>
      </w:r>
      <w:r>
        <w:rPr>
          <w:rFonts w:hint="default" w:ascii="Times New Roman" w:hAnsi="Times New Roman" w:eastAsia="仿宋_GB2312" w:cs="Times New Roman"/>
          <w:color w:val="000000"/>
          <w:sz w:val="32"/>
          <w:szCs w:val="32"/>
          <w:highlight w:val="none"/>
          <w:lang w:val="en-US" w:eastAsia="zh-CN"/>
        </w:rPr>
        <w:t>等项目医疗服务能力水平</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lang w:eastAsia="zh-CN"/>
        </w:rPr>
        <w:t>（</w:t>
      </w:r>
      <w:r>
        <w:rPr>
          <w:rFonts w:hint="default" w:ascii="Times New Roman" w:hAnsi="Times New Roman" w:eastAsia="楷体_GB2312" w:cs="Times New Roman"/>
          <w:color w:val="000000"/>
          <w:sz w:val="32"/>
          <w:szCs w:val="32"/>
          <w:highlight w:val="none"/>
          <w:lang w:val="en-US" w:eastAsia="zh-CN"/>
        </w:rPr>
        <w:t>四</w:t>
      </w:r>
      <w:r>
        <w:rPr>
          <w:rFonts w:hint="default" w:ascii="Times New Roman" w:hAnsi="Times New Roman" w:eastAsia="楷体_GB2312" w:cs="Times New Roman"/>
          <w:color w:val="000000"/>
          <w:sz w:val="32"/>
          <w:szCs w:val="32"/>
          <w:highlight w:val="none"/>
          <w:lang w:eastAsia="zh-CN"/>
        </w:rPr>
        <w:t>）扶持对象。</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1.高水平医院建设项目。</w:t>
      </w:r>
    </w:p>
    <w:p>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扶持对象</w:t>
      </w:r>
      <w:r>
        <w:rPr>
          <w:rFonts w:hint="default" w:ascii="Times New Roman" w:hAnsi="Times New Roman" w:eastAsia="仿宋_GB2312" w:cs="Times New Roman"/>
          <w:color w:val="000000"/>
          <w:sz w:val="32"/>
          <w:szCs w:val="32"/>
          <w:highlight w:val="none"/>
          <w:lang w:val="en-US" w:eastAsia="zh-CN"/>
        </w:rPr>
        <w:t>包括：广东省人民医院、中山大学附属第一医院、中山大学孙逸仙纪念医院、中山大学附属第三医院、南方医科大学南方医院、广东省第二人民医院、南方医科大学珠江医院、暨南大学附属第一医院、广州市第八人民医院、深圳市中医院、深圳市儿童医院、中山大学附属第五医院、佛山市第一人民医院、韶关市第一人民医院、河源市人民医院、中山大学附属第三医院粤东医院、中山大学孙逸仙纪念医院深汕中心医院（汕尾市中心医院）、东莞市人民医院、中山市人民医院、江门市中心医院、高州市人民医院、潮州市中心医院、揭阳市人民医院、普宁市人民医院、云浮市人民医院。</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2.国家医学（医疗）中心建设项目。</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z w:val="32"/>
          <w:szCs w:val="32"/>
          <w:highlight w:val="none"/>
          <w:lang w:eastAsia="zh-CN"/>
        </w:rPr>
        <w:t>扶持对象</w:t>
      </w:r>
      <w:r>
        <w:rPr>
          <w:rFonts w:hint="default" w:ascii="Times New Roman" w:hAnsi="Times New Roman"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kern w:val="2"/>
          <w:sz w:val="32"/>
          <w:szCs w:val="32"/>
          <w:highlight w:val="none"/>
          <w:lang w:val="en-US" w:eastAsia="zh-CN" w:bidi="ar-SA"/>
        </w:rPr>
        <w:t>支持中山大学孙逸仙纪念医院建设广东乳腺肿瘤防治中心，支持南方医科大学南方医院建设广东国际肾脏病医学中心和国家创伤医学中心，</w:t>
      </w:r>
      <w:r>
        <w:rPr>
          <w:rFonts w:hint="default" w:ascii="Times New Roman" w:hAnsi="Times New Roman" w:eastAsia="仿宋_GB2312" w:cs="Times New Roman"/>
          <w:color w:val="000000"/>
          <w:sz w:val="32"/>
          <w:szCs w:val="32"/>
          <w:highlight w:val="none"/>
          <w:lang w:val="en-US" w:eastAsia="zh-CN"/>
        </w:rPr>
        <w:t>支持广东省人民医院建设</w:t>
      </w:r>
      <w:r>
        <w:rPr>
          <w:rFonts w:hint="default" w:ascii="Times New Roman" w:hAnsi="Times New Roman" w:eastAsia="仿宋_GB2312" w:cs="Times New Roman"/>
          <w:color w:val="000000"/>
          <w:kern w:val="2"/>
          <w:sz w:val="32"/>
          <w:szCs w:val="32"/>
          <w:highlight w:val="none"/>
          <w:lang w:val="en-US" w:eastAsia="zh-CN" w:bidi="ar-SA"/>
        </w:rPr>
        <w:t>广东国际心血管医学中心（白云院区），支持中山大学附属第一医院建设广东国际精准医学中心。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lang w:eastAsia="zh-CN"/>
        </w:rPr>
        <w:t>（</w:t>
      </w:r>
      <w:r>
        <w:rPr>
          <w:rFonts w:hint="default" w:ascii="Times New Roman" w:hAnsi="Times New Roman" w:eastAsia="楷体_GB2312" w:cs="Times New Roman"/>
          <w:color w:val="000000"/>
          <w:sz w:val="32"/>
          <w:szCs w:val="32"/>
          <w:highlight w:val="none"/>
          <w:lang w:val="en-US" w:eastAsia="zh-CN"/>
        </w:rPr>
        <w:t>五</w:t>
      </w:r>
      <w:r>
        <w:rPr>
          <w:rFonts w:hint="default" w:ascii="Times New Roman" w:hAnsi="Times New Roman" w:eastAsia="楷体_GB2312" w:cs="Times New Roman"/>
          <w:color w:val="000000"/>
          <w:sz w:val="32"/>
          <w:szCs w:val="32"/>
          <w:highlight w:val="none"/>
          <w:lang w:eastAsia="zh-CN"/>
        </w:rPr>
        <w:t>）绩效目标。</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省财政厅在年度专项资金下达时，同步下达了省财政转移支付绩效目标。</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1.高水平医院建设项目。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争取全国百强医院1家，获得自然科学基金项目5项，发表SCI文章总数400篇，发表SCI高分值文章总数40篇，新增省级临床重点专科5个，引起高层次人才5名，新增新技术、新项目60项，获得专利60项。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省财政厅共下达项目三级绩效指标17个，包括：产出指标7个、效益指标8个、满意度指标2个，具体如下：</w:t>
      </w:r>
    </w:p>
    <w:tbl>
      <w:tblPr>
        <w:tblStyle w:val="6"/>
        <w:tblW w:w="0" w:type="auto"/>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1554"/>
        <w:gridCol w:w="4192"/>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4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212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当年度三级指标</w:t>
            </w:r>
          </w:p>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指标</w:t>
            </w:r>
          </w:p>
        </w:tc>
        <w:tc>
          <w:tcPr>
            <w:tcW w:w="1554" w:type="dxa"/>
            <w:vMerge w:val="restar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支持高水平医院数量（家）</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获得自然科学基金项目（项）</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发表SCI高分值文章总数量</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制定高水平医院建设方案的医院比例</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“一对一”跨区域联动项目帮扶任务完成率</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项目完成时间</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高水平医院建设资金用于基建项目的比例</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restart"/>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入选高水平医院所在地市的市域内住院率</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全国百强医院（家）</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新增省级临床重点专科</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引进高层次医学人才（位）</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新增新技术、新项目（项）</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获得授权专利（项）</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w:t>
            </w: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开展现代医院管理制度建设</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有效引导高水平医院优质医疗资源向资源薄弱地区延伸（是/否）</w:t>
            </w:r>
          </w:p>
        </w:tc>
        <w:tc>
          <w:tcPr>
            <w:tcW w:w="2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（受支持）高水平医院门诊患者满意度（%）</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155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pacing w:before="0" w:beforeLines="0" w:after="0" w:afterLines="0" w:line="400" w:lineRule="exact"/>
              <w:ind w:left="0"/>
              <w:jc w:val="center"/>
              <w:rPr>
                <w:rFonts w:hint="default" w:ascii="Times New Roman" w:hAnsi="Times New Roman" w:eastAsia="宋体" w:cs="Times New Roman"/>
                <w:i w:val="0"/>
                <w:iCs w:val="0"/>
                <w:color w:val="000000"/>
                <w:sz w:val="24"/>
                <w:szCs w:val="24"/>
                <w:highlight w:val="none"/>
                <w:u w:val="none"/>
              </w:rPr>
            </w:pP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（受支持）高水平住院患者满意度（%）</w:t>
            </w:r>
          </w:p>
        </w:tc>
        <w:tc>
          <w:tcPr>
            <w:tcW w:w="2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2.国家医学（医疗）中心建设项目。</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（1）年度绩效目标。</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kern w:val="0"/>
          <w:sz w:val="32"/>
          <w:szCs w:val="32"/>
          <w:highlight w:val="none"/>
          <w:u w:val="none"/>
          <w:lang w:val="en-US" w:eastAsia="zh-CN" w:bidi="ar"/>
        </w:rPr>
        <w:t>广东国际精准医学中心：</w:t>
      </w:r>
      <w:r>
        <w:rPr>
          <w:rFonts w:hint="default" w:ascii="Times New Roman" w:hAnsi="Times New Roman" w:eastAsia="仿宋_GB2312" w:cs="Times New Roman"/>
          <w:color w:val="000000"/>
          <w:kern w:val="0"/>
          <w:sz w:val="32"/>
          <w:szCs w:val="32"/>
          <w:highlight w:val="none"/>
          <w:lang w:val="en-US" w:eastAsia="zh-CN" w:bidi="ar"/>
        </w:rPr>
        <w:t>确保9大平台（包括基础研究平台和实验动物平台）全部运行，满足科研人员实验需求；完善生物样本库建设，新启动至少3个病种的多组学数据库建设；建成精准医疗大数据高性能平台，满足未来5年基于医疗大数据和人工智能临床研究项目的数据存储与处理能力。围绕疑难重症及罕见病诊治中心进行建设，如期完成设备立项及前期调研论证、招标采购及合同签订、设备验收工作；做好设备相关的医生及护士培训工作；提升疑难重症及罕见病医疗服务能力，提升患者满意度和医务人员满意度。继续推进一体化紧急医学救援体系建设和跨区域医疗质量监控管理平台建设，规划接口方案；完成医学大数据和人工智能科研平台一期的基础设施建设；平台具备可扩展的基础大数据服务能力；平台具备数据多样性治理和可视化数据挖掘和呈现能力。引进高层次人才、培育国家级青年、后备人才。</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广东国际心血管医学中心：实施广东国际心血管医学中心（白云院区）基础设施建设和人才引进、平台建设，并在现有基础和转化研究平台和实验动物平台（广东省医学实验动物中心）的基础上，进一步完善科研创新平台和转化应用平台的建设，包括高端核心设备和公共开放平台建设，满足科研人员实验需求和心血管学科成果产出；进一步加强心血管生物样本库建设，支撑并促进心血管疾病多组学分析及大数据建设。</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3）广东乳腺肿瘤防治中心：完成基坑围护及降排水工程、50%土石方工程、桩基础工程施工，同时完成地下结构土建工程施工。</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4）广东国际肾脏病医学中心：广东国际肾脏病医学中心完成建设至地下室负四层梁板墙柱，完成基坑支护。</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5）国家创伤区域医疗中心：开展创伤区域医疗中心项目的施工图设计、施工单位、监理单位的招标工作</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（2）年度绩效指标。</w:t>
      </w:r>
    </w:p>
    <w:p>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省财政厅共下达项目三级绩效指标</w:t>
      </w:r>
      <w:r>
        <w:rPr>
          <w:rFonts w:hint="default" w:ascii="Times New Roman" w:hAnsi="Times New Roman" w:eastAsia="仿宋_GB2312" w:cs="Times New Roman"/>
          <w:color w:val="000000"/>
          <w:kern w:val="0"/>
          <w:sz w:val="32"/>
          <w:szCs w:val="32"/>
          <w:highlight w:val="none"/>
          <w:lang w:val="en" w:eastAsia="zh-CN" w:bidi="ar"/>
        </w:rPr>
        <w:t>16</w:t>
      </w:r>
      <w:r>
        <w:rPr>
          <w:rFonts w:hint="default" w:ascii="Times New Roman" w:hAnsi="Times New Roman" w:eastAsia="仿宋_GB2312" w:cs="Times New Roman"/>
          <w:color w:val="000000"/>
          <w:kern w:val="0"/>
          <w:sz w:val="32"/>
          <w:szCs w:val="32"/>
          <w:highlight w:val="none"/>
          <w:lang w:val="en-US" w:eastAsia="zh-CN" w:bidi="ar"/>
        </w:rPr>
        <w:t>个，包括：产出指标</w:t>
      </w:r>
      <w:r>
        <w:rPr>
          <w:rFonts w:hint="default" w:ascii="Times New Roman" w:hAnsi="Times New Roman" w:eastAsia="仿宋_GB2312" w:cs="Times New Roman"/>
          <w:color w:val="000000"/>
          <w:kern w:val="0"/>
          <w:sz w:val="32"/>
          <w:szCs w:val="32"/>
          <w:highlight w:val="none"/>
          <w:lang w:val="en" w:eastAsia="zh-CN" w:bidi="ar"/>
        </w:rPr>
        <w:t>8</w:t>
      </w:r>
      <w:r>
        <w:rPr>
          <w:rFonts w:hint="default" w:ascii="Times New Roman" w:hAnsi="Times New Roman" w:eastAsia="仿宋_GB2312" w:cs="Times New Roman"/>
          <w:color w:val="000000"/>
          <w:kern w:val="0"/>
          <w:sz w:val="32"/>
          <w:szCs w:val="32"/>
          <w:highlight w:val="none"/>
          <w:lang w:val="en-US" w:eastAsia="zh-CN" w:bidi="ar"/>
        </w:rPr>
        <w:t>个、效益指标</w:t>
      </w:r>
      <w:r>
        <w:rPr>
          <w:rFonts w:hint="default" w:ascii="Times New Roman" w:hAnsi="Times New Roman" w:eastAsia="仿宋_GB2312" w:cs="Times New Roman"/>
          <w:color w:val="000000"/>
          <w:kern w:val="0"/>
          <w:sz w:val="32"/>
          <w:szCs w:val="32"/>
          <w:highlight w:val="none"/>
          <w:lang w:val="en" w:eastAsia="zh-CN" w:bidi="ar"/>
        </w:rPr>
        <w:t>4</w:t>
      </w:r>
      <w:r>
        <w:rPr>
          <w:rFonts w:hint="default" w:ascii="Times New Roman" w:hAnsi="Times New Roman" w:eastAsia="仿宋_GB2312" w:cs="Times New Roman"/>
          <w:color w:val="000000"/>
          <w:kern w:val="0"/>
          <w:sz w:val="32"/>
          <w:szCs w:val="32"/>
          <w:highlight w:val="none"/>
          <w:lang w:val="en-US" w:eastAsia="zh-CN" w:bidi="ar"/>
        </w:rPr>
        <w:t>个、满意度指标</w:t>
      </w:r>
      <w:r>
        <w:rPr>
          <w:rFonts w:hint="default" w:ascii="Times New Roman" w:hAnsi="Times New Roman" w:eastAsia="仿宋_GB2312" w:cs="Times New Roman"/>
          <w:color w:val="000000"/>
          <w:kern w:val="0"/>
          <w:sz w:val="32"/>
          <w:szCs w:val="32"/>
          <w:highlight w:val="none"/>
          <w:lang w:val="en" w:eastAsia="zh-CN" w:bidi="ar"/>
        </w:rPr>
        <w:t>2</w:t>
      </w:r>
      <w:r>
        <w:rPr>
          <w:rFonts w:hint="default" w:ascii="Times New Roman" w:hAnsi="Times New Roman" w:eastAsia="仿宋_GB2312" w:cs="Times New Roman"/>
          <w:color w:val="000000"/>
          <w:kern w:val="0"/>
          <w:sz w:val="32"/>
          <w:szCs w:val="32"/>
          <w:highlight w:val="none"/>
          <w:lang w:val="en-US" w:eastAsia="zh-CN" w:bidi="ar"/>
        </w:rPr>
        <w:t>个，具体如下：</w:t>
      </w:r>
    </w:p>
    <w:tbl>
      <w:tblPr>
        <w:tblStyle w:val="6"/>
        <w:tblW w:w="0" w:type="auto"/>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8"/>
        <w:gridCol w:w="1412"/>
        <w:gridCol w:w="4517"/>
        <w:gridCol w:w="2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color w:val="000000"/>
                <w:sz w:val="24"/>
                <w:szCs w:val="24"/>
                <w:highlight w:val="none"/>
                <w:u w:val="none"/>
                <w:lang w:val="en-US" w:eastAsia="zh-CN" w:bidi="ar"/>
              </w:rPr>
              <w:t>一级指标</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color w:val="000000"/>
                <w:sz w:val="24"/>
                <w:szCs w:val="24"/>
                <w:highlight w:val="none"/>
                <w:u w:val="none"/>
                <w:lang w:val="en-US" w:eastAsia="zh-CN" w:bidi="ar"/>
              </w:rPr>
              <w:t>二级指标</w:t>
            </w:r>
          </w:p>
        </w:tc>
        <w:tc>
          <w:tcPr>
            <w:tcW w:w="4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color w:val="000000"/>
                <w:sz w:val="24"/>
                <w:szCs w:val="24"/>
                <w:highlight w:val="none"/>
                <w:u w:val="none"/>
                <w:lang w:val="en-US" w:eastAsia="zh-CN" w:bidi="ar"/>
              </w:rPr>
              <w:t>三级指标</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color w:val="000000"/>
                <w:sz w:val="24"/>
                <w:szCs w:val="24"/>
                <w:highlight w:val="none"/>
                <w:u w:val="none"/>
                <w:lang w:val="en-US" w:eastAsia="zh-CN" w:bidi="ar"/>
              </w:rPr>
              <w:t>当年度三级指标目标值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产出指标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数量指标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新增高端科研仪器设备及智能医疗设备（台）（广东国际精准医学中心）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搭建科研平台（个）（广东国际精准医学中心+广东国际心血管医学中心）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国内学术交流活动次数（次）（广东乳腺肿瘤防治中心）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培养专业人才（人）（广东国际心血管医学中心）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建设进度（%）（广东国际肾脏病医学中心+国家创伤区域医疗中心）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质量指标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设备利用率（%）（广东国际精准医学中心+广东国际心血管医学中心）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设备验收合格率（%）（广东国际精准医学中心+广东国际心血管医学中心）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时效指标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新增设备装机完成率（%）</w:t>
            </w:r>
            <w:r>
              <w:rPr>
                <w:rFonts w:hint="default" w:ascii="Times New Roman" w:hAnsi="Times New Roman" w:eastAsia="宋体" w:cs="Times New Roman"/>
                <w:i w:val="0"/>
                <w:iCs w:val="0"/>
                <w:color w:val="000000"/>
                <w:sz w:val="24"/>
                <w:szCs w:val="24"/>
                <w:highlight w:val="none"/>
                <w:u w:val="none"/>
                <w:lang w:val="en-US" w:eastAsia="zh-CN" w:bidi="ar"/>
              </w:rPr>
              <w:br w:type="textWrapping"/>
            </w:r>
            <w:r>
              <w:rPr>
                <w:rFonts w:hint="default" w:ascii="Times New Roman" w:hAnsi="Times New Roman" w:eastAsia="宋体" w:cs="Times New Roman"/>
                <w:i w:val="0"/>
                <w:iCs w:val="0"/>
                <w:color w:val="000000"/>
                <w:sz w:val="24"/>
                <w:szCs w:val="24"/>
                <w:highlight w:val="none"/>
                <w:u w:val="none"/>
                <w:lang w:val="en-US" w:eastAsia="zh-CN" w:bidi="ar"/>
              </w:rPr>
              <w:t>（广东国际精准医学中心）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项目预算控制</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可持续影响指标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发挥示范引领作用（广东国际精准医学中心+广东国际心血管医学中心）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sz w:val="24"/>
                <w:szCs w:val="24"/>
                <w:highlight w:val="none"/>
                <w:u w:val="none"/>
                <w:lang w:val="en-US" w:eastAsia="zh-CN" w:bidi="ar"/>
              </w:rPr>
              <w:t>社会效益指标</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科研成果转化数（个）（广东国际精准医学中心+广东国际心血管医学中心）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文章发表（篇）（广东国际心血管医学中心）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left"/>
              <w:textAlignment w:val="center"/>
              <w:rPr>
                <w:rFonts w:hint="default" w:ascii="Times New Roman" w:hAnsi="Times New Roman" w:eastAsia="宋体" w:cs="Times New Roman"/>
                <w:i w:val="0"/>
                <w:iCs w:val="0"/>
                <w:color w:val="000000"/>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国家级重点科研项目数（项）（广东乳腺肿瘤防治中心）</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满意度指标</w:t>
            </w:r>
          </w:p>
        </w:tc>
        <w:tc>
          <w:tcPr>
            <w:tcW w:w="1412"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服务对象满意度</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jc w:val="left"/>
              <w:textAlignment w:val="center"/>
              <w:rPr>
                <w:rFonts w:hint="default" w:ascii="Times New Roman" w:hAnsi="Times New Roman" w:eastAsia="宋体" w:cs="Times New Roman"/>
                <w:i w:val="0"/>
                <w:iCs w:val="0"/>
                <w:color w:val="000000"/>
                <w:kern w:val="2"/>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门诊患者满意度</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1412"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pacing w:before="0" w:beforeLines="0" w:after="0" w:afterLines="0" w:line="360" w:lineRule="exact"/>
              <w:ind w:left="0"/>
              <w:jc w:val="center"/>
              <w:rPr>
                <w:rFonts w:hint="default" w:ascii="Times New Roman" w:hAnsi="Times New Roman" w:eastAsia="宋体" w:cs="Times New Roman"/>
                <w:i w:val="0"/>
                <w:iCs w:val="0"/>
                <w:color w:val="000000"/>
                <w:sz w:val="24"/>
                <w:szCs w:val="24"/>
                <w:highlight w:val="none"/>
                <w:u w:val="none"/>
              </w:rPr>
            </w:pP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jc w:val="left"/>
              <w:textAlignment w:val="center"/>
              <w:rPr>
                <w:rFonts w:hint="default" w:ascii="Times New Roman" w:hAnsi="Times New Roman" w:eastAsia="宋体" w:cs="Times New Roman"/>
                <w:i w:val="0"/>
                <w:iCs w:val="0"/>
                <w:color w:val="000000"/>
                <w:kern w:val="2"/>
                <w:sz w:val="24"/>
                <w:szCs w:val="24"/>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bidi="ar"/>
              </w:rPr>
              <w:t>住院患者满意度</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ind w:left="0" w:leftChars="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firstLine="480" w:firstLineChars="200"/>
        <w:jc w:val="both"/>
        <w:textAlignment w:val="auto"/>
        <w:rPr>
          <w:rFonts w:hint="default" w:ascii="Times New Roman" w:hAnsi="Times New Roman" w:eastAsia="宋体" w:cs="Times New Roman"/>
          <w:b w:val="0"/>
          <w:bCs w:val="0"/>
          <w:color w:val="0000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Lines="0" w:afterLines="0" w:line="56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二、自评情况</w:t>
      </w:r>
    </w:p>
    <w:p>
      <w:pPr>
        <w:keepNext w:val="0"/>
        <w:keepLines w:val="0"/>
        <w:pageBreakBefore w:val="0"/>
        <w:kinsoku/>
        <w:wordWrap/>
        <w:overflowPunct/>
        <w:topLinePunct w:val="0"/>
        <w:autoSpaceDE/>
        <w:autoSpaceDN/>
        <w:bidi w:val="0"/>
        <w:adjustRightInd/>
        <w:snapToGrid w:val="0"/>
        <w:spacing w:beforeLines="0" w:afterLines="0" w:line="560" w:lineRule="exact"/>
        <w:ind w:firstLine="640" w:firstLineChars="200"/>
        <w:textAlignment w:val="auto"/>
        <w:rPr>
          <w:rFonts w:hint="default" w:ascii="Times New Roman" w:hAnsi="Times New Roman" w:eastAsia="楷体_GB2312" w:cs="Times New Roman"/>
          <w:b w:val="0"/>
          <w:bCs w:val="0"/>
          <w:color w:val="000000"/>
          <w:sz w:val="32"/>
          <w:szCs w:val="32"/>
          <w:highlight w:val="none"/>
          <w:lang w:eastAsia="zh-CN"/>
        </w:rPr>
      </w:pPr>
      <w:r>
        <w:rPr>
          <w:rFonts w:hint="default" w:ascii="Times New Roman" w:hAnsi="Times New Roman" w:eastAsia="楷体_GB2312" w:cs="Times New Roman"/>
          <w:b w:val="0"/>
          <w:bCs w:val="0"/>
          <w:color w:val="000000"/>
          <w:sz w:val="32"/>
          <w:szCs w:val="32"/>
          <w:highlight w:val="none"/>
        </w:rPr>
        <w:t>（一）自评</w:t>
      </w:r>
      <w:r>
        <w:rPr>
          <w:rFonts w:hint="default" w:ascii="Times New Roman" w:hAnsi="Times New Roman" w:eastAsia="楷体_GB2312" w:cs="Times New Roman"/>
          <w:b w:val="0"/>
          <w:bCs w:val="0"/>
          <w:color w:val="000000"/>
          <w:sz w:val="32"/>
          <w:szCs w:val="32"/>
          <w:highlight w:val="none"/>
          <w:lang w:eastAsia="zh-CN"/>
        </w:rPr>
        <w:t>结论。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我委严格对照2025年省级财政资金绩效自评要求，从项目实施过程、产出和效益三个维度，开展全面自评。经综合评定，健全现代医院管理制度事权各政策任务如期完成年度绩效目标和各项绩效指标。已完成项目建设质量合格率达100%，入选高</w:t>
      </w:r>
      <w:r>
        <w:rPr>
          <w:rFonts w:hint="default" w:ascii="Times New Roman" w:hAnsi="Times New Roman" w:eastAsia="仿宋_GB2312" w:cs="Times New Roman"/>
          <w:i w:val="0"/>
          <w:iCs w:val="0"/>
          <w:color w:val="000000"/>
          <w:kern w:val="0"/>
          <w:sz w:val="32"/>
          <w:szCs w:val="32"/>
          <w:highlight w:val="none"/>
          <w:u w:val="none"/>
          <w:lang w:val="en-US" w:eastAsia="zh-CN" w:bidi="ar"/>
        </w:rPr>
        <w:t>水平医院所在地市的市域内住院率达92.99%，</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广东乳腺肿瘤防治中心获得2项国家级重点科研项目，</w:t>
      </w:r>
      <w:r>
        <w:rPr>
          <w:rFonts w:hint="default" w:ascii="Times New Roman" w:hAnsi="Times New Roman" w:eastAsia="仿宋_GB2312" w:cs="Times New Roman"/>
          <w:color w:val="000000"/>
          <w:sz w:val="32"/>
          <w:szCs w:val="32"/>
          <w:highlight w:val="none"/>
          <w:lang w:val="en-US" w:eastAsia="zh-CN"/>
        </w:rPr>
        <w:t>患者满意度达93%以上，实现了建设质量和实施效果的“双提升”。</w:t>
      </w:r>
    </w:p>
    <w:p>
      <w:pPr>
        <w:keepNext w:val="0"/>
        <w:keepLines w:val="0"/>
        <w:pageBreakBefore w:val="0"/>
        <w:kinsoku/>
        <w:wordWrap/>
        <w:overflowPunct/>
        <w:topLinePunct w:val="0"/>
        <w:autoSpaceDE/>
        <w:autoSpaceDN/>
        <w:bidi w:val="0"/>
        <w:adjustRightInd/>
        <w:snapToGrid w:val="0"/>
        <w:spacing w:beforeLines="0" w:afterLines="0" w:line="560" w:lineRule="exact"/>
        <w:ind w:firstLine="640" w:firstLineChars="200"/>
        <w:textAlignment w:val="auto"/>
        <w:rPr>
          <w:rFonts w:hint="default" w:ascii="Times New Roman" w:hAnsi="Times New Roman" w:eastAsia="楷体_GB2312" w:cs="Times New Roman"/>
          <w:b w:val="0"/>
          <w:bCs w:val="0"/>
          <w:color w:val="000000"/>
          <w:sz w:val="32"/>
          <w:szCs w:val="32"/>
          <w:highlight w:val="none"/>
          <w:lang w:eastAsia="zh-CN"/>
        </w:rPr>
      </w:pPr>
      <w:r>
        <w:rPr>
          <w:rFonts w:hint="default" w:ascii="Times New Roman" w:hAnsi="Times New Roman" w:eastAsia="楷体_GB2312" w:cs="Times New Roman"/>
          <w:b w:val="0"/>
          <w:bCs w:val="0"/>
          <w:color w:val="000000"/>
          <w:sz w:val="32"/>
          <w:szCs w:val="32"/>
          <w:highlight w:val="none"/>
        </w:rPr>
        <w:t>（二）专项资金使用绩效</w:t>
      </w:r>
      <w:r>
        <w:rPr>
          <w:rFonts w:hint="default" w:ascii="Times New Roman" w:hAnsi="Times New Roman" w:eastAsia="楷体_GB2312" w:cs="Times New Roman"/>
          <w:b w:val="0"/>
          <w:bCs w:val="0"/>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Lines="0" w:afterLines="0"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1.专项资金支出情况。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截至2024年8月，2024年度健全现代医院管理制度事权预算资金179</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200万元已足额下达至各地各单位，省级财政资金拨付率100%。</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截至2024年12月31日，2024年度健全现代医院管理制度事权省级财政资金实际支出159</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220.52万元，支出率88.85%（详见表2）。</w:t>
      </w: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kern w:val="0"/>
          <w:sz w:val="28"/>
          <w:szCs w:val="28"/>
          <w:highlight w:val="none"/>
          <w:lang w:val="en-US" w:eastAsia="zh-CN" w:bidi="ar"/>
        </w:rPr>
        <w:t>表2  专项资金支出情况</w:t>
      </w:r>
    </w:p>
    <w:p>
      <w:pPr>
        <w:snapToGrid w:val="0"/>
        <w:spacing w:beforeLines="0" w:afterLines="0" w:line="400" w:lineRule="exact"/>
        <w:jc w:val="righ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z w:val="21"/>
          <w:szCs w:val="21"/>
          <w:highlight w:val="none"/>
        </w:rPr>
        <w:t>金额单位：万</w:t>
      </w:r>
      <w:r>
        <w:rPr>
          <w:rFonts w:hint="eastAsia" w:ascii="仿宋_GB2312" w:hAnsi="仿宋_GB2312" w:eastAsia="仿宋_GB2312" w:cs="仿宋_GB2312"/>
          <w:b w:val="0"/>
          <w:bCs w:val="0"/>
          <w:color w:val="000000"/>
          <w:sz w:val="21"/>
          <w:szCs w:val="21"/>
          <w:highlight w:val="none"/>
          <w:lang w:val="en-US" w:eastAsia="zh-CN"/>
        </w:rPr>
        <w:t>元</w:t>
      </w:r>
    </w:p>
    <w:tbl>
      <w:tblPr>
        <w:tblStyle w:val="6"/>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29"/>
        <w:gridCol w:w="3399"/>
        <w:gridCol w:w="1014"/>
        <w:gridCol w:w="936"/>
        <w:gridCol w:w="1278"/>
        <w:gridCol w:w="1159"/>
        <w:gridCol w:w="11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blHeader/>
          <w:jc w:val="center"/>
        </w:trPr>
        <w:tc>
          <w:tcPr>
            <w:tcW w:w="829" w:type="dxa"/>
            <w:vMerge w:val="restart"/>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3399" w:type="dxa"/>
            <w:vMerge w:val="restart"/>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政策任务</w:t>
            </w:r>
          </w:p>
        </w:tc>
        <w:tc>
          <w:tcPr>
            <w:tcW w:w="1014" w:type="dxa"/>
            <w:vMerge w:val="restart"/>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支出率</w:t>
            </w:r>
          </w:p>
        </w:tc>
        <w:tc>
          <w:tcPr>
            <w:tcW w:w="936" w:type="dxa"/>
            <w:vMerge w:val="restart"/>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预算金额</w:t>
            </w:r>
          </w:p>
        </w:tc>
        <w:tc>
          <w:tcPr>
            <w:tcW w:w="3601" w:type="dxa"/>
            <w:gridSpan w:val="3"/>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实际支出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tblHeader/>
          <w:jc w:val="center"/>
        </w:trPr>
        <w:tc>
          <w:tcPr>
            <w:tcW w:w="829" w:type="dxa"/>
            <w:vMerge w:val="continue"/>
            <w:tcBorders>
              <w:tl2br w:val="nil"/>
              <w:tr2bl w:val="nil"/>
            </w:tcBorders>
            <w:shd w:val="clear" w:color="auto" w:fill="FFFFFF"/>
            <w:noWrap w:val="0"/>
            <w:vAlign w:val="center"/>
          </w:tcPr>
          <w:p>
            <w:pPr>
              <w:spacing w:line="360" w:lineRule="exact"/>
              <w:jc w:val="center"/>
              <w:rPr>
                <w:rFonts w:hint="eastAsia" w:ascii="黑体" w:hAnsi="黑体" w:eastAsia="黑体" w:cs="黑体"/>
                <w:b w:val="0"/>
                <w:bCs w:val="0"/>
                <w:i w:val="0"/>
                <w:iCs w:val="0"/>
                <w:color w:val="000000"/>
                <w:sz w:val="24"/>
                <w:szCs w:val="24"/>
                <w:highlight w:val="none"/>
                <w:u w:val="none"/>
              </w:rPr>
            </w:pPr>
          </w:p>
        </w:tc>
        <w:tc>
          <w:tcPr>
            <w:tcW w:w="3399" w:type="dxa"/>
            <w:vMerge w:val="continue"/>
            <w:tcBorders>
              <w:tl2br w:val="nil"/>
              <w:tr2bl w:val="nil"/>
            </w:tcBorders>
            <w:shd w:val="clear" w:color="auto" w:fill="FFFFFF"/>
            <w:noWrap w:val="0"/>
            <w:vAlign w:val="center"/>
          </w:tcPr>
          <w:p>
            <w:pPr>
              <w:spacing w:line="360" w:lineRule="exact"/>
              <w:jc w:val="center"/>
              <w:rPr>
                <w:rFonts w:hint="eastAsia" w:ascii="黑体" w:hAnsi="黑体" w:eastAsia="黑体" w:cs="黑体"/>
                <w:b w:val="0"/>
                <w:bCs w:val="0"/>
                <w:i w:val="0"/>
                <w:iCs w:val="0"/>
                <w:color w:val="000000"/>
                <w:sz w:val="24"/>
                <w:szCs w:val="24"/>
                <w:highlight w:val="none"/>
                <w:u w:val="none"/>
              </w:rPr>
            </w:pPr>
          </w:p>
        </w:tc>
        <w:tc>
          <w:tcPr>
            <w:tcW w:w="1014" w:type="dxa"/>
            <w:vMerge w:val="continue"/>
            <w:tcBorders>
              <w:tl2br w:val="nil"/>
              <w:tr2bl w:val="nil"/>
            </w:tcBorders>
            <w:shd w:val="clear" w:color="auto" w:fill="FFFFFF"/>
            <w:noWrap w:val="0"/>
            <w:vAlign w:val="center"/>
          </w:tcPr>
          <w:p>
            <w:pPr>
              <w:spacing w:line="360" w:lineRule="exact"/>
              <w:jc w:val="center"/>
              <w:rPr>
                <w:rFonts w:hint="eastAsia" w:ascii="黑体" w:hAnsi="黑体" w:eastAsia="黑体" w:cs="黑体"/>
                <w:b w:val="0"/>
                <w:bCs w:val="0"/>
                <w:i w:val="0"/>
                <w:iCs w:val="0"/>
                <w:color w:val="000000"/>
                <w:sz w:val="24"/>
                <w:szCs w:val="24"/>
                <w:highlight w:val="none"/>
                <w:u w:val="none"/>
              </w:rPr>
            </w:pPr>
          </w:p>
        </w:tc>
        <w:tc>
          <w:tcPr>
            <w:tcW w:w="936" w:type="dxa"/>
            <w:vMerge w:val="continue"/>
            <w:tcBorders>
              <w:tl2br w:val="nil"/>
              <w:tr2bl w:val="nil"/>
            </w:tcBorders>
            <w:shd w:val="clear" w:color="auto" w:fill="FFFFFF"/>
            <w:noWrap w:val="0"/>
            <w:vAlign w:val="center"/>
          </w:tcPr>
          <w:p>
            <w:pPr>
              <w:spacing w:line="360" w:lineRule="exact"/>
              <w:jc w:val="center"/>
              <w:rPr>
                <w:rFonts w:hint="eastAsia" w:ascii="黑体" w:hAnsi="黑体" w:eastAsia="黑体" w:cs="黑体"/>
                <w:b w:val="0"/>
                <w:bCs w:val="0"/>
                <w:i w:val="0"/>
                <w:iCs w:val="0"/>
                <w:color w:val="000000"/>
                <w:sz w:val="24"/>
                <w:szCs w:val="24"/>
                <w:highlight w:val="none"/>
                <w:u w:val="none"/>
              </w:rPr>
            </w:pP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小计</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省本级</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对下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228" w:type="dxa"/>
            <w:gridSpan w:val="2"/>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合    计</w:t>
            </w:r>
          </w:p>
        </w:tc>
        <w:tc>
          <w:tcPr>
            <w:tcW w:w="1014"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88.85%</w:t>
            </w:r>
          </w:p>
        </w:tc>
        <w:tc>
          <w:tcPr>
            <w:tcW w:w="9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179200</w:t>
            </w:r>
          </w:p>
        </w:tc>
        <w:tc>
          <w:tcPr>
            <w:tcW w:w="1278"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159220.52</w:t>
            </w:r>
          </w:p>
        </w:tc>
        <w:tc>
          <w:tcPr>
            <w:tcW w:w="1159"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 xml:space="preserve">98196.16 </w:t>
            </w:r>
          </w:p>
        </w:tc>
        <w:tc>
          <w:tcPr>
            <w:tcW w:w="1164"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 xml:space="preserve">61024.36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高水平医院建设</w:t>
            </w:r>
          </w:p>
        </w:tc>
        <w:tc>
          <w:tcPr>
            <w:tcW w:w="1014"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90.42%</w:t>
            </w:r>
          </w:p>
        </w:tc>
        <w:tc>
          <w:tcPr>
            <w:tcW w:w="936"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100000</w:t>
            </w:r>
          </w:p>
        </w:tc>
        <w:tc>
          <w:tcPr>
            <w:tcW w:w="1278"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90424.36 </w:t>
            </w:r>
          </w:p>
        </w:tc>
        <w:tc>
          <w:tcPr>
            <w:tcW w:w="1159"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29400</w:t>
            </w:r>
          </w:p>
        </w:tc>
        <w:tc>
          <w:tcPr>
            <w:tcW w:w="1164" w:type="dxa"/>
            <w:tcBorders>
              <w:tl2br w:val="nil"/>
              <w:tr2bl w:val="nil"/>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61024.36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国家医学（医疗）中心建设</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79200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68796.16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68796.16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spacing w:line="360" w:lineRule="exact"/>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1</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w:t>
            </w:r>
            <w:r>
              <w:rPr>
                <w:rFonts w:hint="default" w:ascii="Times New Roman" w:hAnsi="Times New Roman" w:eastAsia="宋体" w:cs="Times New Roman"/>
                <w:color w:val="000000"/>
                <w:sz w:val="24"/>
                <w:szCs w:val="24"/>
                <w:highlight w:val="none"/>
                <w:lang w:bidi="ar"/>
              </w:rPr>
              <w:t>广东乳腺肿瘤防治中心</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2500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2500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spacing w:line="360" w:lineRule="exact"/>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2</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ind w:left="720" w:hanging="720" w:hangingChars="3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广东国际肾脏病医学中心</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15.10%</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1509.91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1509.91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spacing w:line="360" w:lineRule="exact"/>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3</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ind w:left="720" w:hanging="720" w:hangingChars="30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广东国际心血管医学中心</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55700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55700.00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55700.00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spacing w:line="360" w:lineRule="exact"/>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4</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广东国际精准医学中心</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9000.00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9000.00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829" w:type="dxa"/>
            <w:tcBorders>
              <w:tl2br w:val="nil"/>
              <w:tr2bl w:val="nil"/>
            </w:tcBorders>
            <w:shd w:val="clear" w:color="auto" w:fill="FFFFFF"/>
            <w:noWrap w:val="0"/>
            <w:vAlign w:val="center"/>
          </w:tcPr>
          <w:p>
            <w:pPr>
              <w:spacing w:line="360" w:lineRule="exact"/>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5</w:t>
            </w:r>
          </w:p>
        </w:tc>
        <w:tc>
          <w:tcPr>
            <w:tcW w:w="3399" w:type="dxa"/>
            <w:tcBorders>
              <w:tl2br w:val="nil"/>
              <w:tr2bl w:val="nil"/>
            </w:tcBorders>
            <w:shd w:val="clear" w:color="auto" w:fill="FFFFFF"/>
            <w:noWrap w:val="0"/>
            <w:vAlign w:val="center"/>
          </w:tcPr>
          <w:p>
            <w:pPr>
              <w:keepNext w:val="0"/>
              <w:keepLines w:val="0"/>
              <w:widowControl/>
              <w:suppressLineNumbers w:val="0"/>
              <w:spacing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国家创伤医学中心</w:t>
            </w:r>
          </w:p>
        </w:tc>
        <w:tc>
          <w:tcPr>
            <w:tcW w:w="101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4.31%</w:t>
            </w:r>
          </w:p>
        </w:tc>
        <w:tc>
          <w:tcPr>
            <w:tcW w:w="936"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2000</w:t>
            </w:r>
          </w:p>
        </w:tc>
        <w:tc>
          <w:tcPr>
            <w:tcW w:w="1278"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86.25 </w:t>
            </w:r>
          </w:p>
        </w:tc>
        <w:tc>
          <w:tcPr>
            <w:tcW w:w="1159"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86.25 </w:t>
            </w:r>
          </w:p>
        </w:tc>
        <w:tc>
          <w:tcPr>
            <w:tcW w:w="1164" w:type="dxa"/>
            <w:tcBorders>
              <w:tl2br w:val="nil"/>
              <w:tr2bl w:val="nil"/>
            </w:tcBorders>
            <w:shd w:val="clear" w:color="auto" w:fill="FFFFFF"/>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bl>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2.专项资金绩效目标完成情况。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（1）高水平医院建设项目。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预期总体目标全部如期实现：争取全国百强医院2家，获得自然科学基金项目117项，发表SCI文章总数1415篇，发表SCI高分值文章总数228篇，新增省级临床重点专科21个，引起高层次人才77名，新增新技术、新项目481项，获得专利587项，超标准实现了年度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②三级绩效指标完成情况。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u w:val="none"/>
          <w:lang w:val="en-US" w:eastAsia="zh-CN" w:bidi="ar"/>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val="0"/>
          <w:bCs w:val="0"/>
          <w:snapToGrid/>
          <w:color w:val="000000"/>
          <w:kern w:val="2"/>
          <w:sz w:val="32"/>
          <w:szCs w:val="32"/>
          <w:highlight w:val="none"/>
          <w:lang w:val="en-US" w:eastAsia="zh-CN" w:bidi="ar"/>
        </w:rPr>
        <w:t>资金支出率。本指标当年度目标值为“100%”。截至2024年12月31日，本年度高水平医院建设项目资金支出率</w:t>
      </w:r>
      <w:r>
        <w:rPr>
          <w:rFonts w:hint="default" w:ascii="Times New Roman" w:hAnsi="Times New Roman" w:eastAsia="仿宋_GB2312" w:cs="Times New Roman"/>
          <w:color w:val="000000"/>
          <w:sz w:val="32"/>
          <w:szCs w:val="32"/>
          <w:highlight w:val="none"/>
          <w:lang w:bidi="ar"/>
        </w:rPr>
        <w:t>90.42%</w:t>
      </w:r>
      <w:r>
        <w:rPr>
          <w:rFonts w:hint="default" w:ascii="Times New Roman" w:hAnsi="Times New Roman" w:eastAsia="仿宋_GB2312" w:cs="Times New Roman"/>
          <w:b w:val="0"/>
          <w:bCs w:val="0"/>
          <w:snapToGrid/>
          <w:color w:val="000000"/>
          <w:kern w:val="2"/>
          <w:sz w:val="32"/>
          <w:szCs w:val="32"/>
          <w:highlight w:val="none"/>
          <w:lang w:val="en-US" w:eastAsia="zh-CN" w:bidi="ar"/>
        </w:rPr>
        <w:t>，指标完成率90.42%，未实现预期目标。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snapToGrid/>
          <w:color w:val="000000"/>
          <w:kern w:val="2"/>
          <w:sz w:val="32"/>
          <w:szCs w:val="32"/>
          <w:highlight w:val="none"/>
          <w:lang w:val="en-US" w:eastAsia="zh-CN" w:bidi="ar"/>
        </w:rPr>
        <w:t xml:space="preserve">指标2 </w:t>
      </w:r>
      <w:r>
        <w:rPr>
          <w:rFonts w:hint="default" w:ascii="Times New Roman" w:hAnsi="Times New Roman" w:eastAsia="仿宋_GB2312" w:cs="Times New Roman"/>
          <w:b w:val="0"/>
          <w:bCs w:val="0"/>
          <w:snapToGrid/>
          <w:color w:val="000000"/>
          <w:kern w:val="2"/>
          <w:sz w:val="32"/>
          <w:szCs w:val="32"/>
          <w:highlight w:val="none"/>
          <w:lang w:val="en-US" w:eastAsia="zh-CN" w:bidi="ar"/>
        </w:rPr>
        <w:t>监管有效性。本指标当年度目标值为“有效”。2024年，我委围绕项目监管有效性，扎实开展预算执行进度通报、专项资金绩效运行监控，认真落实预算执行动态监管，紧盯资金流向和具体支出情况，及时发现并纠正资金使用中的问题，较好完成年度各项目标任务，项目监管有效，指标完成率100%，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B.产出指标完成情况分析。</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b/>
          <w:bCs/>
          <w:color w:val="000000"/>
          <w:kern w:val="2"/>
          <w:sz w:val="32"/>
          <w:szCs w:val="32"/>
          <w:highlight w:val="none"/>
          <w:lang w:val="en-US" w:eastAsia="zh-CN" w:bidi="ar-SA"/>
        </w:rPr>
        <w:t>指标3</w:t>
      </w:r>
      <w:r>
        <w:rPr>
          <w:rFonts w:hint="default" w:ascii="Times New Roman" w:hAnsi="Times New Roman" w:eastAsia="仿宋_GB2312" w:cs="Times New Roman"/>
          <w:color w:val="000000"/>
          <w:sz w:val="32"/>
          <w:szCs w:val="32"/>
          <w:highlight w:val="none"/>
          <w:lang w:val="en-US" w:eastAsia="zh-CN"/>
        </w:rPr>
        <w:t xml:space="preserve"> 支持高水平医院数量（家）。本指标当年度目标值为“20家”。2024年</w:t>
      </w:r>
      <w:r>
        <w:rPr>
          <w:rFonts w:hint="default" w:ascii="Times New Roman" w:hAnsi="Times New Roman" w:eastAsia="仿宋_GB2312" w:cs="Times New Roman"/>
          <w:b w:val="0"/>
          <w:bCs w:val="0"/>
          <w:snapToGrid/>
          <w:color w:val="000000"/>
          <w:kern w:val="2"/>
          <w:sz w:val="32"/>
          <w:szCs w:val="32"/>
          <w:highlight w:val="none"/>
          <w:lang w:val="en-US" w:eastAsia="zh-CN" w:bidi="ar"/>
        </w:rPr>
        <w:t>支持</w:t>
      </w:r>
      <w:r>
        <w:rPr>
          <w:rFonts w:hint="default" w:ascii="Times New Roman" w:hAnsi="Times New Roman" w:eastAsia="仿宋_GB2312" w:cs="Times New Roman"/>
          <w:color w:val="000000"/>
          <w:sz w:val="32"/>
          <w:szCs w:val="32"/>
          <w:highlight w:val="none"/>
          <w:lang w:val="en-US" w:eastAsia="zh-CN"/>
        </w:rPr>
        <w:t>20家公立医院开展</w:t>
      </w:r>
      <w:r>
        <w:rPr>
          <w:rFonts w:hint="default" w:ascii="Times New Roman" w:hAnsi="Times New Roman" w:eastAsia="仿宋_GB2312" w:cs="Times New Roman"/>
          <w:i w:val="0"/>
          <w:iCs w:val="0"/>
          <w:color w:val="000000"/>
          <w:kern w:val="0"/>
          <w:sz w:val="32"/>
          <w:szCs w:val="32"/>
          <w:highlight w:val="none"/>
          <w:u w:val="none"/>
          <w:lang w:val="en-US" w:eastAsia="zh-CN" w:bidi="ar"/>
        </w:rPr>
        <w:t>高水平医院建设</w:t>
      </w:r>
      <w:r>
        <w:rPr>
          <w:rFonts w:hint="default" w:ascii="Times New Roman" w:hAnsi="Times New Roman" w:eastAsia="仿宋_GB2312" w:cs="Times New Roman"/>
          <w:color w:val="000000"/>
          <w:sz w:val="32"/>
          <w:szCs w:val="32"/>
          <w:highlight w:val="none"/>
          <w:lang w:val="en-US" w:eastAsia="zh-CN"/>
        </w:rPr>
        <w:t>，包括广东省人民医院、中山大学附属第一医院、中山大学孙逸仙纪念医院、中山大学附属第三医院、南方医科大学南方医院、广东省第二人民医院、南方科大学珠江医院、暨南大学附属第一医院、广州市第八人民医院、深圳市中医院、深圳市儿童医院、中山大学附属第五医院、佛山市第一人民医院、韶关市第一人民医院、河源市人民医院、中山大学附属第三医院粤东医院、中山大学孙逸仙纪念医院深汕中心医院（汕尾市中心医院）、东莞市人民医院、中山市人民医院、江门市中心医院、高州市人民医院、潮州市中心医院、揭阳市人民医院、普宁市人民医院、云浮市人民医院，指标完成率100%（20/20），实现预期目标。</w:t>
      </w:r>
    </w:p>
    <w:p>
      <w:pPr>
        <w:pStyle w:val="5"/>
        <w:keepNext w:val="0"/>
        <w:keepLines w:val="0"/>
        <w:pageBreakBefore w:val="0"/>
        <w:kinsoku/>
        <w:wordWrap/>
        <w:overflowPunct/>
        <w:topLinePunct w:val="0"/>
        <w:autoSpaceDE/>
        <w:autoSpaceDN/>
        <w:bidi w:val="0"/>
        <w:adjustRightInd/>
        <w:snapToGrid/>
        <w:spacing w:line="560" w:lineRule="exact"/>
        <w:ind w:firstLine="642"/>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指标4</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获得自然科学基金项目（项）</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本指标当年度目标值为“≥5项”。</w:t>
      </w:r>
      <w:r>
        <w:rPr>
          <w:rFonts w:hint="default" w:ascii="Times New Roman" w:hAnsi="Times New Roman" w:eastAsia="仿宋_GB2312" w:cs="Times New Roman"/>
          <w:color w:val="000000"/>
          <w:kern w:val="2"/>
          <w:sz w:val="32"/>
          <w:szCs w:val="32"/>
          <w:highlight w:val="none"/>
          <w:lang w:val="en-US" w:eastAsia="zh-CN" w:bidi="ar-SA"/>
        </w:rPr>
        <w:t>2024年，项目医院共获得自然科学基金项目117项，指标完成率2340%（117/5），超额实现预期目标。</w:t>
      </w:r>
    </w:p>
    <w:p>
      <w:pPr>
        <w:pStyle w:val="5"/>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指标5</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发表SCI高分值文章总数量</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本指标当年度目标值为“≥40篇”。2024年，项目医院</w:t>
      </w:r>
      <w:r>
        <w:rPr>
          <w:rFonts w:hint="default" w:ascii="Times New Roman" w:hAnsi="Times New Roman" w:eastAsia="仿宋_GB2312" w:cs="Times New Roman"/>
          <w:color w:val="000000"/>
          <w:kern w:val="2"/>
          <w:sz w:val="32"/>
          <w:szCs w:val="32"/>
          <w:highlight w:val="none"/>
          <w:lang w:val="en-US" w:eastAsia="zh-CN" w:bidi="ar-SA"/>
        </w:rPr>
        <w:t>实际</w:t>
      </w:r>
      <w:r>
        <w:rPr>
          <w:rFonts w:hint="default" w:ascii="Times New Roman" w:hAnsi="Times New Roman" w:eastAsia="仿宋_GB2312" w:cs="Times New Roman"/>
          <w:i w:val="0"/>
          <w:iCs w:val="0"/>
          <w:color w:val="000000"/>
          <w:kern w:val="0"/>
          <w:sz w:val="32"/>
          <w:szCs w:val="32"/>
          <w:highlight w:val="none"/>
          <w:u w:val="none"/>
          <w:lang w:val="en-US" w:eastAsia="zh-CN" w:bidi="ar"/>
        </w:rPr>
        <w:t>发表SCI高分值文章228篇</w:t>
      </w:r>
      <w:r>
        <w:rPr>
          <w:rFonts w:hint="default" w:ascii="Times New Roman" w:hAnsi="Times New Roman" w:eastAsia="仿宋_GB2312" w:cs="Times New Roman"/>
          <w:color w:val="000000"/>
          <w:kern w:val="2"/>
          <w:sz w:val="32"/>
          <w:szCs w:val="32"/>
          <w:highlight w:val="none"/>
          <w:lang w:val="en-US" w:eastAsia="zh-CN" w:bidi="ar-SA"/>
        </w:rPr>
        <w:t>，指标完成率570%（228/40），超额实现预期目标。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lang w:val="en-US"/>
        </w:rPr>
      </w:pPr>
      <w:r>
        <w:rPr>
          <w:rFonts w:hint="default" w:ascii="Times New Roman" w:hAnsi="Times New Roman" w:eastAsia="仿宋_GB2312" w:cs="Times New Roman"/>
          <w:b/>
          <w:bCs/>
          <w:color w:val="000000"/>
          <w:kern w:val="2"/>
          <w:sz w:val="32"/>
          <w:szCs w:val="32"/>
          <w:highlight w:val="none"/>
          <w:lang w:val="en-US" w:eastAsia="zh-CN" w:bidi="ar-SA"/>
        </w:rPr>
        <w:t>指标6</w:t>
      </w:r>
      <w:r>
        <w:rPr>
          <w:rFonts w:hint="default" w:ascii="Times New Roman" w:hAnsi="Times New Roman" w:eastAsia="仿宋_GB2312" w:cs="Times New Roman"/>
          <w:b w:val="0"/>
          <w:bCs w:val="0"/>
          <w:snapToGrid/>
          <w:color w:val="000000"/>
          <w:kern w:val="2"/>
          <w:sz w:val="32"/>
          <w:szCs w:val="32"/>
          <w:highlight w:val="none"/>
          <w:lang w:val="en-US" w:eastAsia="zh-CN" w:bidi="ar"/>
        </w:rPr>
        <w:t xml:space="preserve"> 制定高水平医院建设方案的医院比例（%）。本指标当年度目标值为“100%”。2024年，入选的</w:t>
      </w:r>
      <w:r>
        <w:rPr>
          <w:rFonts w:hint="default" w:ascii="Times New Roman" w:hAnsi="Times New Roman" w:eastAsia="仿宋_GB2312" w:cs="Times New Roman"/>
          <w:i w:val="0"/>
          <w:iCs w:val="0"/>
          <w:color w:val="000000"/>
          <w:kern w:val="0"/>
          <w:sz w:val="32"/>
          <w:szCs w:val="32"/>
          <w:highlight w:val="none"/>
          <w:u w:val="none"/>
          <w:lang w:val="en-US" w:eastAsia="zh-CN" w:bidi="ar"/>
        </w:rPr>
        <w:t>高水平医院20家</w:t>
      </w:r>
      <w:r>
        <w:rPr>
          <w:rFonts w:hint="default" w:ascii="Times New Roman" w:hAnsi="Times New Roman" w:eastAsia="仿宋_GB2312" w:cs="Times New Roman"/>
          <w:color w:val="000000"/>
          <w:kern w:val="2"/>
          <w:sz w:val="32"/>
          <w:szCs w:val="32"/>
          <w:highlight w:val="none"/>
          <w:lang w:val="en-US" w:eastAsia="zh-CN" w:bidi="ar-SA"/>
        </w:rPr>
        <w:t>，实际</w:t>
      </w:r>
      <w:r>
        <w:rPr>
          <w:rFonts w:hint="default" w:ascii="Times New Roman" w:hAnsi="Times New Roman" w:eastAsia="仿宋_GB2312" w:cs="Times New Roman"/>
          <w:b w:val="0"/>
          <w:bCs w:val="0"/>
          <w:snapToGrid/>
          <w:color w:val="000000"/>
          <w:kern w:val="2"/>
          <w:sz w:val="32"/>
          <w:szCs w:val="32"/>
          <w:highlight w:val="none"/>
          <w:lang w:val="en-US" w:eastAsia="zh-CN" w:bidi="ar"/>
        </w:rPr>
        <w:t>应</w:t>
      </w:r>
      <w:r>
        <w:rPr>
          <w:rFonts w:hint="default" w:ascii="Times New Roman" w:hAnsi="Times New Roman" w:eastAsia="仿宋_GB2312" w:cs="Times New Roman"/>
          <w:i w:val="0"/>
          <w:iCs w:val="0"/>
          <w:color w:val="000000"/>
          <w:kern w:val="0"/>
          <w:sz w:val="32"/>
          <w:szCs w:val="32"/>
          <w:highlight w:val="none"/>
          <w:u w:val="none"/>
          <w:lang w:val="en-US" w:eastAsia="zh-CN" w:bidi="ar"/>
        </w:rPr>
        <w:t>制定高水平医院建设方案的医院20家，</w:t>
      </w:r>
      <w:r>
        <w:rPr>
          <w:rFonts w:hint="default" w:ascii="Times New Roman" w:hAnsi="Times New Roman" w:eastAsia="仿宋_GB2312" w:cs="Times New Roman"/>
          <w:color w:val="000000"/>
          <w:kern w:val="2"/>
          <w:sz w:val="32"/>
          <w:szCs w:val="32"/>
          <w:highlight w:val="none"/>
          <w:lang w:val="en-US" w:eastAsia="zh-CN" w:bidi="ar-SA"/>
        </w:rPr>
        <w:t>指标完成率100%（</w:t>
      </w:r>
      <w:r>
        <w:rPr>
          <w:rFonts w:hint="default" w:ascii="Times New Roman" w:hAnsi="Times New Roman" w:eastAsia="仿宋_GB2312" w:cs="Times New Roman"/>
          <w:i w:val="0"/>
          <w:iCs w:val="0"/>
          <w:color w:val="000000"/>
          <w:kern w:val="0"/>
          <w:sz w:val="32"/>
          <w:szCs w:val="32"/>
          <w:highlight w:val="none"/>
          <w:u w:val="none"/>
          <w:lang w:val="en-US" w:eastAsia="zh-CN" w:bidi="ar"/>
        </w:rPr>
        <w:t>20/</w:t>
      </w:r>
      <w:r>
        <w:rPr>
          <w:rFonts w:hint="default" w:ascii="Times New Roman" w:hAnsi="Times New Roman" w:eastAsia="仿宋_GB2312" w:cs="Times New Roman"/>
          <w:color w:val="000000"/>
          <w:sz w:val="32"/>
          <w:szCs w:val="32"/>
          <w:highlight w:val="none"/>
          <w:lang w:eastAsia="zh-CN"/>
        </w:rPr>
        <w:t>2</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kern w:val="2"/>
          <w:sz w:val="32"/>
          <w:szCs w:val="32"/>
          <w:highlight w:val="none"/>
          <w:lang w:val="en-US" w:eastAsia="zh-CN" w:bidi="ar-SA"/>
        </w:rPr>
        <w:t>），实现预期目标。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指标7</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“一对一”跨区域联动项目帮扶任务完成率（%）</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本指标当年度目标值为“100%”。2024年，启动</w:t>
      </w:r>
      <w:r>
        <w:rPr>
          <w:rFonts w:hint="default" w:ascii="Times New Roman" w:hAnsi="Times New Roman" w:eastAsia="仿宋_GB2312" w:cs="Times New Roman"/>
          <w:i w:val="0"/>
          <w:iCs w:val="0"/>
          <w:color w:val="000000"/>
          <w:kern w:val="0"/>
          <w:sz w:val="32"/>
          <w:szCs w:val="32"/>
          <w:highlight w:val="none"/>
          <w:u w:val="none"/>
          <w:lang w:val="en-US" w:eastAsia="zh-CN" w:bidi="ar"/>
        </w:rPr>
        <w:t>“一对一”跨区域联动帮扶任务5项</w:t>
      </w:r>
      <w:r>
        <w:rPr>
          <w:rFonts w:hint="default" w:ascii="Times New Roman" w:hAnsi="Times New Roman" w:eastAsia="仿宋_GB2312" w:cs="Times New Roman"/>
          <w:color w:val="000000"/>
          <w:kern w:val="2"/>
          <w:sz w:val="32"/>
          <w:szCs w:val="32"/>
          <w:highlight w:val="none"/>
          <w:lang w:val="en-US" w:eastAsia="zh-CN" w:bidi="ar-SA"/>
        </w:rPr>
        <w:t>，实际完成</w:t>
      </w:r>
      <w:r>
        <w:rPr>
          <w:rFonts w:hint="default" w:ascii="Times New Roman" w:hAnsi="Times New Roman" w:eastAsia="仿宋_GB2312" w:cs="Times New Roman"/>
          <w:i w:val="0"/>
          <w:iCs w:val="0"/>
          <w:color w:val="000000"/>
          <w:kern w:val="0"/>
          <w:sz w:val="32"/>
          <w:szCs w:val="32"/>
          <w:highlight w:val="none"/>
          <w:u w:val="none"/>
          <w:lang w:val="en-US" w:eastAsia="zh-CN" w:bidi="ar"/>
        </w:rPr>
        <w:t>帮扶任务5项，</w:t>
      </w:r>
      <w:r>
        <w:rPr>
          <w:rFonts w:hint="default" w:ascii="Times New Roman" w:hAnsi="Times New Roman" w:eastAsia="仿宋_GB2312" w:cs="Times New Roman"/>
          <w:color w:val="000000"/>
          <w:kern w:val="2"/>
          <w:sz w:val="32"/>
          <w:szCs w:val="32"/>
          <w:highlight w:val="none"/>
          <w:lang w:val="en-US" w:eastAsia="zh-CN" w:bidi="ar-SA"/>
        </w:rPr>
        <w:t>指标完成率100%（</w:t>
      </w:r>
      <w:r>
        <w:rPr>
          <w:rFonts w:hint="default" w:ascii="Times New Roman" w:hAnsi="Times New Roman" w:eastAsia="仿宋_GB2312" w:cs="Times New Roman"/>
          <w:i w:val="0"/>
          <w:iCs w:val="0"/>
          <w:color w:val="000000"/>
          <w:kern w:val="0"/>
          <w:sz w:val="32"/>
          <w:szCs w:val="32"/>
          <w:highlight w:val="none"/>
          <w:u w:val="none"/>
          <w:lang w:val="en-US" w:eastAsia="zh-CN" w:bidi="ar"/>
        </w:rPr>
        <w:t>5/5</w:t>
      </w:r>
      <w:r>
        <w:rPr>
          <w:rFonts w:hint="default" w:ascii="Times New Roman" w:hAnsi="Times New Roman" w:eastAsia="仿宋_GB2312" w:cs="Times New Roman"/>
          <w:color w:val="000000"/>
          <w:kern w:val="2"/>
          <w:sz w:val="32"/>
          <w:szCs w:val="32"/>
          <w:highlight w:val="none"/>
          <w:lang w:val="en-US" w:eastAsia="zh-CN" w:bidi="ar-SA"/>
        </w:rPr>
        <w:t>），实现预期目标。</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b/>
          <w:bCs/>
          <w:color w:val="000000"/>
          <w:kern w:val="2"/>
          <w:sz w:val="32"/>
          <w:szCs w:val="32"/>
          <w:highlight w:val="none"/>
          <w:lang w:val="en-US" w:eastAsia="zh-CN" w:bidi="ar-SA"/>
        </w:rPr>
        <w:t xml:space="preserve">指标8 </w:t>
      </w:r>
      <w:r>
        <w:rPr>
          <w:rFonts w:hint="default" w:ascii="Times New Roman" w:hAnsi="Times New Roman" w:eastAsia="仿宋_GB2312" w:cs="Times New Roman"/>
          <w:i w:val="0"/>
          <w:iCs w:val="0"/>
          <w:color w:val="000000"/>
          <w:kern w:val="0"/>
          <w:sz w:val="32"/>
          <w:szCs w:val="32"/>
          <w:highlight w:val="none"/>
          <w:u w:val="none"/>
          <w:lang w:val="en-US" w:eastAsia="zh-CN" w:bidi="ar"/>
        </w:rPr>
        <w:t>项目完成时间</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i w:val="0"/>
          <w:iCs w:val="0"/>
          <w:color w:val="000000"/>
          <w:kern w:val="0"/>
          <w:sz w:val="32"/>
          <w:szCs w:val="32"/>
          <w:highlight w:val="none"/>
          <w:u w:val="none"/>
          <w:lang w:val="en-US" w:eastAsia="zh-CN" w:bidi="ar"/>
        </w:rPr>
        <w:t>本指标当年度目标值为“2024年12月”。2024年高水平医院建设项目开始实施时间为2024年1月1日，持续时间一年。截至2024年12月31日，高水平医院建设项目年度目标任务全部按时完成，实现预期目标。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 xml:space="preserve">指标9 </w:t>
      </w:r>
      <w:r>
        <w:rPr>
          <w:rFonts w:hint="default" w:ascii="Times New Roman" w:hAnsi="Times New Roman" w:eastAsia="仿宋_GB2312" w:cs="Times New Roman"/>
          <w:i w:val="0"/>
          <w:iCs w:val="0"/>
          <w:color w:val="000000"/>
          <w:kern w:val="0"/>
          <w:sz w:val="32"/>
          <w:szCs w:val="32"/>
          <w:highlight w:val="none"/>
          <w:u w:val="none"/>
          <w:lang w:val="en-US" w:eastAsia="zh-CN" w:bidi="ar"/>
        </w:rPr>
        <w:t>高水平医院建设资金用于基建项目的比例（%）</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本指标当年度目标值为“≤50%”。2024年，项目医院</w:t>
      </w:r>
      <w:r>
        <w:rPr>
          <w:rFonts w:hint="default" w:ascii="Times New Roman" w:hAnsi="Times New Roman" w:eastAsia="仿宋_GB2312" w:cs="Times New Roman"/>
          <w:i w:val="0"/>
          <w:iCs w:val="0"/>
          <w:color w:val="000000"/>
          <w:kern w:val="0"/>
          <w:sz w:val="32"/>
          <w:szCs w:val="32"/>
          <w:highlight w:val="none"/>
          <w:u w:val="none"/>
          <w:lang w:val="en-US" w:eastAsia="zh-CN" w:bidi="ar"/>
        </w:rPr>
        <w:t>高水平医院建设资金100000万元</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i w:val="0"/>
          <w:iCs w:val="0"/>
          <w:color w:val="000000"/>
          <w:kern w:val="0"/>
          <w:sz w:val="32"/>
          <w:szCs w:val="32"/>
          <w:highlight w:val="none"/>
          <w:u w:val="none"/>
          <w:lang w:val="en-US" w:eastAsia="zh-CN" w:bidi="ar"/>
        </w:rPr>
        <w:t>用于基建项目2500万元，占比_2.5_%，</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i w:val="0"/>
          <w:iCs w:val="0"/>
          <w:color w:val="000000"/>
          <w:kern w:val="0"/>
          <w:sz w:val="32"/>
          <w:szCs w:val="32"/>
          <w:highlight w:val="none"/>
          <w:u w:val="none"/>
          <w:lang w:val="en-US" w:eastAsia="zh-CN" w:bidi="ar"/>
        </w:rPr>
        <w:t>2000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i w:val="0"/>
          <w:iCs w:val="0"/>
          <w:color w:val="000000"/>
          <w:kern w:val="0"/>
          <w:sz w:val="32"/>
          <w:szCs w:val="32"/>
          <w:highlight w:val="none"/>
          <w:u w:val="none"/>
          <w:lang w:val="en-US" w:eastAsia="zh-CN" w:bidi="ar"/>
        </w:rPr>
        <w:t>50%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i w:val="0"/>
          <w:iCs w:val="0"/>
          <w:color w:val="000000"/>
          <w:kern w:val="0"/>
          <w:sz w:val="32"/>
          <w:szCs w:val="32"/>
          <w:highlight w:val="none"/>
          <w:u w:val="none"/>
          <w:lang w:val="en-US" w:eastAsia="zh-CN" w:bidi="ar"/>
        </w:rPr>
        <w:t>2.5%</w:t>
      </w:r>
      <w:r>
        <w:rPr>
          <w:rFonts w:hint="default" w:ascii="Times New Roman" w:hAnsi="Times New Roman" w:eastAsia="仿宋_GB2312" w:cs="Times New Roman"/>
          <w:color w:val="000000"/>
          <w:kern w:val="2"/>
          <w:sz w:val="32"/>
          <w:szCs w:val="32"/>
          <w:highlight w:val="none"/>
          <w:lang w:val="en-US" w:eastAsia="zh-CN" w:bidi="ar-SA"/>
        </w:rPr>
        <w:t>），超额实现预期目标。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C.效益指标完成情况。</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指标10</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入选高水平医院所在地市的市域内住院率</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i w:val="0"/>
          <w:iCs w:val="0"/>
          <w:color w:val="000000"/>
          <w:kern w:val="0"/>
          <w:sz w:val="32"/>
          <w:szCs w:val="32"/>
          <w:highlight w:val="none"/>
          <w:u w:val="none"/>
          <w:lang w:val="en-US" w:eastAsia="zh-CN" w:bidi="ar"/>
        </w:rPr>
        <w:t>90%</w:t>
      </w:r>
      <w:r>
        <w:rPr>
          <w:rFonts w:hint="default" w:ascii="Times New Roman" w:hAnsi="Times New Roman" w:eastAsia="仿宋_GB2312" w:cs="Times New Roman"/>
          <w:b w:val="0"/>
          <w:bCs w:val="0"/>
          <w:snapToGrid/>
          <w:color w:val="000000"/>
          <w:kern w:val="2"/>
          <w:sz w:val="32"/>
          <w:szCs w:val="32"/>
          <w:highlight w:val="none"/>
          <w:lang w:val="en-US" w:eastAsia="zh-CN" w:bidi="ar"/>
        </w:rPr>
        <w:t>”。2024年，</w:t>
      </w:r>
      <w:r>
        <w:rPr>
          <w:rFonts w:hint="default" w:ascii="Times New Roman" w:hAnsi="Times New Roman" w:eastAsia="仿宋_GB2312" w:cs="Times New Roman"/>
          <w:i w:val="0"/>
          <w:iCs w:val="0"/>
          <w:color w:val="000000"/>
          <w:kern w:val="0"/>
          <w:sz w:val="32"/>
          <w:szCs w:val="32"/>
          <w:highlight w:val="none"/>
          <w:u w:val="none"/>
          <w:lang w:val="en-US" w:eastAsia="zh-CN" w:bidi="ar"/>
        </w:rPr>
        <w:t>入选高水平医院所在地市平均市域内住院率为92.99%</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i w:val="0"/>
          <w:iCs w:val="0"/>
          <w:color w:val="000000"/>
          <w:kern w:val="0"/>
          <w:sz w:val="32"/>
          <w:szCs w:val="32"/>
          <w:highlight w:val="none"/>
          <w:u w:val="none"/>
          <w:lang w:val="en-US" w:eastAsia="zh-CN" w:bidi="ar"/>
        </w:rPr>
        <w:t>103.32</w:t>
      </w:r>
      <w:r>
        <w:rPr>
          <w:rFonts w:hint="default" w:ascii="Times New Roman" w:hAnsi="Times New Roman" w:eastAsia="仿宋_GB2312" w:cs="Times New Roman"/>
          <w:color w:val="000000"/>
          <w:kern w:val="2"/>
          <w:sz w:val="32"/>
          <w:szCs w:val="32"/>
          <w:highlight w:val="none"/>
          <w:lang w:val="en-US" w:eastAsia="zh-CN" w:bidi="ar-SA"/>
        </w:rPr>
        <w:t>%，实现预期目标。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指标11</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全国百强医院（家）</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本指标当年度目标值为“≥1家”。2024年</w:t>
      </w:r>
      <w:r>
        <w:rPr>
          <w:rFonts w:hint="default" w:ascii="Times New Roman" w:hAnsi="Times New Roman" w:eastAsia="仿宋_GB2312" w:cs="Times New Roman"/>
          <w:color w:val="000000"/>
          <w:kern w:val="2"/>
          <w:sz w:val="32"/>
          <w:szCs w:val="32"/>
          <w:highlight w:val="none"/>
          <w:lang w:val="en-US" w:eastAsia="zh-CN" w:bidi="ar-SA"/>
        </w:rPr>
        <w:t>入选</w:t>
      </w:r>
      <w:r>
        <w:rPr>
          <w:rFonts w:hint="default" w:ascii="Times New Roman" w:hAnsi="Times New Roman" w:eastAsia="仿宋_GB2312" w:cs="Times New Roman"/>
          <w:i w:val="0"/>
          <w:iCs w:val="0"/>
          <w:color w:val="000000"/>
          <w:kern w:val="0"/>
          <w:sz w:val="32"/>
          <w:szCs w:val="32"/>
          <w:highlight w:val="none"/>
          <w:u w:val="none"/>
          <w:lang w:val="en-US" w:eastAsia="zh-CN" w:bidi="ar"/>
        </w:rPr>
        <w:t>全国百强医院2家，具体为中山大学附属第一医院和广东省人民医院，</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i w:val="0"/>
          <w:iCs w:val="0"/>
          <w:color w:val="000000"/>
          <w:kern w:val="0"/>
          <w:sz w:val="32"/>
          <w:szCs w:val="32"/>
          <w:highlight w:val="none"/>
          <w:u w:val="none"/>
          <w:lang w:val="en-US" w:eastAsia="zh-CN" w:bidi="ar"/>
        </w:rPr>
        <w:t>200_</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i w:val="0"/>
          <w:iCs w:val="0"/>
          <w:color w:val="000000"/>
          <w:kern w:val="0"/>
          <w:sz w:val="32"/>
          <w:szCs w:val="32"/>
          <w:highlight w:val="none"/>
          <w:u w:val="none"/>
          <w:lang w:val="en-US" w:eastAsia="zh-CN" w:bidi="ar"/>
        </w:rPr>
        <w:t>2</w:t>
      </w:r>
      <w:r>
        <w:rPr>
          <w:rFonts w:hint="default" w:ascii="Times New Roman" w:hAnsi="Times New Roman" w:eastAsia="仿宋_GB2312" w:cs="Times New Roman"/>
          <w:color w:val="000000"/>
          <w:kern w:val="2"/>
          <w:sz w:val="32"/>
          <w:szCs w:val="32"/>
          <w:highlight w:val="none"/>
          <w:lang w:val="en-US" w:eastAsia="zh-CN" w:bidi="ar-SA"/>
        </w:rPr>
        <w:t>/1），超额实现预期目标。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指标12</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新增省级临床重点专科</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本指标当年度目标值为“≥1个”。2024年，项目医院</w:t>
      </w:r>
      <w:r>
        <w:rPr>
          <w:rFonts w:hint="default" w:ascii="Times New Roman" w:hAnsi="Times New Roman" w:eastAsia="仿宋_GB2312" w:cs="Times New Roman"/>
          <w:i w:val="0"/>
          <w:iCs w:val="0"/>
          <w:color w:val="000000"/>
          <w:kern w:val="0"/>
          <w:sz w:val="32"/>
          <w:szCs w:val="32"/>
          <w:highlight w:val="none"/>
          <w:u w:val="none"/>
          <w:lang w:val="en-US" w:eastAsia="zh-CN" w:bidi="ar"/>
        </w:rPr>
        <w:t>新增省级临床重点专科21</w:t>
      </w:r>
      <w:r>
        <w:rPr>
          <w:rFonts w:hint="default" w:ascii="Times New Roman" w:hAnsi="Times New Roman" w:eastAsia="仿宋_GB2312" w:cs="Times New Roman"/>
          <w:i w:val="0"/>
          <w:iCs w:val="0"/>
          <w:color w:val="000000"/>
          <w:sz w:val="32"/>
          <w:szCs w:val="32"/>
          <w:highlight w:val="none"/>
          <w:u w:val="none"/>
          <w:lang w:val="en-US" w:eastAsia="zh-CN"/>
        </w:rPr>
        <w:t>个</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i w:val="0"/>
          <w:iCs w:val="0"/>
          <w:color w:val="000000"/>
          <w:kern w:val="0"/>
          <w:sz w:val="32"/>
          <w:szCs w:val="32"/>
          <w:highlight w:val="none"/>
          <w:u w:val="none"/>
          <w:lang w:val="en-US" w:eastAsia="zh-CN" w:bidi="ar"/>
        </w:rPr>
        <w:t>广东省第二人民医院急诊医学科、血液科、新生儿专业（NICU），南方医科大学珠江医院麻醉科、医学影像科、护理，暨南大学附属第一医院医学影像科、护理、精神科，佛山市第一人民医院护理、医学影像科、皮肤科、康复医学科，东莞市人民医院检验科、麻醉科，江门市中心医院医学影像科、康复医学科，揭阳市人民医院麻醉科、医学影像科，普宁市人民医院风湿免疫科、药学部（临床药学），</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i w:val="0"/>
          <w:iCs w:val="0"/>
          <w:color w:val="000000"/>
          <w:kern w:val="0"/>
          <w:sz w:val="32"/>
          <w:szCs w:val="32"/>
          <w:highlight w:val="none"/>
          <w:u w:val="none"/>
          <w:lang w:val="en-US" w:eastAsia="zh-CN" w:bidi="ar"/>
        </w:rPr>
        <w:t>2100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i w:val="0"/>
          <w:iCs w:val="0"/>
          <w:color w:val="000000"/>
          <w:kern w:val="0"/>
          <w:sz w:val="32"/>
          <w:szCs w:val="32"/>
          <w:highlight w:val="none"/>
          <w:u w:val="none"/>
          <w:lang w:val="en-US" w:eastAsia="zh-CN" w:bidi="ar"/>
        </w:rPr>
        <w:t>21</w:t>
      </w:r>
      <w:r>
        <w:rPr>
          <w:rFonts w:hint="default" w:ascii="Times New Roman" w:hAnsi="Times New Roman" w:eastAsia="仿宋_GB2312" w:cs="Times New Roman"/>
          <w:color w:val="000000"/>
          <w:kern w:val="2"/>
          <w:sz w:val="32"/>
          <w:szCs w:val="32"/>
          <w:highlight w:val="none"/>
          <w:lang w:val="en-US" w:eastAsia="zh-CN" w:bidi="ar-SA"/>
        </w:rPr>
        <w:t>/1），超额实现预期目标。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指标13</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引进高层次医学人才（位）</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本指标当年度目标值为“≥5位”。2024年，项目医院已</w:t>
      </w:r>
      <w:r>
        <w:rPr>
          <w:rFonts w:hint="default" w:ascii="Times New Roman" w:hAnsi="Times New Roman" w:eastAsia="仿宋_GB2312" w:cs="Times New Roman"/>
          <w:i w:val="0"/>
          <w:iCs w:val="0"/>
          <w:color w:val="000000"/>
          <w:kern w:val="0"/>
          <w:sz w:val="32"/>
          <w:szCs w:val="32"/>
          <w:highlight w:val="none"/>
          <w:u w:val="none"/>
          <w:lang w:val="en-US" w:eastAsia="zh-CN" w:bidi="ar"/>
        </w:rPr>
        <w:t>引进</w:t>
      </w:r>
      <w:r>
        <w:rPr>
          <w:rFonts w:hint="default" w:ascii="Times New Roman" w:hAnsi="Times New Roman" w:eastAsia="仿宋_GB2312" w:cs="Times New Roman"/>
          <w:color w:val="000000"/>
          <w:kern w:val="2"/>
          <w:sz w:val="32"/>
          <w:szCs w:val="32"/>
          <w:highlight w:val="none"/>
          <w:lang w:val="en-US" w:eastAsia="zh-CN" w:bidi="ar-SA"/>
        </w:rPr>
        <w:t>刘居里、</w:t>
      </w:r>
      <w:r>
        <w:rPr>
          <w:rFonts w:hint="default" w:ascii="Times New Roman" w:hAnsi="Times New Roman" w:eastAsia="仿宋_GB2312" w:cs="Times New Roman"/>
          <w:i w:val="0"/>
          <w:iCs w:val="0"/>
          <w:color w:val="000000"/>
          <w:kern w:val="0"/>
          <w:sz w:val="32"/>
          <w:szCs w:val="32"/>
          <w:highlight w:val="none"/>
          <w:u w:val="none"/>
          <w:lang w:val="en-US" w:eastAsia="zh-CN" w:bidi="ar"/>
        </w:rPr>
        <w:t>朱平等高层次医学人才77位，</w:t>
      </w:r>
      <w:r>
        <w:rPr>
          <w:rFonts w:hint="default" w:ascii="Times New Roman" w:hAnsi="Times New Roman" w:eastAsia="仿宋_GB2312" w:cs="Times New Roman"/>
          <w:color w:val="000000"/>
          <w:kern w:val="2"/>
          <w:sz w:val="32"/>
          <w:szCs w:val="32"/>
          <w:highlight w:val="none"/>
          <w:lang w:val="en-US" w:eastAsia="zh-CN" w:bidi="ar-SA"/>
        </w:rPr>
        <w:t>指标完成率1540%（77/5），超额实现预期目标。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指标14</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新增新技术、新项目（项）</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本指标当年度目标值为“≥60项”。2024年，项目医院</w:t>
      </w:r>
      <w:r>
        <w:rPr>
          <w:rFonts w:hint="default" w:ascii="Times New Roman" w:hAnsi="Times New Roman" w:eastAsia="仿宋_GB2312" w:cs="Times New Roman"/>
          <w:i w:val="0"/>
          <w:iCs w:val="0"/>
          <w:color w:val="000000"/>
          <w:kern w:val="0"/>
          <w:sz w:val="32"/>
          <w:szCs w:val="32"/>
          <w:highlight w:val="none"/>
          <w:u w:val="none"/>
          <w:lang w:val="en-US" w:eastAsia="zh-CN" w:bidi="ar"/>
        </w:rPr>
        <w:t>新增新技术、新项目481项，</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i w:val="0"/>
          <w:iCs w:val="0"/>
          <w:color w:val="000000"/>
          <w:kern w:val="0"/>
          <w:sz w:val="32"/>
          <w:szCs w:val="32"/>
          <w:highlight w:val="none"/>
          <w:u w:val="none"/>
          <w:lang w:val="en-US" w:eastAsia="zh-CN" w:bidi="ar"/>
        </w:rPr>
        <w:t>潮州市中心医院63项、东莞市人民医院37项、佛山市第一人民医院35项、高州市人民医院17项等，</w:t>
      </w:r>
      <w:r>
        <w:rPr>
          <w:rFonts w:hint="default" w:ascii="Times New Roman" w:hAnsi="Times New Roman" w:eastAsia="仿宋_GB2312" w:cs="Times New Roman"/>
          <w:color w:val="000000"/>
          <w:kern w:val="2"/>
          <w:sz w:val="32"/>
          <w:szCs w:val="32"/>
          <w:highlight w:val="none"/>
          <w:lang w:val="en-US" w:eastAsia="zh-CN" w:bidi="ar-SA"/>
        </w:rPr>
        <w:t>指标完成率801.67%（481/60），超额实现预期目标。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指标15</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获得授权专利（项）</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本指标当年度目标值为“≥60项”。2024年，项目医院</w:t>
      </w:r>
      <w:r>
        <w:rPr>
          <w:rFonts w:hint="default" w:ascii="Times New Roman" w:hAnsi="Times New Roman" w:eastAsia="仿宋_GB2312" w:cs="Times New Roman"/>
          <w:i w:val="0"/>
          <w:iCs w:val="0"/>
          <w:color w:val="000000"/>
          <w:kern w:val="0"/>
          <w:sz w:val="32"/>
          <w:szCs w:val="32"/>
          <w:highlight w:val="none"/>
          <w:u w:val="none"/>
          <w:lang w:val="en-US" w:eastAsia="zh-CN" w:bidi="ar"/>
        </w:rPr>
        <w:t>获得授权专利（项）587项，</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i w:val="0"/>
          <w:iCs w:val="0"/>
          <w:color w:val="000000"/>
          <w:kern w:val="0"/>
          <w:sz w:val="32"/>
          <w:szCs w:val="32"/>
          <w:highlight w:val="none"/>
          <w:u w:val="none"/>
          <w:lang w:val="en-US" w:eastAsia="zh-CN" w:bidi="ar"/>
        </w:rPr>
        <w:t>中山大学附属第一医院新增授权专利356项（其中中国发明专利63项，国际专利3项），广东省人民医院新增授权专利29项、东莞市人民医院9项、佛山市第一人民医院83项等，</w:t>
      </w:r>
      <w:r>
        <w:rPr>
          <w:rFonts w:hint="default" w:ascii="Times New Roman" w:hAnsi="Times New Roman" w:eastAsia="仿宋_GB2312" w:cs="Times New Roman"/>
          <w:color w:val="000000"/>
          <w:kern w:val="2"/>
          <w:sz w:val="32"/>
          <w:szCs w:val="32"/>
          <w:highlight w:val="none"/>
          <w:lang w:val="en-US" w:eastAsia="zh-CN" w:bidi="ar-SA"/>
        </w:rPr>
        <w:t>指标完成率978.33%（587/60），超额实现预期目标。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指标16</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开展现代医院管理制度建设</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本指标当年度目标值为“是”。2024年，20家</w:t>
      </w:r>
      <w:r>
        <w:rPr>
          <w:rFonts w:hint="default" w:ascii="Times New Roman" w:hAnsi="Times New Roman" w:eastAsia="仿宋_GB2312" w:cs="Times New Roman"/>
          <w:i w:val="0"/>
          <w:iCs w:val="0"/>
          <w:color w:val="000000"/>
          <w:kern w:val="0"/>
          <w:sz w:val="32"/>
          <w:szCs w:val="32"/>
          <w:highlight w:val="none"/>
          <w:u w:val="none"/>
          <w:lang w:val="en-US" w:eastAsia="zh-CN" w:bidi="ar"/>
        </w:rPr>
        <w:t>入选的高水平医院全面开展现代医院管理制度建设，</w:t>
      </w:r>
      <w:r>
        <w:rPr>
          <w:rFonts w:hint="default" w:ascii="Times New Roman" w:hAnsi="Times New Roman" w:eastAsia="仿宋_GB2312" w:cs="Times New Roman"/>
          <w:color w:val="000000"/>
          <w:kern w:val="2"/>
          <w:sz w:val="32"/>
          <w:szCs w:val="32"/>
          <w:highlight w:val="none"/>
          <w:lang w:val="en-US" w:eastAsia="zh-CN" w:bidi="ar-SA"/>
        </w:rPr>
        <w:t>指标完成率100%，实现预期目标。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指标17</w:t>
      </w:r>
      <w:r>
        <w:rPr>
          <w:rFonts w:hint="default" w:ascii="Times New Roman" w:hAnsi="Times New Roman" w:eastAsia="仿宋_GB2312" w:cs="Times New Roman"/>
          <w:i w:val="0"/>
          <w:iCs w:val="0"/>
          <w:color w:val="000000"/>
          <w:kern w:val="0"/>
          <w:sz w:val="32"/>
          <w:szCs w:val="32"/>
          <w:highlight w:val="none"/>
          <w:u w:val="none"/>
          <w:lang w:val="en-US" w:eastAsia="zh-CN" w:bidi="ar"/>
        </w:rPr>
        <w:t xml:space="preserve"> 有效引导高水平医院优质医疗资源向资源薄弱地区延伸（是/否）</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本指标当年度目标值为“是”。2024年，</w:t>
      </w:r>
      <w:r>
        <w:rPr>
          <w:rFonts w:hint="default" w:ascii="Times New Roman" w:hAnsi="Times New Roman" w:eastAsia="仿宋_GB2312" w:cs="Times New Roman"/>
          <w:i w:val="0"/>
          <w:iCs w:val="0"/>
          <w:color w:val="000000"/>
          <w:kern w:val="0"/>
          <w:sz w:val="32"/>
          <w:szCs w:val="32"/>
          <w:highlight w:val="none"/>
          <w:u w:val="none"/>
          <w:lang w:val="en-US" w:eastAsia="zh-CN" w:bidi="ar"/>
        </w:rPr>
        <w:t>潮州市中心医院、佛山市第一人民医院、东莞市人民医院等项目医院持续引导医院优质医疗资源向资源薄弱地区延伸，</w:t>
      </w:r>
      <w:r>
        <w:rPr>
          <w:rFonts w:hint="default" w:ascii="Times New Roman" w:hAnsi="Times New Roman" w:eastAsia="仿宋_GB2312" w:cs="Times New Roman"/>
          <w:color w:val="000000"/>
          <w:kern w:val="2"/>
          <w:sz w:val="32"/>
          <w:szCs w:val="32"/>
          <w:highlight w:val="none"/>
          <w:lang w:val="en-US" w:eastAsia="zh-CN" w:bidi="ar-SA"/>
        </w:rPr>
        <w:t>指标完成率100%，全部实现预期目标。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default" w:ascii="Times New Roman" w:hAnsi="Times New Roman" w:eastAsia="仿宋_GB2312" w:cs="Times New Roman"/>
          <w:b w:val="0"/>
          <w:bCs w:val="0"/>
          <w:color w:val="000000"/>
          <w:sz w:val="32"/>
          <w:szCs w:val="32"/>
          <w:highlight w:val="none"/>
          <w:lang w:val="en-US" w:eastAsia="zh-CN"/>
        </w:rPr>
        <w:t>D.满意度指标完成情况。</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 xml:space="preserve">指标18 </w:t>
      </w:r>
      <w:r>
        <w:rPr>
          <w:rFonts w:hint="default" w:ascii="Times New Roman" w:hAnsi="Times New Roman" w:eastAsia="仿宋_GB2312" w:cs="Times New Roman"/>
          <w:i w:val="0"/>
          <w:iCs w:val="0"/>
          <w:color w:val="000000"/>
          <w:kern w:val="0"/>
          <w:sz w:val="32"/>
          <w:szCs w:val="32"/>
          <w:highlight w:val="none"/>
          <w:u w:val="none"/>
          <w:lang w:val="en-US" w:eastAsia="zh-CN" w:bidi="ar"/>
        </w:rPr>
        <w:t>（受支持）高水平医院门诊患者满意度（%）</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i w:val="0"/>
          <w:iCs w:val="0"/>
          <w:color w:val="000000"/>
          <w:kern w:val="0"/>
          <w:sz w:val="32"/>
          <w:szCs w:val="32"/>
          <w:highlight w:val="none"/>
          <w:u w:val="none"/>
          <w:lang w:val="en-US" w:eastAsia="zh-CN" w:bidi="ar"/>
        </w:rPr>
        <w:t>85%</w:t>
      </w:r>
      <w:r>
        <w:rPr>
          <w:rFonts w:hint="default" w:ascii="Times New Roman" w:hAnsi="Times New Roman" w:eastAsia="仿宋_GB2312" w:cs="Times New Roman"/>
          <w:b w:val="0"/>
          <w:bCs w:val="0"/>
          <w:snapToGrid/>
          <w:color w:val="000000"/>
          <w:kern w:val="2"/>
          <w:sz w:val="32"/>
          <w:szCs w:val="32"/>
          <w:highlight w:val="none"/>
          <w:lang w:val="en-US" w:eastAsia="zh-CN" w:bidi="ar"/>
        </w:rPr>
        <w:t>”。根据调查结果，</w:t>
      </w:r>
      <w:r>
        <w:rPr>
          <w:rFonts w:hint="default" w:ascii="Times New Roman" w:hAnsi="Times New Roman" w:eastAsia="仿宋_GB2312" w:cs="Times New Roman"/>
          <w:i w:val="0"/>
          <w:iCs w:val="0"/>
          <w:color w:val="000000"/>
          <w:kern w:val="0"/>
          <w:sz w:val="32"/>
          <w:szCs w:val="32"/>
          <w:highlight w:val="none"/>
          <w:u w:val="none"/>
          <w:lang w:val="en-US" w:eastAsia="zh-CN" w:bidi="ar"/>
        </w:rPr>
        <w:t>（受支持）高水平医院门诊患者满意度93%</w:t>
      </w:r>
      <w:r>
        <w:rPr>
          <w:rFonts w:hint="default" w:ascii="Times New Roman" w:hAnsi="Times New Roman" w:eastAsia="仿宋_GB2312" w:cs="Times New Roman"/>
          <w:color w:val="000000"/>
          <w:kern w:val="2"/>
          <w:sz w:val="32"/>
          <w:szCs w:val="32"/>
          <w:highlight w:val="none"/>
          <w:lang w:val="en-US" w:eastAsia="zh-CN" w:bidi="ar-SA"/>
        </w:rPr>
        <w:t>，指标完成率109.41%（93%/85%），实现预期目标。</w:t>
      </w:r>
    </w:p>
    <w:p>
      <w:pPr>
        <w:pStyle w:val="5"/>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color w:val="000000"/>
          <w:kern w:val="2"/>
          <w:sz w:val="32"/>
          <w:szCs w:val="32"/>
          <w:highlight w:val="none"/>
          <w:lang w:val="en-US" w:eastAsia="zh-CN" w:bidi="ar-SA"/>
        </w:rPr>
        <w:t xml:space="preserve">指标19 </w:t>
      </w:r>
      <w:r>
        <w:rPr>
          <w:rFonts w:hint="default" w:ascii="Times New Roman" w:hAnsi="Times New Roman" w:eastAsia="仿宋_GB2312" w:cs="Times New Roman"/>
          <w:i w:val="0"/>
          <w:iCs w:val="0"/>
          <w:color w:val="000000"/>
          <w:kern w:val="0"/>
          <w:sz w:val="32"/>
          <w:szCs w:val="32"/>
          <w:highlight w:val="none"/>
          <w:u w:val="none"/>
          <w:lang w:val="en-US" w:eastAsia="zh-CN" w:bidi="ar"/>
        </w:rPr>
        <w:t>（受支持）高水平住院患者满意度（%）</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i w:val="0"/>
          <w:iCs w:val="0"/>
          <w:color w:val="000000"/>
          <w:kern w:val="0"/>
          <w:sz w:val="32"/>
          <w:szCs w:val="32"/>
          <w:highlight w:val="none"/>
          <w:u w:val="none"/>
          <w:lang w:val="en-US" w:eastAsia="zh-CN" w:bidi="ar"/>
        </w:rPr>
        <w:t>85%</w:t>
      </w:r>
      <w:r>
        <w:rPr>
          <w:rFonts w:hint="default" w:ascii="Times New Roman" w:hAnsi="Times New Roman" w:eastAsia="仿宋_GB2312" w:cs="Times New Roman"/>
          <w:b w:val="0"/>
          <w:bCs w:val="0"/>
          <w:snapToGrid/>
          <w:color w:val="000000"/>
          <w:kern w:val="2"/>
          <w:sz w:val="32"/>
          <w:szCs w:val="32"/>
          <w:highlight w:val="none"/>
          <w:lang w:val="en-US" w:eastAsia="zh-CN" w:bidi="ar"/>
        </w:rPr>
        <w:t>”。根据调查结果，</w:t>
      </w:r>
      <w:r>
        <w:rPr>
          <w:rFonts w:hint="default" w:ascii="Times New Roman" w:hAnsi="Times New Roman" w:eastAsia="仿宋_GB2312" w:cs="Times New Roman"/>
          <w:i w:val="0"/>
          <w:iCs w:val="0"/>
          <w:color w:val="000000"/>
          <w:kern w:val="0"/>
          <w:sz w:val="32"/>
          <w:szCs w:val="32"/>
          <w:highlight w:val="none"/>
          <w:u w:val="none"/>
          <w:lang w:val="en-US" w:eastAsia="zh-CN" w:bidi="ar"/>
        </w:rPr>
        <w:t>（受支持）高水平医院门诊患者满意度94%</w:t>
      </w:r>
      <w:r>
        <w:rPr>
          <w:rFonts w:hint="default" w:ascii="Times New Roman" w:hAnsi="Times New Roman" w:eastAsia="仿宋_GB2312" w:cs="Times New Roman"/>
          <w:color w:val="000000"/>
          <w:kern w:val="2"/>
          <w:sz w:val="32"/>
          <w:szCs w:val="32"/>
          <w:highlight w:val="none"/>
          <w:lang w:val="en-US" w:eastAsia="zh-CN" w:bidi="ar-SA"/>
        </w:rPr>
        <w:t>，指标完成率110.59%（94%/85%），实现预期目标。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国家医学（医疗）中心建设项目。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预期总体目标全部如期实现，各子项目总体目标完成情况如下：</w:t>
      </w:r>
    </w:p>
    <w:p>
      <w:pPr>
        <w:keepNext w:val="0"/>
        <w:keepLines w:val="0"/>
        <w:pageBreakBefore w:val="0"/>
        <w:widowControl/>
        <w:kinsoku/>
        <w:wordWrap/>
        <w:topLinePunct w:val="0"/>
        <w:bidi w:val="0"/>
        <w:adjustRightInd/>
        <w:snapToGrid/>
        <w:spacing w:line="560" w:lineRule="exact"/>
        <w:ind w:left="0" w:leftChars="0" w:firstLine="643" w:firstLineChars="200"/>
        <w:jc w:val="both"/>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广东国际精准医学中心：</w:t>
      </w:r>
      <w:r>
        <w:rPr>
          <w:rFonts w:hint="default" w:ascii="Times New Roman" w:hAnsi="Times New Roman" w:eastAsia="仿宋_GB2312" w:cs="Times New Roman"/>
          <w:color w:val="000000"/>
          <w:sz w:val="32"/>
          <w:szCs w:val="32"/>
          <w:highlight w:val="none"/>
          <w:lang w:val="en-US" w:eastAsia="zh-CN"/>
        </w:rPr>
        <w:t>2024年，中心已按计划搭建起生物资源样本库、多组学研究平台、分子生物学平台、生物信息大数据平台、动物平台、干细胞研究平台、微生态研究、类器官研究、无菌动物平台等9大平台。截止2024年底，平台拥有各类科研仪器近1140台（其中单价超过100万元的大型仪器80余台）。纳入仪器共享系统开放共享使用的有280余台，已为中心内外290余个课题组、超1400名科研人员提供服务。仪器共享系统目前运行平稳，所有科研仪器使用总机时超过26.3万小时，大型仪器年平均使用机时超过600小时，利用率达到90%，为各团队的科研项目顺利推进提供的坚实的保障。</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广东国际心血管医学中心：</w:t>
      </w:r>
      <w:r>
        <w:rPr>
          <w:rFonts w:hint="default" w:ascii="Times New Roman" w:hAnsi="Times New Roman" w:eastAsia="仿宋_GB2312" w:cs="Times New Roman"/>
          <w:color w:val="000000"/>
          <w:sz w:val="32"/>
          <w:szCs w:val="32"/>
          <w:highlight w:val="none"/>
          <w:lang w:val="en-US" w:eastAsia="zh-CN"/>
        </w:rPr>
        <w:t>中心（白云院区）基础设施建设和人才引进、平台建设全方位实施。基础设施建设方面，2024年已全面进入现场实施阶段，前期主要完成土壤修复相关风险评估变更、实施方案编制和备案、树木砍伐评审报批、初步设计评审、概算编制报批、基坑施工图设计审图、基坑阶段施工许可证办理等前期报批报审及现场临电、临水、临建设施工作。学科建设方面，完善了科研创新平台和转化应用平台的建设，满足科研人员实验需求和心血管学科成果产出；进一步加强心血管生物样本库建设，支撑并促进心血管疾病多组学分析及大数据建设。培养了国家级青年人才团队1个、省级领军人才团队1个、省级青年人才3名；引进医院第三层次人才</w:t>
      </w:r>
      <w:r>
        <w:rPr>
          <w:rFonts w:hint="eastAsia" w:ascii="Times New Roman" w:hAnsi="Times New Roman" w:cs="Times New Roman"/>
          <w:color w:val="000000"/>
          <w:sz w:val="32"/>
          <w:szCs w:val="32"/>
          <w:highlight w:val="none"/>
          <w:lang w:val="en-US" w:eastAsia="zh-CN"/>
        </w:rPr>
        <w:t>1人</w:t>
      </w:r>
      <w:r>
        <w:rPr>
          <w:rFonts w:hint="default" w:ascii="Times New Roman" w:hAnsi="Times New Roman" w:eastAsia="仿宋_GB2312" w:cs="Times New Roman"/>
          <w:color w:val="000000"/>
          <w:sz w:val="32"/>
          <w:szCs w:val="32"/>
          <w:highlight w:val="none"/>
          <w:lang w:val="en-US" w:eastAsia="zh-CN"/>
        </w:rPr>
        <w:t>，入选第八批“广东特支计划”领军人才项目</w:t>
      </w:r>
      <w:r>
        <w:rPr>
          <w:rFonts w:hint="eastAsia" w:ascii="Times New Roman" w:hAnsi="Times New Roman" w:cs="Times New Roman"/>
          <w:color w:val="000000"/>
          <w:sz w:val="32"/>
          <w:szCs w:val="32"/>
          <w:highlight w:val="none"/>
          <w:lang w:val="en-US" w:eastAsia="zh-CN"/>
        </w:rPr>
        <w:t>1人</w:t>
      </w:r>
      <w:r>
        <w:rPr>
          <w:rFonts w:hint="default" w:ascii="Times New Roman" w:hAnsi="Times New Roman" w:eastAsia="仿宋_GB2312" w:cs="Times New Roman"/>
          <w:color w:val="000000"/>
          <w:sz w:val="32"/>
          <w:szCs w:val="32"/>
          <w:highlight w:val="none"/>
          <w:lang w:val="en-US" w:eastAsia="zh-CN"/>
        </w:rPr>
        <w:t>，招聘了一批心血管专业的优秀毕业生，培养心血管专业人才70人（毕业博士8人，硕士62人）。建设省部共建心血管区域医疗中心，开展心脑血管疑难病诊治提升工程项目，促进心血管疾病研究国际化，开展原创性、临床研究，研发自主知识产权技术、药品和医疗器械，减少对国外同类产品依赖；完善心血管病防治网络，促进先进技术推广应用，提升我国心血管疾病防治能力，服务于“粤港澳大湾区”建设。在医疗、科研、预防和人才培养等方面进一步探索，通过创建中国模式，分享中国经验，制定中国标准，辐射带动粤港澳大湾区和“一带一路”国家，引领世界。</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广东乳腺肿瘤防治中心：</w:t>
      </w:r>
      <w:r>
        <w:rPr>
          <w:rFonts w:hint="default" w:ascii="Times New Roman" w:hAnsi="Times New Roman" w:eastAsia="仿宋_GB2312" w:cs="Times New Roman"/>
          <w:color w:val="000000"/>
          <w:kern w:val="2"/>
          <w:sz w:val="32"/>
          <w:szCs w:val="32"/>
          <w:highlight w:val="none"/>
          <w:lang w:eastAsia="zh-CN" w:bidi="ar"/>
        </w:rPr>
        <w:t>目前</w:t>
      </w:r>
      <w:r>
        <w:rPr>
          <w:rFonts w:hint="default" w:ascii="Times New Roman" w:hAnsi="Times New Roman" w:eastAsia="仿宋_GB2312" w:cs="Times New Roman"/>
          <w:color w:val="000000"/>
          <w:kern w:val="2"/>
          <w:sz w:val="32"/>
          <w:szCs w:val="32"/>
          <w:highlight w:val="none"/>
          <w:lang w:bidi="ar"/>
        </w:rPr>
        <w:t>中心已完成基坑围护及降排水工程施工，第一阶段土石方已完成55%，桩基础工程已完成96.7%，地下连续墙等基坑支护工作已全部完成。</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广东国际肾脏病医学中心：</w:t>
      </w:r>
      <w:r>
        <w:rPr>
          <w:rFonts w:hint="default" w:ascii="Times New Roman" w:hAnsi="Times New Roman" w:eastAsia="仿宋_GB2312" w:cs="Times New Roman"/>
          <w:color w:val="000000"/>
          <w:sz w:val="32"/>
          <w:szCs w:val="32"/>
          <w:highlight w:val="none"/>
          <w:lang w:val="en-US" w:eastAsia="zh-CN"/>
        </w:rPr>
        <w:t>中心已完成土方开挖工作，并完成地下室负四层梁板墙柱建设工作和基坑支护工作。</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国家创伤区域医疗中心：</w:t>
      </w:r>
      <w:r>
        <w:rPr>
          <w:rFonts w:hint="default" w:ascii="Times New Roman" w:hAnsi="Times New Roman" w:eastAsia="仿宋_GB2312" w:cs="Times New Roman"/>
          <w:b w:val="0"/>
          <w:bCs w:val="0"/>
          <w:color w:val="000000"/>
          <w:sz w:val="32"/>
          <w:szCs w:val="32"/>
          <w:highlight w:val="none"/>
          <w:lang w:val="en-US" w:eastAsia="zh-CN"/>
        </w:rPr>
        <w:t>中心已完成施工图设计，以及完成施工单位、监理单位的招标工作。</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②三级绩效指标完成情况。</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i w:val="0"/>
          <w:iCs w:val="0"/>
          <w:color w:val="000000"/>
          <w:kern w:val="0"/>
          <w:sz w:val="32"/>
          <w:szCs w:val="32"/>
          <w:highlight w:val="none"/>
          <w:u w:val="none"/>
          <w:lang w:val="en-US" w:eastAsia="zh-CN" w:bidi="ar"/>
        </w:rPr>
      </w:pPr>
      <w:r>
        <w:rPr>
          <w:rFonts w:hint="default" w:ascii="Times New Roman" w:hAnsi="Times New Roman" w:eastAsia="仿宋_GB2312" w:cs="Times New Roman"/>
          <w:color w:val="000000"/>
          <w:sz w:val="32"/>
          <w:szCs w:val="32"/>
          <w:highlight w:val="none"/>
          <w:lang w:val="en-US" w:eastAsia="zh-CN"/>
        </w:rPr>
        <w:t>A.过程指标完成情况。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val="0"/>
          <w:bCs w:val="0"/>
          <w:snapToGrid/>
          <w:color w:val="000000"/>
          <w:kern w:val="2"/>
          <w:sz w:val="32"/>
          <w:szCs w:val="32"/>
          <w:highlight w:val="none"/>
          <w:lang w:val="en-US" w:eastAsia="zh-CN" w:bidi="ar"/>
        </w:rPr>
        <w:t>资金支出率。本指标当年度目标值为“100%”。截至2024年12月31日，本年度国家医学（医疗）中心建设项目资金支出率86.86%，指标完成率86.86%，未实现预期目标。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Fonts w:hint="default" w:ascii="Times New Roman" w:hAnsi="Times New Roman" w:eastAsia="仿宋_GB2312" w:cs="Times New Roman"/>
          <w:b/>
          <w:bCs/>
          <w:snapToGrid/>
          <w:color w:val="000000"/>
          <w:kern w:val="2"/>
          <w:sz w:val="32"/>
          <w:szCs w:val="32"/>
          <w:highlight w:val="none"/>
          <w:lang w:val="en-US" w:eastAsia="zh-CN" w:bidi="ar"/>
        </w:rPr>
        <w:t xml:space="preserve">指标2 </w:t>
      </w:r>
      <w:r>
        <w:rPr>
          <w:rFonts w:hint="default" w:ascii="Times New Roman" w:hAnsi="Times New Roman" w:eastAsia="仿宋_GB2312" w:cs="Times New Roman"/>
          <w:b w:val="0"/>
          <w:bCs w:val="0"/>
          <w:snapToGrid/>
          <w:color w:val="000000"/>
          <w:kern w:val="2"/>
          <w:sz w:val="32"/>
          <w:szCs w:val="32"/>
          <w:highlight w:val="none"/>
          <w:lang w:val="en-US" w:eastAsia="zh-CN" w:bidi="ar"/>
        </w:rPr>
        <w:t>监管有效性。本指标当年度目标值为“有效”。2024年，我委围绕项目监管有效性，扎实开展预算执行进度通报、专项资金绩效运行监控，认真落实预算执行动态监管，紧盯资金流向和具体支出情况，及时发现并纠正资金使用中的问题，较好完成年度各项目标任务，项目监管有效，指标完成率100%，实现预期目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center"/>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B.产出指标完成情况分析</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指标3</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新增高端科研仪器设备及智能医疗设备（台）（广东国际精准医学中心）</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i w:val="0"/>
          <w:iCs w:val="0"/>
          <w:color w:val="000000"/>
          <w:kern w:val="0"/>
          <w:sz w:val="32"/>
          <w:szCs w:val="32"/>
          <w:highlight w:val="none"/>
          <w:u w:val="none"/>
          <w:lang w:val="en-US" w:eastAsia="zh-CN" w:bidi="ar"/>
        </w:rPr>
        <w:t>10台</w:t>
      </w:r>
      <w:r>
        <w:rPr>
          <w:rFonts w:hint="default" w:ascii="Times New Roman" w:hAnsi="Times New Roman" w:eastAsia="仿宋_GB2312" w:cs="Times New Roman"/>
          <w:b w:val="0"/>
          <w:bCs w:val="0"/>
          <w:snapToGrid/>
          <w:color w:val="000000"/>
          <w:kern w:val="2"/>
          <w:sz w:val="32"/>
          <w:szCs w:val="32"/>
          <w:highlight w:val="none"/>
          <w:lang w:val="en-US" w:eastAsia="zh-CN" w:bidi="ar"/>
        </w:rPr>
        <w:t>”。2024年，广东国际精准医学中心</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新增高端科研仪器设备及智能医疗设备10台</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b w:val="0"/>
          <w:bCs w:val="0"/>
          <w:color w:val="000000"/>
          <w:sz w:val="32"/>
          <w:szCs w:val="32"/>
          <w:highlight w:val="none"/>
          <w:lang w:val="en-US" w:eastAsia="zh-CN"/>
        </w:rPr>
        <w:t>小动物活体全谱段荧光成像系统、超高速流式细胞分析仪、激光多普勒及经皮氧分压测量仪、体外血管构建物三维应力培养系统、多功能生物3D打印系统、倒置激光共聚焦显微镜、电镜、快速蛋白纯化系统、二氧化碳激光、手术床等，</w:t>
      </w:r>
      <w:r>
        <w:rPr>
          <w:rFonts w:hint="default" w:ascii="Times New Roman" w:hAnsi="Times New Roman" w:eastAsia="仿宋_GB2312" w:cs="Times New Roman"/>
          <w:color w:val="000000"/>
          <w:kern w:val="2"/>
          <w:sz w:val="32"/>
          <w:szCs w:val="32"/>
          <w:highlight w:val="none"/>
          <w:lang w:val="en-US" w:eastAsia="zh-CN" w:bidi="ar-SA"/>
        </w:rPr>
        <w:t>指标完成率100%（10/10），实现预期目标。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指标4</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搭建科研平台（个）（广东国际精准医学中心+广东国际心血管医学中心）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。本指标当年度目标值为“≥5个”。2024年，搭建科研平台</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10个</w:t>
      </w:r>
      <w:r>
        <w:rPr>
          <w:rFonts w:hint="default" w:ascii="Times New Roman" w:hAnsi="Times New Roman" w:eastAsia="仿宋_GB2312" w:cs="Times New Roman"/>
          <w:color w:val="000000"/>
          <w:kern w:val="2"/>
          <w:sz w:val="32"/>
          <w:szCs w:val="32"/>
          <w:highlight w:val="none"/>
          <w:lang w:val="en-US" w:eastAsia="zh-CN" w:bidi="ar-SA"/>
        </w:rPr>
        <w:t>，其中广东国际精准医学中心9个、广东国际心血管医学中心1个，指标完成率200%（10/5），超额实现预期目标。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 xml:space="preserve">指标5 </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国内学术交流活动次数（次）（广东乳腺肿瘤防治中心）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。本指标当年度目标值为“≥6次”。2024年，广东乳腺肿瘤防治中心举办</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国内学术交流活动</w:t>
      </w:r>
      <w:r>
        <w:rPr>
          <w:rStyle w:val="8"/>
          <w:rFonts w:hint="default" w:ascii="Times New Roman" w:hAnsi="Times New Roman" w:eastAsia="仿宋_GB2312" w:cs="Times New Roman"/>
          <w:b w:val="0"/>
          <w:bCs w:val="0"/>
          <w:i w:val="0"/>
          <w:iCs w:val="0"/>
          <w:color w:val="000000"/>
          <w:sz w:val="32"/>
          <w:szCs w:val="32"/>
          <w:highlight w:val="none"/>
          <w:lang w:val="en-US" w:eastAsia="zh-CN" w:bidi="ar-SA"/>
        </w:rPr>
        <w:t>11</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次</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b w:val="0"/>
          <w:bCs w:val="0"/>
          <w:color w:val="000000"/>
          <w:kern w:val="2"/>
          <w:sz w:val="32"/>
          <w:szCs w:val="32"/>
          <w:highlight w:val="none"/>
          <w:lang w:val="en-US" w:eastAsia="zh-CN" w:bidi="ar-SA"/>
        </w:rPr>
        <w:t>2024逸仙乳腺大会暨第二届中国年轻乳腺癌诊疗共识大会暨第三届逸仙乳腺护理论坛、广东省研究型医院学会微创外科专业委员会成立大会暨CCS乳腺腔镜大会、金町湾肿瘤免疫治疗高峰论坛、“乳此多娇”第五届中青年学术论坛暨广东省老年保健协会乳腺癌整合治疗专委会成立大会暨广东省医疗行业协会乳腺肿瘤内科管理分会年会、第五届中国乳腺肿瘤整合医学大会暨广东省医疗行业协会乳腺专科管理分会年会、第六届乳腺癌年度进展学术论坛暨广东省胸部肿瘤防治研究会乳腺肿瘤内科专业委员会成立大会、星火计划精准诊疗学习班-暨第八届乳腺癌早筛早诊以及组织标记在乳腺外科精准诊疗临床应用规范化学习班、2024年CBCS&amp;CSOB0指南中青专家巡讲（广州站）、2024乳腺癌愈她</w:t>
      </w:r>
      <w:r>
        <w:rPr>
          <w:rFonts w:hint="default" w:ascii="Times New Roman" w:hAnsi="Times New Roman" w:eastAsia="汉仪大黑简"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新青年系列中青年学术交流活动、2024年广东省医疗行业协会乳腺病整形修复管理分会年会、第三届广东乳腺癌局部精准治疗论坛</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b w:val="0"/>
          <w:bCs w:val="0"/>
          <w:color w:val="000000"/>
          <w:kern w:val="2"/>
          <w:sz w:val="32"/>
          <w:szCs w:val="32"/>
          <w:highlight w:val="none"/>
          <w:lang w:val="en-US" w:eastAsia="zh-CN" w:bidi="ar-SA"/>
        </w:rPr>
        <w:t>183.33%（11/6）</w:t>
      </w:r>
      <w:r>
        <w:rPr>
          <w:rFonts w:hint="default" w:ascii="Times New Roman" w:hAnsi="Times New Roman" w:eastAsia="仿宋_GB2312" w:cs="Times New Roman"/>
          <w:color w:val="000000"/>
          <w:kern w:val="2"/>
          <w:sz w:val="32"/>
          <w:szCs w:val="32"/>
          <w:highlight w:val="none"/>
          <w:lang w:val="en-US" w:eastAsia="zh-CN" w:bidi="ar-SA"/>
        </w:rPr>
        <w:t>，超额实现预期目标。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指标6</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培养专业人才（人）（广东国际心血管医学中心）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。本指标当年度目标值为“≥30人”。2024年，广东国际心血管医学中心</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培养专业人才70人</w:t>
      </w:r>
      <w:r>
        <w:rPr>
          <w:rFonts w:hint="default" w:ascii="Times New Roman" w:hAnsi="Times New Roman" w:eastAsia="仿宋_GB2312" w:cs="Times New Roman"/>
          <w:color w:val="000000"/>
          <w:kern w:val="2"/>
          <w:sz w:val="32"/>
          <w:szCs w:val="32"/>
          <w:highlight w:val="none"/>
          <w:lang w:val="en-US" w:eastAsia="zh-CN" w:bidi="ar-SA"/>
        </w:rPr>
        <w:t>，包括</w:t>
      </w:r>
      <w:r>
        <w:rPr>
          <w:rFonts w:hint="default" w:ascii="Times New Roman" w:hAnsi="Times New Roman" w:eastAsia="仿宋_GB2312" w:cs="Times New Roman"/>
          <w:b w:val="0"/>
          <w:bCs w:val="0"/>
          <w:color w:val="000000"/>
          <w:sz w:val="32"/>
          <w:szCs w:val="32"/>
          <w:highlight w:val="none"/>
          <w:lang w:val="en-US" w:eastAsia="zh-CN"/>
        </w:rPr>
        <w:t>学术型博士8人、专业型硕士43人、学术型硕士19人，</w:t>
      </w:r>
      <w:r>
        <w:rPr>
          <w:rFonts w:hint="default" w:ascii="Times New Roman" w:hAnsi="Times New Roman" w:eastAsia="仿宋_GB2312" w:cs="Times New Roman"/>
          <w:color w:val="000000"/>
          <w:kern w:val="2"/>
          <w:sz w:val="32"/>
          <w:szCs w:val="32"/>
          <w:highlight w:val="none"/>
          <w:lang w:val="en-US" w:eastAsia="zh-CN" w:bidi="ar-SA"/>
        </w:rPr>
        <w:t>指标完成率233.33%（70/30），超额实现预期目标。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 xml:space="preserve">指标7 </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建设进度（广东国际肾脏病医学中心+国家创伤区域医疗中心）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2024年，广东国际肾脏病医学中心已完成土方开挖工作，并完成建设至地下室负四层梁板墙柱建设工作和基坑支护工作。国家创伤区域医疗中心已完成施工图设计和施工单位、监理单位的招标工作。</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建设进度100%</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b w:val="0"/>
          <w:bCs w:val="0"/>
          <w:color w:val="000000"/>
          <w:sz w:val="32"/>
          <w:szCs w:val="32"/>
          <w:highlight w:val="none"/>
          <w:lang w:val="en-US" w:eastAsia="zh-CN"/>
        </w:rPr>
        <w:t>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100</w:t>
      </w:r>
      <w:r>
        <w:rPr>
          <w:rFonts w:hint="default" w:ascii="Times New Roman" w:hAnsi="Times New Roman" w:eastAsia="仿宋_GB2312" w:cs="Times New Roman"/>
          <w:color w:val="000000"/>
          <w:kern w:val="2"/>
          <w:sz w:val="32"/>
          <w:szCs w:val="32"/>
          <w:highlight w:val="none"/>
          <w:lang w:val="en-US" w:eastAsia="zh-CN" w:bidi="ar-SA"/>
        </w:rPr>
        <w:t>%），实现预期目标。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 xml:space="preserve">指标8 </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设备利用率（%）（广东国际精准医学中心+广东国际心血管医学中心）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。本指标当年度目标值为“≥90%”。</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设备利用率100%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b w:val="0"/>
          <w:bCs w:val="0"/>
          <w:color w:val="000000"/>
          <w:sz w:val="32"/>
          <w:szCs w:val="32"/>
          <w:highlight w:val="none"/>
          <w:lang w:val="en-US" w:eastAsia="zh-CN"/>
        </w:rPr>
        <w:t>111.11</w:t>
      </w:r>
      <w:r>
        <w:rPr>
          <w:rFonts w:hint="default" w:ascii="Times New Roman" w:hAnsi="Times New Roman" w:eastAsia="仿宋_GB2312" w:cs="Times New Roman"/>
          <w:color w:val="000000"/>
          <w:kern w:val="2"/>
          <w:sz w:val="32"/>
          <w:szCs w:val="32"/>
          <w:highlight w:val="none"/>
          <w:lang w:val="en-US" w:eastAsia="zh-CN" w:bidi="ar-SA"/>
        </w:rPr>
        <w:t>%（100%/90%），实现预期目标。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指标9</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设备验收合格率（%）（广东国际精准医学中心+广东国际心血管医学中心）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。本指标当年度目标值为“100%”。2024年，</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设备验收合格率100%</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，指标完成率100%（100%/100%），实现预期目标。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指标10</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新增设备装机完成率（%）（广东国际精准医学中心）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。本指标当年度目标值为“≥95%”。2024年</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新增设备装机完成率100%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color w:val="000000"/>
          <w:kern w:val="2"/>
          <w:sz w:val="32"/>
          <w:szCs w:val="32"/>
          <w:highlight w:val="none"/>
          <w:lang w:val="en-US" w:eastAsia="zh-CN" w:bidi="ar-SA"/>
        </w:rPr>
        <w:t>），指标完成率105.26%（</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100%</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snapToGrid/>
          <w:color w:val="000000"/>
          <w:kern w:val="2"/>
          <w:sz w:val="32"/>
          <w:szCs w:val="32"/>
          <w:highlight w:val="none"/>
          <w:lang w:val="en-US" w:eastAsia="zh-CN" w:bidi="ar"/>
        </w:rPr>
        <w:t>95%</w:t>
      </w:r>
      <w:r>
        <w:rPr>
          <w:rFonts w:hint="default" w:ascii="Times New Roman" w:hAnsi="Times New Roman" w:eastAsia="仿宋_GB2312" w:cs="Times New Roman"/>
          <w:color w:val="000000"/>
          <w:kern w:val="2"/>
          <w:sz w:val="32"/>
          <w:szCs w:val="32"/>
          <w:highlight w:val="none"/>
          <w:lang w:val="en-US" w:eastAsia="zh-CN" w:bidi="ar-SA"/>
        </w:rPr>
        <w:t>），实现预期目标。</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bidi="ar"/>
        </w:rPr>
        <w:t>指标11</w:t>
      </w:r>
      <w:r>
        <w:rPr>
          <w:rFonts w:hint="default" w:ascii="Times New Roman" w:hAnsi="Times New Roman" w:eastAsia="仿宋_GB2312" w:cs="Times New Roman"/>
          <w:b/>
          <w:bCs/>
          <w:i w:val="0"/>
          <w:iCs w:val="0"/>
          <w:color w:val="000000"/>
          <w:sz w:val="32"/>
          <w:szCs w:val="32"/>
          <w:highlight w:val="none"/>
          <w:lang w:val="en-US" w:eastAsia="zh-CN" w:bidi="ar"/>
        </w:rPr>
        <w:t xml:space="preserve"> </w:t>
      </w:r>
      <w:r>
        <w:rPr>
          <w:rFonts w:hint="default" w:ascii="Times New Roman" w:hAnsi="Times New Roman" w:eastAsia="仿宋_GB2312" w:cs="Times New Roman"/>
          <w:b w:val="0"/>
          <w:bCs w:val="0"/>
          <w:i w:val="0"/>
          <w:iCs w:val="0"/>
          <w:color w:val="000000"/>
          <w:sz w:val="32"/>
          <w:szCs w:val="32"/>
          <w:highlight w:val="none"/>
          <w:lang w:val="en-US" w:eastAsia="zh-CN" w:bidi="ar"/>
        </w:rPr>
        <w:t>项目预算控制</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w:t>
      </w:r>
      <w:r>
        <w:rPr>
          <w:rFonts w:hint="default" w:ascii="Times New Roman" w:hAnsi="Times New Roman" w:eastAsia="仿宋_GB2312" w:cs="Times New Roman"/>
          <w:color w:val="000000"/>
          <w:sz w:val="32"/>
          <w:szCs w:val="32"/>
          <w:highlight w:val="none"/>
          <w:lang w:val="en-US" w:eastAsia="zh-CN"/>
        </w:rPr>
        <w:t>不超预算</w:t>
      </w:r>
      <w:r>
        <w:rPr>
          <w:rFonts w:hint="default" w:ascii="Times New Roman" w:hAnsi="Times New Roman" w:eastAsia="仿宋_GB2312" w:cs="Times New Roman"/>
          <w:b w:val="0"/>
          <w:bCs w:val="0"/>
          <w:snapToGrid/>
          <w:color w:val="000000"/>
          <w:kern w:val="2"/>
          <w:sz w:val="32"/>
          <w:szCs w:val="32"/>
          <w:highlight w:val="none"/>
          <w:lang w:val="en-US" w:eastAsia="zh-CN" w:bidi="ar"/>
        </w:rPr>
        <w:t>”。</w:t>
      </w:r>
      <w:r>
        <w:rPr>
          <w:rFonts w:hint="default" w:ascii="Times New Roman" w:hAnsi="Times New Roman" w:eastAsia="仿宋_GB2312" w:cs="Times New Roman"/>
          <w:color w:val="000000"/>
          <w:sz w:val="32"/>
          <w:szCs w:val="32"/>
          <w:highlight w:val="none"/>
          <w:lang w:val="en-US" w:eastAsia="zh-CN"/>
        </w:rPr>
        <w:t>截至2024年12月31日，2024年度国家医学（医疗）中心建设专项资支出为86.86%，不超预算，指标完成率100%，</w:t>
      </w:r>
      <w:r>
        <w:rPr>
          <w:rFonts w:hint="default" w:ascii="Times New Roman" w:hAnsi="Times New Roman" w:eastAsia="仿宋_GB2312" w:cs="Times New Roman"/>
          <w:b w:val="0"/>
          <w:bCs w:val="0"/>
          <w:snapToGrid/>
          <w:color w:val="000000"/>
          <w:kern w:val="2"/>
          <w:sz w:val="32"/>
          <w:szCs w:val="32"/>
          <w:highlight w:val="none"/>
          <w:lang w:val="en-US" w:eastAsia="zh-CN" w:bidi="ar"/>
        </w:rPr>
        <w:t>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Fonts w:hint="default" w:ascii="Times New Roman" w:hAnsi="Times New Roman" w:eastAsia="仿宋_GB2312" w:cs="Times New Roman"/>
          <w:b w:val="0"/>
          <w:bCs w:val="0"/>
          <w:color w:val="000000"/>
          <w:sz w:val="32"/>
          <w:szCs w:val="32"/>
          <w:highlight w:val="none"/>
          <w:lang w:val="en-US" w:eastAsia="zh-CN"/>
        </w:rPr>
        <w:t>C.效益指标完成情况。</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指标12</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发挥示范引领作用（广东国际精准医学中心+广东国际心血管医学中心）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有效”。2024年，广东国际心血管医学中心和广东国际心血管医学中心发挥示范引领作用。通过开展原创性研究，研发大批具有自主知识产权的技术、药品和医疗器械，逐步减少对国外同类产品的依赖；完善心血管病防治网络，促进先进技术推广应用，进一步提升我国心血管疾病防治能力，服务于“粤港澳大湾区”和人类命运共同体构建。在医疗、科研、预防和人才培养等方面进一步探索，通过创建中国模式，分享中国经验，制定中国标准，辐射带动粤港澳大湾区和“一带一路”国家，引领世界。</w:t>
      </w:r>
      <w:r>
        <w:rPr>
          <w:rFonts w:hint="default" w:ascii="Times New Roman" w:hAnsi="Times New Roman" w:eastAsia="仿宋_GB2312" w:cs="Times New Roman"/>
          <w:color w:val="000000"/>
          <w:kern w:val="2"/>
          <w:sz w:val="32"/>
          <w:szCs w:val="32"/>
          <w:highlight w:val="none"/>
          <w:lang w:val="en-US" w:eastAsia="zh-CN" w:bidi="ar-SA"/>
        </w:rPr>
        <w:t>指标完成率100%，全部实现预期目标。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指标13</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科研成果转化数（个）（广东国际精准医学中心+广东国际心血管医学中心）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。本指标当年度目标值为“≥2个”。2024年，</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广东国际精准医学中心科研成果转化2个，包括</w:t>
      </w:r>
      <w:r>
        <w:rPr>
          <w:rFonts w:hint="default" w:ascii="Times New Roman" w:hAnsi="Times New Roman" w:eastAsia="仿宋_GB2312" w:cs="Times New Roman"/>
          <w:b w:val="0"/>
          <w:bCs w:val="0"/>
          <w:color w:val="000000"/>
          <w:sz w:val="32"/>
          <w:szCs w:val="32"/>
          <w:highlight w:val="none"/>
          <w:lang w:val="en-US" w:eastAsia="zh-CN"/>
        </w:rPr>
        <w:t>基于人工智能的“甲状腺细胞病理图像信息区域分类模型构建方法和装置”等两项专利申请权转让和基于“三级淋巴结构识别和分类新系统在肝癌精准智能诊疗中的创新与应用”的临床医学转化项目</w:t>
      </w:r>
      <w:r>
        <w:rPr>
          <w:rFonts w:hint="default" w:ascii="Times New Roman" w:hAnsi="Times New Roman" w:eastAsia="仿宋_GB2312" w:cs="Times New Roman"/>
          <w:color w:val="000000"/>
          <w:kern w:val="2"/>
          <w:sz w:val="32"/>
          <w:szCs w:val="32"/>
          <w:highlight w:val="none"/>
          <w:lang w:val="en-US" w:eastAsia="zh-CN" w:bidi="ar-SA"/>
        </w:rPr>
        <w:t>；</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广东国际心血管医学中心科研成果转化6个，包括</w:t>
      </w:r>
      <w:r>
        <w:rPr>
          <w:rFonts w:hint="default" w:ascii="Times New Roman" w:hAnsi="Times New Roman" w:eastAsia="仿宋_GB2312" w:cs="Times New Roman"/>
          <w:b w:val="0"/>
          <w:bCs w:val="0"/>
          <w:color w:val="000000"/>
          <w:sz w:val="32"/>
          <w:szCs w:val="32"/>
          <w:highlight w:val="none"/>
          <w:lang w:val="en-US" w:eastAsia="zh-CN"/>
        </w:rPr>
        <w:t>一体式可更换注射筒造影设备、单气缸双管造影装置、单筒自动造影注射器、一种多功能心脏彩超声学造影检查装置、一种多功能防脱肛温、一种手术用的无菌单支撑器，</w:t>
      </w:r>
      <w:r>
        <w:rPr>
          <w:rFonts w:hint="default" w:ascii="Times New Roman" w:hAnsi="Times New Roman" w:eastAsia="仿宋_GB2312" w:cs="Times New Roman"/>
          <w:color w:val="000000"/>
          <w:kern w:val="2"/>
          <w:sz w:val="32"/>
          <w:szCs w:val="32"/>
          <w:highlight w:val="none"/>
          <w:lang w:val="en-US" w:eastAsia="zh-CN" w:bidi="ar-SA"/>
        </w:rPr>
        <w:t>指标完成率400%（8/2），超额实现预期目标。</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指标14</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文章发表（篇）（广东国际心血管医学中心）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。本指标当年度目标值为“300篇”。2024年，广东国际心血管医学中心</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发表文章303篇</w:t>
      </w:r>
      <w:r>
        <w:rPr>
          <w:rFonts w:hint="default" w:ascii="Times New Roman" w:hAnsi="Times New Roman" w:eastAsia="仿宋_GB2312" w:cs="Times New Roman"/>
          <w:color w:val="000000"/>
          <w:kern w:val="2"/>
          <w:sz w:val="32"/>
          <w:szCs w:val="32"/>
          <w:highlight w:val="none"/>
          <w:lang w:val="en-US" w:eastAsia="zh-CN" w:bidi="ar-SA"/>
        </w:rPr>
        <w:t>，指标完成率101%（303/300），实现预期目标。</w:t>
      </w:r>
    </w:p>
    <w:p>
      <w:pPr>
        <w:keepNext w:val="0"/>
        <w:keepLines w:val="0"/>
        <w:pageBreakBefore w:val="0"/>
        <w:kinsoku/>
        <w:wordWrap/>
        <w:overflowPunct w:val="0"/>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napToGrid/>
          <w:color w:val="000000"/>
          <w:kern w:val="2"/>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指标15</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国家级重点科研项目数（项）（广东乳腺肿瘤防治中心）</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。本指标当年度目标值为“≥2项”。2024年国家级重点科研项目2项，具体为</w:t>
      </w:r>
      <w:r>
        <w:rPr>
          <w:rFonts w:hint="default" w:ascii="Times New Roman" w:hAnsi="Times New Roman" w:eastAsia="汉仪书宋二S" w:cs="Times New Roman"/>
          <w:b w:val="0"/>
          <w:bCs w:val="0"/>
          <w:snapToGrid/>
          <w:color w:val="000000"/>
          <w:kern w:val="2"/>
          <w:sz w:val="32"/>
          <w:szCs w:val="32"/>
          <w:highlight w:val="none"/>
          <w:lang w:val="en-US" w:eastAsia="zh-CN" w:bidi="ar"/>
        </w:rPr>
        <w:t>①</w:t>
      </w:r>
      <w:r>
        <w:rPr>
          <w:rFonts w:hint="default" w:ascii="Times New Roman" w:hAnsi="Times New Roman" w:eastAsia="仿宋_GB2312" w:cs="Times New Roman"/>
          <w:b w:val="0"/>
          <w:bCs w:val="0"/>
          <w:snapToGrid/>
          <w:color w:val="000000"/>
          <w:kern w:val="2"/>
          <w:sz w:val="32"/>
          <w:szCs w:val="32"/>
          <w:highlight w:val="none"/>
          <w:lang w:val="en-US" w:eastAsia="zh-CN" w:bidi="ar"/>
        </w:rPr>
        <w:t>项目来源：癌症、心脑血管、呼吸和代谢性疾病防治研究国家科技重大专项；项目名称：基于肿瘤生态观的乳腺恶性肿瘤分子分型和靶向治疗新策略；项目负责人：宋尔卫/项目编号：2024ZD0519800。</w:t>
      </w:r>
      <w:r>
        <w:rPr>
          <w:rFonts w:hint="default" w:ascii="Times New Roman" w:hAnsi="Times New Roman" w:eastAsia="汉仪书宋二S" w:cs="Times New Roman"/>
          <w:b w:val="0"/>
          <w:bCs w:val="0"/>
          <w:snapToGrid/>
          <w:color w:val="000000"/>
          <w:kern w:val="2"/>
          <w:sz w:val="32"/>
          <w:szCs w:val="32"/>
          <w:highlight w:val="none"/>
          <w:lang w:val="en-US" w:eastAsia="zh-CN" w:bidi="ar"/>
        </w:rPr>
        <w:t>②</w:t>
      </w:r>
      <w:r>
        <w:rPr>
          <w:rFonts w:hint="default" w:ascii="Times New Roman" w:hAnsi="Times New Roman" w:eastAsia="仿宋_GB2312" w:cs="Times New Roman"/>
          <w:b w:val="0"/>
          <w:bCs w:val="0"/>
          <w:snapToGrid/>
          <w:color w:val="000000"/>
          <w:kern w:val="2"/>
          <w:sz w:val="32"/>
          <w:szCs w:val="32"/>
          <w:highlight w:val="none"/>
          <w:lang w:val="en-US" w:eastAsia="zh-CN" w:bidi="ar"/>
        </w:rPr>
        <w:t>课题来源：癌症、心脑血管、呼吸和代谢性疾病防治研究国家科技重大专项；课题名称：基于肿瘤免疫生态系统演进机制的免疫诊疗新体系及新技术；课题负责人：龚畅/课题编号：2023ZD0501103。指标完成率100%（2/2），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Fonts w:hint="default" w:ascii="Times New Roman" w:hAnsi="Times New Roman" w:eastAsia="仿宋_GB2312" w:cs="Times New Roman"/>
          <w:b w:val="0"/>
          <w:bCs w:val="0"/>
          <w:color w:val="000000"/>
          <w:sz w:val="32"/>
          <w:szCs w:val="32"/>
          <w:highlight w:val="none"/>
          <w:lang w:val="en-US" w:eastAsia="zh-CN"/>
        </w:rPr>
        <w:t>D.满意度指标完成情况。</w:t>
      </w:r>
    </w:p>
    <w:p>
      <w:pPr>
        <w:keepNext w:val="0"/>
        <w:keepLines w:val="0"/>
        <w:pageBreakBefore w:val="0"/>
        <w:widowControl/>
        <w:suppressLineNumbers w:val="0"/>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指标16</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门诊患者满意度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。本指标当年度目标值为“≥85%”。根据调查结果，</w:t>
      </w:r>
      <w:r>
        <w:rPr>
          <w:rFonts w:hint="default" w:ascii="Times New Roman" w:hAnsi="Times New Roman" w:eastAsia="仿宋_GB2312" w:cs="Times New Roman"/>
          <w:i w:val="0"/>
          <w:iCs w:val="0"/>
          <w:color w:val="000000"/>
          <w:kern w:val="0"/>
          <w:sz w:val="32"/>
          <w:szCs w:val="32"/>
          <w:highlight w:val="none"/>
          <w:u w:val="none"/>
          <w:lang w:val="en-US" w:eastAsia="zh-CN" w:bidi="ar"/>
        </w:rPr>
        <w:t>门诊患者满意度94%</w:t>
      </w:r>
      <w:r>
        <w:rPr>
          <w:rFonts w:hint="default" w:ascii="Times New Roman" w:hAnsi="Times New Roman" w:eastAsia="仿宋_GB2312" w:cs="Times New Roman"/>
          <w:color w:val="000000"/>
          <w:kern w:val="2"/>
          <w:sz w:val="32"/>
          <w:szCs w:val="32"/>
          <w:highlight w:val="none"/>
          <w:lang w:val="en-US" w:eastAsia="zh-CN" w:bidi="ar-SA"/>
        </w:rPr>
        <w:t>，指标完成率110.59%（94%/85%），实现预期目标。</w:t>
      </w:r>
    </w:p>
    <w:p>
      <w:pPr>
        <w:keepNext w:val="0"/>
        <w:keepLines w:val="0"/>
        <w:pageBreakBefore w:val="0"/>
        <w:widowControl/>
        <w:suppressLineNumbers w:val="0"/>
        <w:shd w:val="clear" w:color="auto" w:fill="auto"/>
        <w:kinsoku/>
        <w:wordWrap/>
        <w:overflowPunct w:val="0"/>
        <w:topLinePunct w:val="0"/>
        <w:autoSpaceDE w:val="0"/>
        <w:autoSpaceDN/>
        <w:bidi w:val="0"/>
        <w:adjustRightInd/>
        <w:snapToGrid/>
        <w:spacing w:line="560" w:lineRule="exact"/>
        <w:ind w:left="0" w:leftChars="0" w:firstLine="643" w:firstLineChars="200"/>
        <w:jc w:val="both"/>
        <w:textAlignment w:val="auto"/>
        <w:rPr>
          <w:rStyle w:val="8"/>
          <w:rFonts w:hint="default" w:ascii="Times New Roman" w:hAnsi="Times New Roman" w:eastAsia="仿宋_GB2312" w:cs="Times New Roman"/>
          <w:b w:val="0"/>
          <w:bCs w:val="0"/>
          <w:i w:val="0"/>
          <w:iCs w:val="0"/>
          <w:color w:val="000000"/>
          <w:sz w:val="32"/>
          <w:szCs w:val="32"/>
          <w:highlight w:val="none"/>
          <w:lang w:val="en-US" w:eastAsia="zh-CN" w:bidi="ar"/>
        </w:rPr>
      </w:pPr>
      <w:r>
        <w:rPr>
          <w:rStyle w:val="8"/>
          <w:rFonts w:hint="default" w:ascii="Times New Roman" w:hAnsi="Times New Roman" w:eastAsia="仿宋_GB2312" w:cs="Times New Roman"/>
          <w:b/>
          <w:bCs/>
          <w:i w:val="0"/>
          <w:iCs w:val="0"/>
          <w:color w:val="000000"/>
          <w:sz w:val="32"/>
          <w:szCs w:val="32"/>
          <w:highlight w:val="none"/>
          <w:lang w:val="en-US" w:eastAsia="zh-CN" w:bidi="ar"/>
        </w:rPr>
        <w:t>指标17</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 xml:space="preserve"> 住院患者满意度</w:t>
      </w:r>
      <w:r>
        <w:rPr>
          <w:rFonts w:hint="default" w:ascii="Times New Roman" w:hAnsi="Times New Roman" w:eastAsia="仿宋_GB2312" w:cs="Times New Roman"/>
          <w:b w:val="0"/>
          <w:bCs w:val="0"/>
          <w:snapToGrid/>
          <w:color w:val="000000"/>
          <w:kern w:val="2"/>
          <w:sz w:val="32"/>
          <w:szCs w:val="32"/>
          <w:highlight w:val="none"/>
          <w:lang w:val="en-US" w:eastAsia="zh-CN" w:bidi="ar"/>
        </w:rPr>
        <w:t>。本指标当年度目标值为“≥85%”。根据调查结果，</w:t>
      </w:r>
      <w:r>
        <w:rPr>
          <w:rStyle w:val="8"/>
          <w:rFonts w:hint="default" w:ascii="Times New Roman" w:hAnsi="Times New Roman" w:eastAsia="仿宋_GB2312" w:cs="Times New Roman"/>
          <w:b w:val="0"/>
          <w:bCs w:val="0"/>
          <w:i w:val="0"/>
          <w:iCs w:val="0"/>
          <w:color w:val="000000"/>
          <w:sz w:val="32"/>
          <w:szCs w:val="32"/>
          <w:highlight w:val="none"/>
          <w:lang w:val="en-US" w:eastAsia="zh-CN" w:bidi="ar"/>
        </w:rPr>
        <w:t>住院患者满意度</w:t>
      </w:r>
      <w:r>
        <w:rPr>
          <w:rFonts w:hint="default" w:ascii="Times New Roman" w:hAnsi="Times New Roman" w:eastAsia="仿宋_GB2312" w:cs="Times New Roman"/>
          <w:i w:val="0"/>
          <w:iCs w:val="0"/>
          <w:color w:val="000000"/>
          <w:kern w:val="0"/>
          <w:sz w:val="32"/>
          <w:szCs w:val="32"/>
          <w:highlight w:val="none"/>
          <w:u w:val="none"/>
          <w:lang w:val="en-US" w:eastAsia="zh-CN" w:bidi="ar"/>
        </w:rPr>
        <w:t>93%</w:t>
      </w:r>
      <w:r>
        <w:rPr>
          <w:rFonts w:hint="default" w:ascii="Times New Roman" w:hAnsi="Times New Roman" w:eastAsia="仿宋_GB2312" w:cs="Times New Roman"/>
          <w:color w:val="000000"/>
          <w:kern w:val="2"/>
          <w:sz w:val="32"/>
          <w:szCs w:val="32"/>
          <w:highlight w:val="none"/>
          <w:lang w:val="en-US" w:eastAsia="zh-CN" w:bidi="ar-SA"/>
        </w:rPr>
        <w:t>，指标完成率109.41%（93%/85%），实现预期目标。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3.专项资金分用途使用绩效。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（1）高水平医院建设项目。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①科研建设驱动诊疗技术多维突破。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医院在科研平台建设上取得显著成效，为医学研究提供技术支持和创新环境。通过优化科研资源配置，提升了项目管理效率和质量，同时，科研平台建设促进了多学科合作、人才培养和学术交流，推动了医学科研的规范化、专业化发展。珠江医院成功获批成为精准免疫细胞治疗技术广东省工程研究中心。东莞市人民医院获得恶性肿瘤硼中子俘获治疗技术与应用广东省工程研究中心，实现东莞市卫生健康领域在省级研发平台建设上零的突破。中山市人民医院新增国家级重点实验室联合实验室1个（神经与肿瘤药物研发全国重点实验室T细胞免疫治疗领域联合实验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医院在科学研究领域取得了显著成果，覆盖了基础研究、临床应用、技术开发等多个层面。珠江医院在全国医院创新转化榜中的排名显著提升至第31位，全年成功实现15项转化项目，转化金额超过2000万元。广东省第二人民医院神经医学中心首次在国际顶级期刊《柳叶刀》上发表论文，其影响因子高达98.4。暨南大学附属第一医院核医学科承担华南地区首个靶向治疗核药镥[177Lu]（氧奥曲肽注射液）的Ⅲ期临床试验，以及华南地区首个钇90（炭微球注射液）I-II期原发性肝癌临床试验等。深圳市儿童医院获批国家自然科学基金项目7项，立项数量创历史新高,较2023年同比增长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②专科与MDT协同驱动一流学科新突破。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医院在学科建设上取得显著成效，特别是在专科建设和多学科诊疗（MDT）模式推进方面，通过优化资源、加强人才和技术创新，成功建立了有影响力的专科，为复杂疾病患者提供精准、个性化的诊疗方案，提高了医院的诊疗能力。南方医科大学珠江医院脑血管病中心被评为广州市首批重大疑难罕见病诊疗中心（颅内动脉瘤）。专病门诊数量增至242个，MDT诊疗组增至94个，同时立项专病中心22个。广东省第二人民医院新增1项国家临床重点专科（骨科），2024年骨科收容量、手术量，均呈现跨越式增长。深圳市中医院肝病科被认定为“国家中医优势专科建设单位”。中山大学孙逸仙纪念医院深汕中心24个临床、医技专科成功申报汕尾市医疗质量控制中心。佛山市第一人民医院MDT新增病种达19个，门诊MDT案例累计629例，住院MDT案例累计891例，累计建成MDT团队52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③高端医学人才引育硕果累累。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医院通过完善人才引进和培养机制，显著提升了人才建设成效，为高质量发展提供了人才支持。医院重视引进高层次人才，制定优惠政策，优化流程，提供科研平台和发展空间。同时，实施青年人才培养计划，增强了人才储备和科研能力。南方医科大学珠江医院获国家优青1人、广东省杰青1人，国家优秀青年医师2人，“广东特支计划”卫生健康领军人才1人。广东省第二人民医院全职引进学科带头人6人，全职引进科研能力突出的博士工作站及博士后人员共20人。暨南大学附属第一医院成功全职引进1名教育部长江学者，组建了包含多个领域专家的“基础研究－临床研究－产品转化”全链条国际一流人才团队。深圳市儿童医院全职引进荣获“国家杰出青年科学基金”称号专家1人，自主培养“深圳市杰出青年科学基金”称号专家1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④前沿医疗技术高地实现重大突破。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医院在医疗技术创新和应用方面取得显著成效，积极引入前沿技术和理念，结合自身优势学科，在多个领域实现技术突破。珠江医院国内首家实现5G远程多孔+单孔国产机器人手术。暨大附一院为华南首家开展钇90治疗的三甲医院。东莞市人民医院成功开展首例全腔体外循环二尖瓣手术。中山市人民医院成功完成了全球第二例全腹腔镜下全肝移植手术以及广东省第4例全球最先进的智能可感知脑起搏器Percept™PC植入手术。深圳市儿童医院成功实施了深圳市首例儿童生物可降解卵圆孔未闭封堵器系统的植入手术。揭阳市人民医院2024年开展新疗技术26项，其中粤东地区或潮汕地区首例5项。云浮市人民医院实施了云浮首例清醒ECMO治疗和无导线起搏器手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各医院在建设“五大中心”方面取得显著成效，提升了医疗服务水平，优化了急危重症救治能力，改善了患者就医体验。整合多学科资源、优化诊疗流程、引入先进技术和设备，胸痛中心、卒中中心、创伤中心、危重孕产妇救治中心和危重儿童与新生儿救治中心的建设不断完善。佛山市第一人民医院2024年胸痛中心救治急性胸痛患者10561例；卒中中心救治急性卒中患者1556例。潮州市中心医院急性心肌梗死患者PPCI治疗D-to-W平均时间59.45分钟，缩短2.35分钟，达标率92.15%，同比提高7.15%。东莞市人民医院在2024年荣获全国卒中中心综合质量等级评定为A级，介入取栓技术亦成功跻身全国百强之列。</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国家医学（医疗）中心建设资金。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①</w:t>
      </w:r>
      <w:r>
        <w:rPr>
          <w:rFonts w:hint="default" w:ascii="Times New Roman" w:hAnsi="Times New Roman" w:eastAsia="仿宋_GB2312" w:cs="Times New Roman"/>
          <w:color w:val="000000"/>
          <w:sz w:val="32"/>
          <w:szCs w:val="32"/>
          <w:highlight w:val="none"/>
        </w:rPr>
        <w:t>广东国际心血管医学中心</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sz w:val="32"/>
          <w:szCs w:val="32"/>
          <w:highlight w:val="none"/>
        </w:rPr>
        <w:t>基础设施建设</w:t>
      </w: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2024年收到省财政厅安排广东国际心血管医学中心建设一般债券资金20,000万元、安排卫生健康项目新增专项债券资金35,700万元，合计55,700万元，按资金用途编制预算支出项目内容，用于白云院区基础设施建设，制订资金支出进度计划，截止至2024年12月31日，资金已全部执行完毕，主要用于支付施工总承包合同进度款及土壤污染修复技术服务进度款等。项目实施进度按计划完成率100%</w:t>
      </w:r>
      <w:r>
        <w:rPr>
          <w:rFonts w:hint="default" w:ascii="Times New Roman" w:hAnsi="Times New Roman" w:eastAsia="仿宋_GB2312" w:cs="Times New Roman"/>
          <w:color w:val="000000"/>
          <w:kern w:val="0"/>
          <w:sz w:val="32"/>
          <w:szCs w:val="32"/>
          <w:highlight w:val="none"/>
        </w:rPr>
        <w:t>，已完成部分工程质量达标率100%。</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成果显著：</w:t>
      </w:r>
      <w:r>
        <w:rPr>
          <w:rFonts w:hint="default" w:ascii="Times New Roman" w:hAnsi="Times New Roman" w:eastAsia="仿宋_GB2312" w:cs="Times New Roman"/>
          <w:color w:val="000000"/>
          <w:sz w:val="32"/>
          <w:szCs w:val="32"/>
          <w:highlight w:val="none"/>
          <w:lang w:val="en-US" w:eastAsia="zh-CN"/>
        </w:rPr>
        <w:t>实现先心病三级防控管理人群600万人，3D打印、混合虚拟，现实增强等人工智能技术进入临床医疗试用，推动复杂先心病及胎儿宫内手术技术日趋成熟；加快社区高血压大数据平台和发病预警模型建设，推进智能化防、治、研三位一体的社区高血压综合防治模式建设，并逐步在全省全面推广，实现500万以上人群的常态化筛查，150万高血压人群的规范管理；培养人才，推动高危复杂冠心病诊疗技术进行临床普及，造福广大人民群众。进一步完善广东省心血管病医疗服务体系，围绕加快推进广东建设具有全球影响力的医疗科技创新中心发展目标，提高心血管病临床专科服务能力建设与水平。近年来，心研所的工作重心进一步下移，承担了全省心血管疾病防治技术指导职能，建设了包括社区基层医院、县和地市级医疗机构及区域医疗中心的新型的“四级”网络。同时，心研所通过组建心血管专科联盟，积极开展援疆、援藏、对口帮扶工作，有效提升了基层医院的心血管疾病诊治能力，带动了区域医疗水平的进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其一，</w:t>
      </w:r>
      <w:r>
        <w:rPr>
          <w:rFonts w:hint="default" w:ascii="Times New Roman" w:hAnsi="Times New Roman" w:eastAsia="仿宋_GB2312" w:cs="Times New Roman"/>
          <w:color w:val="000000"/>
          <w:sz w:val="32"/>
          <w:szCs w:val="32"/>
          <w:highlight w:val="none"/>
          <w:lang w:eastAsia="zh-CN"/>
        </w:rPr>
        <w:t>搭建转化应用研究平台。</w:t>
      </w:r>
      <w:r>
        <w:rPr>
          <w:rFonts w:hint="default" w:ascii="Times New Roman" w:hAnsi="Times New Roman" w:eastAsia="仿宋_GB2312" w:cs="Times New Roman"/>
          <w:color w:val="000000"/>
          <w:sz w:val="32"/>
          <w:szCs w:val="32"/>
          <w:highlight w:val="none"/>
        </w:rPr>
        <w:t>从医院制剂、新药研发、医疗器械、临床检测多维度分类调研，梳理医院科技成果项目，完善构建了“创新链-产业链-技术链-人才类-服务链-资金链”全链条发展模式，完善了“省医模式”下的成果转化之路。</w:t>
      </w:r>
      <w:r>
        <w:rPr>
          <w:rFonts w:hint="default" w:ascii="Times New Roman" w:hAnsi="Times New Roman" w:eastAsia="仿宋_GB2312" w:cs="Times New Roman"/>
          <w:b/>
          <w:bCs/>
          <w:color w:val="000000"/>
          <w:sz w:val="32"/>
          <w:szCs w:val="32"/>
          <w:highlight w:val="none"/>
        </w:rPr>
        <w:t>一</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根据生物可降解房间隔缺损</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ASD</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封堵器项目目标，该项目已入组了超过100例的临床试验患者，后续将进一步加快项目的转化和上临床审批。</w:t>
      </w:r>
      <w:r>
        <w:rPr>
          <w:rFonts w:hint="default" w:ascii="Times New Roman" w:hAnsi="Times New Roman" w:eastAsia="仿宋_GB2312" w:cs="Times New Roman"/>
          <w:b/>
          <w:bCs/>
          <w:color w:val="000000"/>
          <w:sz w:val="32"/>
          <w:szCs w:val="32"/>
          <w:highlight w:val="none"/>
        </w:rPr>
        <w:t>二</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多模块心血管影像数据与AR、VR和人工智能等技术，在小儿心脏外科先心病等结构性心脏病诊治中运用。</w:t>
      </w:r>
      <w:r>
        <w:rPr>
          <w:rFonts w:hint="default" w:ascii="Times New Roman" w:hAnsi="Times New Roman" w:eastAsia="仿宋_GB2312" w:cs="Times New Roman"/>
          <w:b/>
          <w:bCs/>
          <w:color w:val="000000"/>
          <w:sz w:val="32"/>
          <w:szCs w:val="32"/>
          <w:highlight w:val="none"/>
        </w:rPr>
        <w:t>三</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右心室辅助泵项目以与广东省科学院生物医学工程研究所进行模型理论建模、优化完善模型后打造原理样机。</w:t>
      </w:r>
      <w:r>
        <w:rPr>
          <w:rFonts w:hint="default" w:ascii="Times New Roman" w:hAnsi="Times New Roman" w:eastAsia="仿宋_GB2312" w:cs="Times New Roman"/>
          <w:b/>
          <w:bCs/>
          <w:color w:val="000000"/>
          <w:sz w:val="32"/>
          <w:szCs w:val="32"/>
          <w:highlight w:val="none"/>
        </w:rPr>
        <w:t>四</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目前建成了广东先心网，包括120万监控人群数据，形成了先心病基因数据网络，为后续临床研究和实验提供支撑。</w:t>
      </w:r>
      <w:r>
        <w:rPr>
          <w:rFonts w:hint="default" w:ascii="Times New Roman" w:hAnsi="Times New Roman" w:eastAsia="仿宋_GB2312" w:cs="Times New Roman"/>
          <w:b/>
          <w:bCs/>
          <w:color w:val="000000"/>
          <w:sz w:val="32"/>
          <w:szCs w:val="32"/>
          <w:highlight w:val="none"/>
        </w:rPr>
        <w:t>五</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基于磁定位功能心脏标测消融导管和体表参考电极联合使用，通过采集和分析心脏电生理活动，显示人体心脏三维图形，为后续临床试验和研究提供支撑。六</w:t>
      </w:r>
      <w:r>
        <w:rPr>
          <w:rFonts w:hint="default" w:ascii="Times New Roman" w:hAnsi="Times New Roman" w:eastAsia="仿宋_GB2312" w:cs="Times New Roman"/>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rPr>
        <w:t>持续开展TAVR技术培训，2024年心内科、心外科已完成累计100例以上的主动脉瓣疾病TAVR手术治疗。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其二，</w:t>
      </w:r>
      <w:r>
        <w:rPr>
          <w:rFonts w:hint="default" w:ascii="Times New Roman" w:hAnsi="Times New Roman" w:eastAsia="仿宋_GB2312" w:cs="Times New Roman"/>
          <w:color w:val="000000"/>
          <w:sz w:val="32"/>
          <w:szCs w:val="32"/>
          <w:highlight w:val="none"/>
        </w:rPr>
        <w:t>人才</w:t>
      </w:r>
      <w:r>
        <w:rPr>
          <w:rFonts w:hint="default" w:ascii="Times New Roman" w:hAnsi="Times New Roman" w:eastAsia="仿宋_GB2312" w:cs="Times New Roman"/>
          <w:color w:val="000000"/>
          <w:sz w:val="32"/>
          <w:szCs w:val="32"/>
          <w:highlight w:val="none"/>
          <w:lang w:val="en-US" w:eastAsia="zh-CN"/>
        </w:rPr>
        <w:t>建设方面。共培养</w:t>
      </w:r>
      <w:r>
        <w:rPr>
          <w:rFonts w:hint="default" w:ascii="Times New Roman" w:hAnsi="Times New Roman" w:eastAsia="仿宋_GB2312" w:cs="Times New Roman"/>
          <w:color w:val="000000"/>
          <w:sz w:val="32"/>
          <w:szCs w:val="32"/>
          <w:highlight w:val="none"/>
          <w:lang w:eastAsia="zh-CN"/>
        </w:rPr>
        <w:t>70</w:t>
      </w:r>
      <w:r>
        <w:rPr>
          <w:rFonts w:hint="default" w:ascii="Times New Roman" w:hAnsi="Times New Roman" w:eastAsia="仿宋_GB2312" w:cs="Times New Roman"/>
          <w:color w:val="000000"/>
          <w:sz w:val="32"/>
          <w:szCs w:val="32"/>
          <w:highlight w:val="none"/>
          <w:lang w:val="en-US" w:eastAsia="zh-CN"/>
        </w:rPr>
        <w:t>名</w:t>
      </w:r>
      <w:r>
        <w:rPr>
          <w:rFonts w:hint="default" w:ascii="Times New Roman" w:hAnsi="Times New Roman" w:eastAsia="仿宋_GB2312" w:cs="Times New Roman"/>
          <w:color w:val="000000"/>
          <w:sz w:val="32"/>
          <w:szCs w:val="32"/>
          <w:highlight w:val="none"/>
        </w:rPr>
        <w:t>心血管专业人才</w:t>
      </w:r>
      <w:r>
        <w:rPr>
          <w:rFonts w:hint="default" w:ascii="Times New Roman" w:hAnsi="Times New Roman" w:eastAsia="仿宋_GB2312" w:cs="Times New Roman"/>
          <w:color w:val="000000"/>
          <w:sz w:val="32"/>
          <w:szCs w:val="32"/>
          <w:highlight w:val="none"/>
          <w:lang w:eastAsia="zh-CN"/>
        </w:rPr>
        <w:t>（毕业博士8人，硕士62人）。</w:t>
      </w:r>
      <w:r>
        <w:rPr>
          <w:rFonts w:hint="default" w:ascii="Times New Roman" w:hAnsi="Times New Roman" w:eastAsia="仿宋_GB2312" w:cs="Times New Roman"/>
          <w:color w:val="000000"/>
          <w:sz w:val="32"/>
          <w:szCs w:val="32"/>
          <w:highlight w:val="none"/>
        </w:rPr>
        <w:t>引进团队</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2024年，中心培养国家级青年人才团队1个；省级领军人才团队1个、省级青年人才3名；引进医院第三层次人才</w:t>
      </w:r>
      <w:r>
        <w:rPr>
          <w:rFonts w:hint="eastAsia" w:ascii="Times New Roman" w:hAnsi="Times New Roman" w:cs="Times New Roman"/>
          <w:color w:val="000000"/>
          <w:sz w:val="32"/>
          <w:szCs w:val="32"/>
          <w:highlight w:val="none"/>
          <w:lang w:val="en-US" w:eastAsia="zh-CN"/>
        </w:rPr>
        <w:t>1人</w:t>
      </w: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val="en-US" w:eastAsia="zh-CN"/>
        </w:rPr>
        <w:t>1人</w:t>
      </w:r>
      <w:r>
        <w:rPr>
          <w:rFonts w:hint="default" w:ascii="Times New Roman" w:hAnsi="Times New Roman" w:eastAsia="仿宋_GB2312" w:cs="Times New Roman"/>
          <w:color w:val="000000"/>
          <w:sz w:val="32"/>
          <w:szCs w:val="32"/>
          <w:highlight w:val="none"/>
        </w:rPr>
        <w:t>入选第八批“广东特支计划”领军人才项目。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其三，科研成果。共发表文章303篇。</w:t>
      </w:r>
      <w:r>
        <w:rPr>
          <w:rFonts w:hint="default" w:ascii="Times New Roman" w:hAnsi="Times New Roman" w:eastAsia="仿宋_GB2312" w:cs="Times New Roman"/>
          <w:color w:val="000000"/>
          <w:sz w:val="32"/>
          <w:szCs w:val="32"/>
          <w:highlight w:val="none"/>
        </w:rPr>
        <w:t>SCI文章195篇，中文文章108</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实现6项科研成果转化数。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②广东国际精准医学中心。</w:t>
      </w:r>
    </w:p>
    <w:p>
      <w:pPr>
        <w:pStyle w:val="5"/>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一是</w:t>
      </w:r>
      <w:r>
        <w:rPr>
          <w:rFonts w:hint="default" w:ascii="Times New Roman" w:hAnsi="Times New Roman" w:eastAsia="仿宋_GB2312" w:cs="Times New Roman"/>
          <w:b w:val="0"/>
          <w:bCs w:val="0"/>
          <w:color w:val="000000"/>
          <w:kern w:val="2"/>
          <w:sz w:val="32"/>
          <w:szCs w:val="32"/>
          <w:highlight w:val="none"/>
          <w:lang w:val="en-US" w:eastAsia="zh-CN" w:bidi="ar-SA"/>
        </w:rPr>
        <w:t>疑难重症及罕见病诊治中心建设情况</w:t>
      </w:r>
      <w:r>
        <w:rPr>
          <w:rFonts w:hint="eastAsia"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以人工智能、分子与功能成像为核心的疑难重症及罕见病精准诊断平台及以智能、多模态融合、微创为核心的手术和介入治疗平台建设初显成效。购置的设备助力医院建成成熟的疑难危重重症诊疗中心。</w:t>
      </w:r>
      <w:r>
        <w:rPr>
          <w:rFonts w:hint="default" w:ascii="Times New Roman" w:hAnsi="Times New Roman" w:eastAsia="仿宋_GB2312" w:cs="Times New Roman"/>
          <w:b/>
          <w:bCs/>
          <w:color w:val="000000"/>
          <w:kern w:val="2"/>
          <w:sz w:val="32"/>
          <w:szCs w:val="32"/>
          <w:highlight w:val="none"/>
          <w:lang w:val="en-US" w:eastAsia="zh-CN" w:bidi="ar-SA"/>
        </w:rPr>
        <w:t>一方面，</w:t>
      </w:r>
      <w:r>
        <w:rPr>
          <w:rFonts w:hint="default" w:ascii="Times New Roman" w:hAnsi="Times New Roman" w:eastAsia="仿宋_GB2312" w:cs="Times New Roman"/>
          <w:color w:val="000000"/>
          <w:kern w:val="2"/>
          <w:sz w:val="32"/>
          <w:szCs w:val="32"/>
          <w:highlight w:val="none"/>
          <w:lang w:val="en-US" w:eastAsia="zh-CN" w:bidi="ar-SA"/>
        </w:rPr>
        <w:t>以智能、多模态融合、微创为核心的手术和介入治疗平台方面，引进多项重点项目，提升平台水平。医院2024年完成2台内窥镜手术控制系统验收款支付，设备到位大力提升医院胸外科、泌尿外科、普外科（甲状腺乳腺外科、肝胆外科、胃肠外科）、妇科、心脏外科、小儿外科等科室手术水平，支撑医院可视化微创诊疗平台建设，提升疑难重症诊治水平。另外耳鼻喉专科更新的二氧化碳激光、骨科补充的固定式电池供电骨组织手术设备、神经外科高端手术床也在2024年完成验收款支付，进一步提升医院可视化微创平台精准诊治水平，为各专科供给了大量高精尖技术的装备保障。</w:t>
      </w:r>
      <w:r>
        <w:rPr>
          <w:rFonts w:hint="default" w:ascii="Times New Roman" w:hAnsi="Times New Roman" w:eastAsia="仿宋_GB2312" w:cs="Times New Roman"/>
          <w:b/>
          <w:bCs/>
          <w:color w:val="000000"/>
          <w:kern w:val="2"/>
          <w:sz w:val="32"/>
          <w:szCs w:val="32"/>
          <w:highlight w:val="none"/>
          <w:lang w:val="en-US" w:eastAsia="zh-CN" w:bidi="ar-SA"/>
        </w:rPr>
        <w:t>另一方面，</w:t>
      </w:r>
      <w:r>
        <w:rPr>
          <w:rFonts w:hint="default" w:ascii="Times New Roman" w:hAnsi="Times New Roman" w:eastAsia="仿宋_GB2312" w:cs="Times New Roman"/>
          <w:color w:val="000000"/>
          <w:kern w:val="2"/>
          <w:sz w:val="32"/>
          <w:szCs w:val="32"/>
          <w:highlight w:val="none"/>
          <w:lang w:val="en-US" w:eastAsia="zh-CN" w:bidi="ar-SA"/>
        </w:rPr>
        <w:t>在以人工智能、分子与功能成像为核心的疑难重症及罕见病精准诊断平台方面，装备保障进一步改善升级。其中耳鼻咽喉科支付1套3D鼻内窥镜综合系统验收款。诊断设备相比旧机，诊断水平大大提升，进一步提升了医院的诊疗水平，新到位的设备具备多3D显像、双镜联合等该领域最新技术，提升医院诊疗能力，为平台建设工作提质增效。</w:t>
      </w:r>
    </w:p>
    <w:p>
      <w:pPr>
        <w:pStyle w:val="5"/>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二是</w:t>
      </w:r>
      <w:r>
        <w:rPr>
          <w:rFonts w:hint="default" w:ascii="Times New Roman" w:hAnsi="Times New Roman" w:eastAsia="仿宋_GB2312" w:cs="Times New Roman"/>
          <w:b w:val="0"/>
          <w:bCs w:val="0"/>
          <w:color w:val="000000"/>
          <w:kern w:val="2"/>
          <w:sz w:val="32"/>
          <w:szCs w:val="32"/>
          <w:highlight w:val="none"/>
          <w:lang w:val="en-US" w:eastAsia="zh-CN" w:bidi="ar-SA"/>
        </w:rPr>
        <w:t>精准医学科学创新研究平台建设情况</w:t>
      </w:r>
      <w:r>
        <w:rPr>
          <w:rFonts w:hint="default" w:ascii="Times New Roman" w:hAnsi="Times New Roman" w:eastAsia="仿宋_GB2312" w:cs="Times New Roman"/>
          <w:color w:val="000000"/>
          <w:kern w:val="2"/>
          <w:sz w:val="32"/>
          <w:szCs w:val="32"/>
          <w:highlight w:val="none"/>
          <w:lang w:val="en-US" w:eastAsia="zh-CN" w:bidi="ar-SA"/>
        </w:rPr>
        <w:t>。已按计划搭建起生物资源样本库、多组学研究平台、分子生物学平台、生物信息大数据平台、动物平台、干细胞研究平台、微生态研究、类器官研究、无菌动物平台等9大平台。截止2024年底，平台拥有各类科研仪器近1140台（其中单价超过100万元的大型仪器80余台）。纳入仪器共享系统开放共享使用的有280余台，已为精准医学研究院内外290余个课题组、超1400名科研人员提供服务。仪器共享系统目前运行平稳，所有科研仪器使用总机时超过26.3万小时，大型仪器年平均使用机时超过600小时，利用率达到90%，为各团队的科研项目顺利推进提供的坚实的保障。</w:t>
      </w:r>
    </w:p>
    <w:p>
      <w:pPr>
        <w:pStyle w:val="5"/>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color w:val="000000"/>
          <w:kern w:val="2"/>
          <w:sz w:val="32"/>
          <w:szCs w:val="32"/>
          <w:highlight w:val="none"/>
          <w:lang w:val="en-US" w:eastAsia="zh-CN" w:bidi="ar-SA"/>
        </w:rPr>
        <w:t>三是</w:t>
      </w:r>
      <w:r>
        <w:rPr>
          <w:rFonts w:hint="default" w:ascii="Times New Roman" w:hAnsi="Times New Roman" w:eastAsia="仿宋_GB2312" w:cs="Times New Roman"/>
          <w:b w:val="0"/>
          <w:bCs w:val="0"/>
          <w:color w:val="000000"/>
          <w:kern w:val="2"/>
          <w:sz w:val="32"/>
          <w:szCs w:val="32"/>
          <w:highlight w:val="none"/>
          <w:lang w:val="en-US" w:eastAsia="zh-CN" w:bidi="ar-SA"/>
        </w:rPr>
        <w:t>国际一流创新研究团队建设情况。</w:t>
      </w:r>
      <w:r>
        <w:rPr>
          <w:rFonts w:hint="default" w:ascii="Times New Roman" w:hAnsi="Times New Roman" w:eastAsia="仿宋_GB2312" w:cs="Times New Roman"/>
          <w:color w:val="000000"/>
          <w:kern w:val="2"/>
          <w:sz w:val="32"/>
          <w:szCs w:val="32"/>
          <w:highlight w:val="none"/>
          <w:lang w:val="en-US" w:eastAsia="zh-CN" w:bidi="ar-SA"/>
        </w:rPr>
        <w:t>持续加大高层次人才引进力度。2024年医院有9名学者申请中山大学“百人计划”，6名人才到岗，其中3人为国家级青年人才。2人入选海外优青项目，1人入选教育部海外博士后引进项目（第二类），1个引进人才团队入选广东省珠江人才创新科研团队项目（全校共2个团队），4人入选省重大人才工程引进青年拔尖人才项目。有组织地做好本土人才培育，持续完善“启航-攀登-领军”全周期、全链条的医学科技人才培养体系。2024年医院1人入选享受政府特殊津贴专家，1人入选国家万人领军项目，4人入选国家卫健委医学高层次人才项目。9人入选广东省重大人才工程领军人才项目，其中领军人才3人，青年拔尖人才6人。1个团队获得中山大学“芙兰奖”。新选拔柯麟新锐12人、柯麟新星12人，新入职柯麟新苗人才18人。</w:t>
      </w:r>
    </w:p>
    <w:p>
      <w:pPr>
        <w:pStyle w:val="5"/>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bidi="ar-SA"/>
        </w:rPr>
        <w:t>四是</w:t>
      </w:r>
      <w:r>
        <w:rPr>
          <w:rFonts w:hint="default" w:ascii="Times New Roman" w:hAnsi="Times New Roman" w:eastAsia="仿宋_GB2312" w:cs="Times New Roman"/>
          <w:b w:val="0"/>
          <w:bCs w:val="0"/>
          <w:color w:val="000000"/>
          <w:kern w:val="2"/>
          <w:sz w:val="32"/>
          <w:szCs w:val="32"/>
          <w:highlight w:val="none"/>
          <w:lang w:val="en-US" w:eastAsia="zh-CN" w:bidi="ar-SA"/>
        </w:rPr>
        <w:t>智慧医院建设情况。</w:t>
      </w:r>
      <w:r>
        <w:rPr>
          <w:rFonts w:hint="default" w:ascii="Times New Roman" w:hAnsi="Times New Roman" w:eastAsia="仿宋_GB2312" w:cs="Times New Roman"/>
          <w:color w:val="000000"/>
          <w:kern w:val="2"/>
          <w:sz w:val="32"/>
          <w:szCs w:val="32"/>
          <w:highlight w:val="none"/>
          <w:lang w:val="en-US" w:eastAsia="zh-CN" w:bidi="ar-SA"/>
        </w:rPr>
        <w:t>2023年3月医院顺利通过国家卫健委医疗健康信息互联互通标准化成熟度五级乙等测评；6月通过医院管理研究所智慧服务分级评估三级；当前正全力冲刺电子病历评价六级，已通过省内初评。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③</w:t>
      </w:r>
      <w:r>
        <w:rPr>
          <w:rFonts w:hint="default" w:ascii="Times New Roman" w:hAnsi="Times New Roman" w:eastAsia="仿宋_GB2312" w:cs="Times New Roman"/>
          <w:color w:val="000000"/>
          <w:sz w:val="32"/>
          <w:szCs w:val="32"/>
          <w:highlight w:val="none"/>
          <w:lang w:eastAsia="zh-CN"/>
        </w:rPr>
        <w:t>广东乳腺</w:t>
      </w:r>
      <w:r>
        <w:rPr>
          <w:rFonts w:hint="eastAsia" w:ascii="Times New Roman" w:hAnsi="Times New Roman" w:cs="Times New Roman"/>
          <w:color w:val="000000"/>
          <w:sz w:val="32"/>
          <w:szCs w:val="32"/>
          <w:highlight w:val="none"/>
          <w:lang w:val="en-US" w:eastAsia="zh-CN"/>
        </w:rPr>
        <w:t>肿瘤防治</w:t>
      </w:r>
      <w:r>
        <w:rPr>
          <w:rFonts w:hint="default" w:ascii="Times New Roman" w:hAnsi="Times New Roman" w:eastAsia="仿宋_GB2312" w:cs="Times New Roman"/>
          <w:color w:val="000000"/>
          <w:sz w:val="32"/>
          <w:szCs w:val="32"/>
          <w:highlight w:val="none"/>
          <w:lang w:eastAsia="zh-CN"/>
        </w:rPr>
        <w:t>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完成基</w:t>
      </w:r>
      <w:r>
        <w:rPr>
          <w:rFonts w:hint="default" w:ascii="Times New Roman" w:hAnsi="Times New Roman" w:eastAsia="仿宋_GB2312" w:cs="Times New Roman"/>
          <w:color w:val="000000"/>
          <w:sz w:val="32"/>
          <w:szCs w:val="32"/>
          <w:highlight w:val="none"/>
        </w:rPr>
        <w:t>坑围护及降排水工程、土石方工程、桩基础工程施工，同时完成地下结构土建工程施工。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④广东国际肾脏病医学中心。</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sz w:val="32"/>
          <w:szCs w:val="32"/>
          <w:highlight w:val="none"/>
          <w:lang w:val="en-US" w:eastAsia="zh-CN"/>
        </w:rPr>
        <w:t>已完成土方开挖工作，并完成至地下室负四层梁板墙柱建设工作和基坑支护工作。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⑤国家创伤医学中心。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已完成施工图设计，以及完成施工单位、监理单位的招标工作。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楷体_GB2312" w:cs="Times New Roman"/>
          <w:b w:val="0"/>
          <w:bCs w:val="0"/>
          <w:color w:val="000000"/>
          <w:sz w:val="32"/>
          <w:szCs w:val="32"/>
          <w:highlight w:val="none"/>
        </w:rPr>
      </w:pPr>
      <w:r>
        <w:rPr>
          <w:rFonts w:hint="default" w:ascii="Times New Roman" w:hAnsi="Times New Roman" w:eastAsia="楷体_GB2312" w:cs="Times New Roman"/>
          <w:b w:val="0"/>
          <w:bCs w:val="0"/>
          <w:color w:val="000000"/>
          <w:sz w:val="32"/>
          <w:szCs w:val="32"/>
          <w:highlight w:val="none"/>
        </w:rPr>
        <w:t>（三）专项资金使用绩效存在的问题</w:t>
      </w:r>
      <w:r>
        <w:rPr>
          <w:rFonts w:hint="default" w:ascii="Times New Roman" w:hAnsi="Times New Roman" w:eastAsia="楷体_GB2312" w:cs="Times New Roman"/>
          <w:b w:val="0"/>
          <w:bCs w:val="0"/>
          <w:color w:val="000000"/>
          <w:sz w:val="32"/>
          <w:szCs w:val="32"/>
          <w:highlight w:val="none"/>
          <w:lang w:eastAsia="zh-CN"/>
        </w:rPr>
        <w:t>及改进措施。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1.高水平医院建设资金。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（1）预算执行（支出率78.42%）有待加强</w:t>
      </w:r>
      <w:r>
        <w:rPr>
          <w:rFonts w:hint="eastAsia" w:ascii="Times New Roman" w:hAnsi="Times New Roman" w:cs="Times New Roman"/>
          <w:b w:val="0"/>
          <w:bCs w:val="0"/>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val="en-US" w:eastAsia="zh-CN"/>
        </w:rPr>
        <w:t>主要原因：</w:t>
      </w:r>
      <w:r>
        <w:rPr>
          <w:rFonts w:hint="default" w:ascii="Times New Roman" w:hAnsi="Times New Roman" w:eastAsia="仿宋_GB2312" w:cs="Times New Roman"/>
          <w:b w:val="0"/>
          <w:bCs w:val="0"/>
          <w:color w:val="000000"/>
          <w:sz w:val="32"/>
          <w:szCs w:val="32"/>
          <w:highlight w:val="none"/>
          <w:lang w:val="en-US" w:eastAsia="zh-CN"/>
        </w:rPr>
        <w:t>部分地市财政库款困难，专项资金拨付不及时。</w:t>
      </w:r>
      <w:r>
        <w:rPr>
          <w:rFonts w:hint="default" w:ascii="Times New Roman" w:hAnsi="Times New Roman" w:eastAsia="仿宋_GB2312" w:cs="Times New Roman"/>
          <w:b/>
          <w:bCs/>
          <w:color w:val="000000"/>
          <w:sz w:val="32"/>
          <w:szCs w:val="32"/>
          <w:highlight w:val="none"/>
          <w:lang w:val="en-US" w:eastAsia="zh-CN"/>
        </w:rPr>
        <w:t>改进措施：</w:t>
      </w:r>
      <w:r>
        <w:rPr>
          <w:rFonts w:hint="default" w:ascii="Times New Roman" w:hAnsi="Times New Roman" w:eastAsia="仿宋_GB2312" w:cs="Times New Roman"/>
          <w:b w:val="0"/>
          <w:bCs w:val="0"/>
          <w:color w:val="000000"/>
          <w:sz w:val="32"/>
          <w:szCs w:val="32"/>
          <w:highlight w:val="none"/>
          <w:lang w:val="en-US" w:eastAsia="zh-CN"/>
        </w:rPr>
        <w:t>强化省市协同联动，着力提升预算执行率。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b w:val="0"/>
          <w:bCs w:val="0"/>
          <w:color w:val="000000"/>
          <w:sz w:val="32"/>
          <w:szCs w:val="32"/>
          <w:highlight w:val="none"/>
          <w:lang w:val="en-US" w:eastAsia="zh-CN"/>
        </w:rPr>
        <w:t>加强沟通协调，会同上级主管部门与市财政加强沟通协调，市财政要根据项目实施进度及时拨付资金，尽可能减少资金拨付环节和资金拨付时间，避免资金截留。</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b w:val="0"/>
          <w:bCs w:val="0"/>
          <w:color w:val="000000"/>
          <w:sz w:val="32"/>
          <w:szCs w:val="32"/>
          <w:highlight w:val="none"/>
          <w:lang w:val="en-US" w:eastAsia="zh-CN"/>
        </w:rPr>
        <w:t>严格资金管理，建立“预算—执行—决算”闭环系统，强化追踪问效，确保专项资金得到合理合规高效使用。</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（2）部分绩效目标发生偏离。</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汉仪书宋二S"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①</w:t>
      </w:r>
      <w:r>
        <w:rPr>
          <w:rFonts w:hint="default" w:ascii="Times New Roman" w:hAnsi="Times New Roman" w:eastAsia="仿宋_GB2312" w:cs="Times New Roman"/>
          <w:color w:val="000000"/>
          <w:sz w:val="32"/>
          <w:szCs w:val="32"/>
          <w:highlight w:val="none"/>
        </w:rPr>
        <w:t>“获得自然科学基金项目”指标完成率达2340%，大幅超150%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lang w:eastAsia="zh-CN"/>
        </w:rPr>
        <w:t>大</w:t>
      </w:r>
      <w:r>
        <w:rPr>
          <w:rFonts w:hint="default" w:ascii="Times New Roman" w:hAnsi="Times New Roman" w:eastAsia="仿宋_GB2312" w:cs="Times New Roman"/>
          <w:color w:val="000000"/>
          <w:sz w:val="32"/>
          <w:szCs w:val="32"/>
          <w:highlight w:val="none"/>
          <w:lang w:val="en-US" w:eastAsia="zh-CN"/>
        </w:rPr>
        <w:t>部分</w:t>
      </w:r>
      <w:r>
        <w:rPr>
          <w:rFonts w:hint="default" w:ascii="Times New Roman" w:hAnsi="Times New Roman" w:eastAsia="仿宋_GB2312" w:cs="Times New Roman"/>
          <w:color w:val="000000"/>
          <w:sz w:val="32"/>
          <w:szCs w:val="32"/>
          <w:highlight w:val="none"/>
        </w:rPr>
        <w:t>高水平医院加大投入，加强人才培育引进，优化设备配置，不断增强临床和科研能力建设，推动临床诊疗技术创新、应用研究和成果转化在多个关键领域实现重大突破，导致各项目单位实际完成数量远超过年度目标值。</w:t>
      </w:r>
      <w:r>
        <w:rPr>
          <w:rFonts w:hint="default" w:ascii="Times New Roman" w:hAnsi="Times New Roman" w:eastAsia="仿宋_GB2312" w:cs="Times New Roman"/>
          <w:color w:val="000000"/>
          <w:sz w:val="32"/>
          <w:szCs w:val="32"/>
          <w:highlight w:val="none"/>
          <w:lang w:val="en-US" w:eastAsia="zh-CN"/>
        </w:rPr>
        <w:t>其中，</w:t>
      </w:r>
      <w:r>
        <w:rPr>
          <w:rFonts w:hint="default" w:ascii="Times New Roman" w:hAnsi="Times New Roman" w:eastAsia="仿宋_GB2312" w:cs="Times New Roman"/>
          <w:b w:val="0"/>
          <w:bCs w:val="0"/>
          <w:color w:val="000000"/>
          <w:sz w:val="32"/>
          <w:szCs w:val="32"/>
          <w:highlight w:val="none"/>
          <w:u w:val="single"/>
          <w:lang w:val="en-US" w:eastAsia="zh-CN"/>
        </w:rPr>
        <w:t>暨南大学附属第一医院</w:t>
      </w:r>
      <w:r>
        <w:rPr>
          <w:rFonts w:hint="default" w:ascii="Times New Roman" w:hAnsi="Times New Roman" w:eastAsia="仿宋_GB2312" w:cs="Times New Roman"/>
          <w:color w:val="000000"/>
          <w:sz w:val="32"/>
          <w:szCs w:val="32"/>
          <w:highlight w:val="none"/>
          <w:lang w:val="en-US" w:eastAsia="zh-CN"/>
        </w:rPr>
        <w:t>的科研工作一直是医院的重点工作内容，新一届院领导班子更加重视我院作为研究型医院的定位。首先挖掘内部潜力，鼓励和培养在职员工的科研积极性和主动性。其次，积极加强和暨南大学相关学科的联系，鼓励医学交叉学科的发展和融合，行程相互促进的良性机制。最后是加强博士后教育，引进国内外优秀人才。</w:t>
      </w:r>
      <w:r>
        <w:rPr>
          <w:rFonts w:hint="default" w:ascii="Times New Roman" w:hAnsi="Times New Roman" w:eastAsia="仿宋_GB2312" w:cs="Times New Roman"/>
          <w:color w:val="000000"/>
          <w:sz w:val="32"/>
          <w:szCs w:val="32"/>
          <w:highlight w:val="none"/>
        </w:rPr>
        <w:t>多措并举提高我院国自然自然项目立项数量，</w:t>
      </w:r>
      <w:r>
        <w:rPr>
          <w:rFonts w:hint="default" w:ascii="Times New Roman" w:hAnsi="Times New Roman" w:eastAsia="仿宋_GB2312" w:cs="Times New Roman"/>
          <w:color w:val="000000"/>
          <w:sz w:val="32"/>
          <w:szCs w:val="32"/>
          <w:highlight w:val="none"/>
          <w:lang w:val="en-US" w:eastAsia="zh-CN"/>
        </w:rPr>
        <w:t>故</w:t>
      </w:r>
      <w:r>
        <w:rPr>
          <w:rFonts w:hint="default" w:ascii="Times New Roman" w:hAnsi="Times New Roman" w:eastAsia="仿宋_GB2312" w:cs="Times New Roman"/>
          <w:color w:val="000000"/>
          <w:sz w:val="32"/>
          <w:szCs w:val="32"/>
          <w:highlight w:val="none"/>
        </w:rPr>
        <w:t>自然科学基金项目</w:t>
      </w:r>
      <w:r>
        <w:rPr>
          <w:rFonts w:hint="default" w:ascii="Times New Roman" w:hAnsi="Times New Roman" w:eastAsia="仿宋_GB2312" w:cs="Times New Roman"/>
          <w:color w:val="000000"/>
          <w:sz w:val="32"/>
          <w:szCs w:val="32"/>
          <w:highlight w:val="none"/>
          <w:lang w:val="en-US" w:eastAsia="zh-CN"/>
        </w:rPr>
        <w:t>超额完成任务。</w:t>
      </w:r>
      <w:r>
        <w:rPr>
          <w:rFonts w:hint="default" w:ascii="Times New Roman" w:hAnsi="Times New Roman" w:eastAsia="仿宋_GB2312" w:cs="Times New Roman"/>
          <w:color w:val="000000"/>
          <w:sz w:val="32"/>
          <w:szCs w:val="32"/>
          <w:highlight w:val="none"/>
        </w:rPr>
        <w:t>在高水平医院资金的支持下，</w:t>
      </w:r>
      <w:r>
        <w:rPr>
          <w:rFonts w:hint="default" w:ascii="Times New Roman" w:hAnsi="Times New Roman" w:eastAsia="仿宋_GB2312" w:cs="Times New Roman"/>
          <w:b w:val="0"/>
          <w:bCs w:val="0"/>
          <w:color w:val="000000"/>
          <w:sz w:val="32"/>
          <w:szCs w:val="32"/>
          <w:highlight w:val="none"/>
          <w:u w:val="single"/>
          <w:lang w:val="en-US" w:eastAsia="zh-CN"/>
        </w:rPr>
        <w:t>深圳市儿童</w:t>
      </w:r>
      <w:r>
        <w:rPr>
          <w:rFonts w:hint="default" w:ascii="Times New Roman" w:hAnsi="Times New Roman" w:eastAsia="仿宋_GB2312" w:cs="Times New Roman"/>
          <w:b w:val="0"/>
          <w:bCs w:val="0"/>
          <w:color w:val="000000"/>
          <w:sz w:val="32"/>
          <w:szCs w:val="32"/>
          <w:highlight w:val="none"/>
          <w:u w:val="single"/>
        </w:rPr>
        <w:t>医院</w:t>
      </w:r>
      <w:r>
        <w:rPr>
          <w:rFonts w:hint="default" w:ascii="Times New Roman" w:hAnsi="Times New Roman" w:eastAsia="仿宋_GB2312" w:cs="Times New Roman"/>
          <w:color w:val="000000"/>
          <w:sz w:val="32"/>
          <w:szCs w:val="32"/>
          <w:highlight w:val="none"/>
        </w:rPr>
        <w:t>高度重视科研发展，通过引育专职科研人员、博士后；设置“院内课题、院内学科、院内平台”三大专项；实施科研奖励等举措，鼓励临床人员积极从事科研工作；同时聘请院外专家对我院申报项目予以指导。多措并举提高我院国自然自然项目立项数量，使我院国自然项目立项数量再创新高。</w:t>
      </w:r>
      <w:r>
        <w:rPr>
          <w:rFonts w:hint="default" w:ascii="Times New Roman" w:hAnsi="Times New Roman" w:eastAsia="仿宋_GB2312" w:cs="Times New Roman"/>
          <w:b w:val="0"/>
          <w:bCs w:val="0"/>
          <w:color w:val="000000"/>
          <w:sz w:val="32"/>
          <w:szCs w:val="32"/>
          <w:highlight w:val="none"/>
          <w:u w:val="single"/>
          <w:lang w:val="en-US" w:eastAsia="zh-CN"/>
        </w:rPr>
        <w:t>东莞市人民医院</w:t>
      </w:r>
      <w:r>
        <w:rPr>
          <w:rFonts w:hint="default" w:ascii="Times New Roman" w:hAnsi="Times New Roman" w:eastAsia="仿宋_GB2312" w:cs="Times New Roman"/>
          <w:color w:val="000000"/>
          <w:sz w:val="32"/>
          <w:szCs w:val="32"/>
          <w:highlight w:val="none"/>
          <w:lang w:val="en-US" w:eastAsia="zh-CN"/>
        </w:rPr>
        <w:t>于2020年12月东莞市政府与南方医科大学在东莞市人民医院的基础上，共建“南方医科大学附属东莞医院”，2023年揭牌为“南方医科大学第十附属医院”。在南方医科大学的支持和指导下，我院以校地共建为契机，紧密围绕着国家三级公立医院绩效考核和广东省高水平医院建设等重点工作任务，以加大科研投入、创建国家级临床重点专科、引育高层次科研人才、打造高水平科研平台、申报和开展高级别科研项目、发表高质量学术成果等方面为主要发力点，中心实验室、生物样本库、实验动物中心等科研平台的搭建，为国自然、SCI 等科研成果的超出奠定了基础。故在</w:t>
      </w:r>
      <w:r>
        <w:rPr>
          <w:rFonts w:hint="default" w:ascii="Times New Roman" w:hAnsi="Times New Roman" w:eastAsia="仿宋_GB2312" w:cs="Times New Roman"/>
          <w:color w:val="000000"/>
          <w:sz w:val="32"/>
          <w:szCs w:val="32"/>
          <w:highlight w:val="none"/>
        </w:rPr>
        <w:t>国自然自然项目立项数量</w:t>
      </w:r>
      <w:r>
        <w:rPr>
          <w:rFonts w:hint="default" w:ascii="Times New Roman" w:hAnsi="Times New Roman" w:eastAsia="仿宋_GB2312" w:cs="Times New Roman"/>
          <w:color w:val="000000"/>
          <w:sz w:val="32"/>
          <w:szCs w:val="32"/>
          <w:highlight w:val="none"/>
          <w:lang w:val="en-US" w:eastAsia="zh-CN"/>
        </w:rPr>
        <w:t>指标上超额完成。</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汉仪书宋二S"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②</w:t>
      </w:r>
      <w:r>
        <w:rPr>
          <w:rFonts w:hint="default" w:ascii="Times New Roman" w:hAnsi="Times New Roman" w:eastAsia="仿宋_GB2312" w:cs="Times New Roman"/>
          <w:color w:val="000000"/>
          <w:sz w:val="32"/>
          <w:szCs w:val="32"/>
          <w:highlight w:val="none"/>
        </w:rPr>
        <w:t>“发表SCI高分值文章总数量”指标完成率达570%，大幅超150%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lang w:val="en-US" w:eastAsia="zh-CN"/>
        </w:rPr>
        <w:t>部分</w:t>
      </w:r>
      <w:r>
        <w:rPr>
          <w:rFonts w:hint="default" w:ascii="Times New Roman" w:hAnsi="Times New Roman" w:eastAsia="仿宋_GB2312" w:cs="Times New Roman"/>
          <w:color w:val="000000"/>
          <w:sz w:val="32"/>
          <w:szCs w:val="32"/>
          <w:highlight w:val="none"/>
        </w:rPr>
        <w:t>高水平医院加大投入，优化设备配置，不断增强临床和科研能力建设，推动临床诊疗技术创新、应用研究和成果转化在多个关键领域实现重大突破，导致各项目单位实际完成数量远超过年度目标值。</w:t>
      </w:r>
      <w:r>
        <w:rPr>
          <w:rFonts w:hint="default" w:ascii="Times New Roman" w:hAnsi="Times New Roman" w:eastAsia="仿宋_GB2312" w:cs="Times New Roman"/>
          <w:color w:val="000000"/>
          <w:sz w:val="32"/>
          <w:szCs w:val="32"/>
          <w:highlight w:val="none"/>
          <w:lang w:val="en-US" w:eastAsia="zh-CN"/>
        </w:rPr>
        <w:t>其中，</w:t>
      </w:r>
      <w:r>
        <w:rPr>
          <w:rFonts w:hint="default" w:ascii="Times New Roman" w:hAnsi="Times New Roman" w:eastAsia="仿宋_GB2312" w:cs="Times New Roman"/>
          <w:b w:val="0"/>
          <w:bCs w:val="0"/>
          <w:color w:val="000000"/>
          <w:sz w:val="32"/>
          <w:szCs w:val="32"/>
          <w:highlight w:val="none"/>
          <w:u w:val="single"/>
          <w:lang w:val="en-US" w:eastAsia="zh-CN"/>
        </w:rPr>
        <w:t>暨南大学附属第一医院</w:t>
      </w:r>
      <w:r>
        <w:rPr>
          <w:rFonts w:hint="default" w:ascii="Times New Roman" w:hAnsi="Times New Roman" w:eastAsia="仿宋_GB2312" w:cs="Times New Roman"/>
          <w:color w:val="000000"/>
          <w:sz w:val="32"/>
          <w:szCs w:val="32"/>
          <w:highlight w:val="none"/>
          <w:lang w:val="en-US" w:eastAsia="zh-CN"/>
        </w:rPr>
        <w:t>的科研工作一直是医院的重点工作内容，新一届院领导班子更加重视我院作为研究型医院的定位。首先挖掘内部潜力，鼓励和培养在职员工的科研积极性和主动性。其次，积极加强和暨南大学相关学科的联系，鼓励医学交叉学科的发展和融合，行程相互促进的良性机制。最后是加强博士后教育，引进国内外优秀人才。</w:t>
      </w:r>
      <w:r>
        <w:rPr>
          <w:rFonts w:hint="default" w:ascii="Times New Roman" w:hAnsi="Times New Roman" w:eastAsia="仿宋_GB2312" w:cs="Times New Roman"/>
          <w:color w:val="000000"/>
          <w:kern w:val="2"/>
          <w:sz w:val="32"/>
          <w:szCs w:val="32"/>
          <w:highlight w:val="none"/>
          <w:lang w:val="en-US" w:eastAsia="zh-CN" w:bidi="ar-SA"/>
        </w:rPr>
        <w:t>为SCI 等科研成果的超出奠定了基础，故超额完成</w:t>
      </w:r>
      <w:r>
        <w:rPr>
          <w:rFonts w:hint="default" w:ascii="Times New Roman" w:hAnsi="Times New Roman" w:eastAsia="仿宋_GB2312" w:cs="Times New Roman"/>
          <w:color w:val="000000"/>
          <w:sz w:val="32"/>
          <w:szCs w:val="32"/>
          <w:highlight w:val="none"/>
        </w:rPr>
        <w:t>发表SCI高分值文章总数量</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u w:val="single"/>
          <w:lang w:val="en-US" w:eastAsia="zh-CN"/>
        </w:rPr>
        <w:t>南方医科大学珠江医院</w:t>
      </w:r>
      <w:r>
        <w:rPr>
          <w:rFonts w:hint="default" w:ascii="Times New Roman" w:hAnsi="Times New Roman" w:eastAsia="仿宋_GB2312" w:cs="Times New Roman"/>
          <w:color w:val="000000"/>
          <w:kern w:val="2"/>
          <w:sz w:val="32"/>
          <w:szCs w:val="32"/>
          <w:highlight w:val="none"/>
          <w:lang w:val="en-US" w:eastAsia="zh-CN" w:bidi="ar-SA"/>
        </w:rPr>
        <w:t>成立医学人工智能与智慧医疗支撑平台中心、心血管疾病生物医学工程研究所、脑科学与脑智能研究院等8个院级研究所。联合国家健康医疗大数据研究院设立医疗数据创新中心，与海珠区政府合作共建生物医药成果转化基地及生物医药概念验证中心，牵头建设海珠区医研紧密联合体，持续推进7项千人队列研究，为SCI 等科研成果的超出奠定了基础，故超额完成</w:t>
      </w:r>
      <w:r>
        <w:rPr>
          <w:rFonts w:hint="default" w:ascii="Times New Roman" w:hAnsi="Times New Roman" w:eastAsia="仿宋_GB2312" w:cs="Times New Roman"/>
          <w:color w:val="000000"/>
          <w:sz w:val="32"/>
          <w:szCs w:val="32"/>
          <w:highlight w:val="none"/>
        </w:rPr>
        <w:t>发表SCI高分值文章总数量</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u w:val="single"/>
          <w:lang w:val="en-US" w:eastAsia="zh-CN" w:bidi="ar-SA"/>
        </w:rPr>
        <w:t>佛山市第一人民医院</w:t>
      </w:r>
      <w:r>
        <w:rPr>
          <w:rFonts w:hint="default" w:ascii="Times New Roman" w:hAnsi="Times New Roman" w:eastAsia="仿宋_GB2312" w:cs="Times New Roman"/>
          <w:b w:val="0"/>
          <w:bCs w:val="0"/>
          <w:color w:val="000000"/>
          <w:sz w:val="32"/>
          <w:szCs w:val="32"/>
          <w:highlight w:val="none"/>
        </w:rPr>
        <w:t>深化科研管理改革</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调整科研管理架构，设立科研部，统筹管理科研管理科、药物临床研究管理科、临床研究中心、转化医学研究院、博士后管理办公室、伦理委员会办公室，形成多部门深入联合开展科研管理工作机制。探索科研人员年薪制改革，聚焦完善科研管理、提升科研绩效、推进成果转化、优化分配机制等方面，制定科研人员工作业绩与质量评价计分方法、年薪制方案和绩效二次分配方案等制度，有效调动科研人员工作积极性。</w:t>
      </w:r>
      <w:r>
        <w:rPr>
          <w:rFonts w:hint="default" w:ascii="Times New Roman" w:hAnsi="Times New Roman" w:eastAsia="仿宋_GB2312" w:cs="Times New Roman"/>
          <w:color w:val="000000"/>
          <w:sz w:val="32"/>
          <w:szCs w:val="32"/>
          <w:highlight w:val="none"/>
          <w:lang w:val="en-US" w:eastAsia="zh-CN"/>
        </w:rPr>
        <w:t>同时</w:t>
      </w:r>
      <w:r>
        <w:rPr>
          <w:rFonts w:hint="default" w:ascii="Times New Roman" w:hAnsi="Times New Roman" w:eastAsia="仿宋_GB2312" w:cs="Times New Roman"/>
          <w:b w:val="0"/>
          <w:bCs w:val="0"/>
          <w:color w:val="000000"/>
          <w:sz w:val="32"/>
          <w:szCs w:val="32"/>
          <w:highlight w:val="none"/>
        </w:rPr>
        <w:t>加大科研创新力度。</w:t>
      </w:r>
      <w:r>
        <w:rPr>
          <w:rFonts w:hint="default" w:ascii="Times New Roman" w:hAnsi="Times New Roman" w:eastAsia="仿宋_GB2312" w:cs="Times New Roman"/>
          <w:color w:val="000000"/>
          <w:sz w:val="32"/>
          <w:szCs w:val="32"/>
          <w:highlight w:val="none"/>
        </w:rPr>
        <w:t>充分整合医院科技创新资源，对院内自筹科研资金项目加大投入，成立临床研究中心，推进SPF级动物房建设和临床数据库建设。</w:t>
      </w:r>
      <w:r>
        <w:rPr>
          <w:rFonts w:hint="default" w:ascii="Times New Roman" w:hAnsi="Times New Roman" w:eastAsia="仿宋_GB2312" w:cs="Times New Roman"/>
          <w:color w:val="000000"/>
          <w:kern w:val="2"/>
          <w:sz w:val="32"/>
          <w:szCs w:val="32"/>
          <w:highlight w:val="none"/>
          <w:lang w:val="en-US" w:eastAsia="zh-CN" w:bidi="ar-SA"/>
        </w:rPr>
        <w:t>故超额完成</w:t>
      </w:r>
      <w:r>
        <w:rPr>
          <w:rFonts w:hint="default" w:ascii="Times New Roman" w:hAnsi="Times New Roman" w:eastAsia="仿宋_GB2312" w:cs="Times New Roman"/>
          <w:color w:val="000000"/>
          <w:sz w:val="32"/>
          <w:szCs w:val="32"/>
          <w:highlight w:val="none"/>
        </w:rPr>
        <w:t>发表SCI高分值文章总数量</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sz w:val="32"/>
          <w:szCs w:val="32"/>
          <w:highlight w:val="none"/>
          <w:lang w:val="en-US" w:eastAsia="zh-CN"/>
        </w:rPr>
        <w:t>在高水平医院资金的支持下，</w:t>
      </w:r>
      <w:r>
        <w:rPr>
          <w:rFonts w:hint="default" w:ascii="Times New Roman" w:hAnsi="Times New Roman" w:eastAsia="仿宋_GB2312" w:cs="Times New Roman"/>
          <w:b w:val="0"/>
          <w:bCs w:val="0"/>
          <w:color w:val="000000"/>
          <w:sz w:val="32"/>
          <w:szCs w:val="32"/>
          <w:highlight w:val="none"/>
          <w:u w:val="single"/>
          <w:lang w:val="en-US" w:eastAsia="zh-CN"/>
        </w:rPr>
        <w:t>深圳市儿童医院</w:t>
      </w:r>
      <w:r>
        <w:rPr>
          <w:rFonts w:hint="default" w:ascii="Times New Roman" w:hAnsi="Times New Roman" w:eastAsia="仿宋_GB2312" w:cs="Times New Roman"/>
          <w:color w:val="000000"/>
          <w:sz w:val="32"/>
          <w:szCs w:val="32"/>
          <w:highlight w:val="none"/>
          <w:lang w:val="en-US" w:eastAsia="zh-CN"/>
        </w:rPr>
        <w:t>高度重视科研发展，通过引育专职科研人员、博士后；设置“院内课题、院内学科、院内平台”三大专项；实施科研奖励等举措，鼓励临床人员积极从事科研工作；多措并举提高我院职工发表高分论文数量，使我院职工发表高分论文数量大幅提升。</w:t>
      </w:r>
      <w:r>
        <w:rPr>
          <w:rFonts w:hint="default" w:ascii="Times New Roman" w:hAnsi="Times New Roman" w:eastAsia="仿宋_GB2312" w:cs="Times New Roman"/>
          <w:color w:val="000000"/>
          <w:kern w:val="2"/>
          <w:sz w:val="32"/>
          <w:szCs w:val="32"/>
          <w:highlight w:val="none"/>
          <w:lang w:val="en-US" w:eastAsia="zh-CN" w:bidi="ar-SA"/>
        </w:rPr>
        <w:t>故超额完成</w:t>
      </w:r>
      <w:r>
        <w:rPr>
          <w:rFonts w:hint="default" w:ascii="Times New Roman" w:hAnsi="Times New Roman" w:eastAsia="仿宋_GB2312" w:cs="Times New Roman"/>
          <w:color w:val="000000"/>
          <w:sz w:val="32"/>
          <w:szCs w:val="32"/>
          <w:highlight w:val="none"/>
        </w:rPr>
        <w:t>发表SCI高分值文章总数量</w:t>
      </w:r>
      <w:r>
        <w:rPr>
          <w:rFonts w:hint="default"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u w:val="single"/>
          <w:lang w:val="en-US" w:eastAsia="zh-CN"/>
        </w:rPr>
        <w:t>东莞市人民医院</w:t>
      </w:r>
      <w:r>
        <w:rPr>
          <w:rFonts w:hint="default" w:ascii="Times New Roman" w:hAnsi="Times New Roman" w:eastAsia="仿宋_GB2312" w:cs="Times New Roman"/>
          <w:color w:val="000000"/>
          <w:sz w:val="32"/>
          <w:szCs w:val="32"/>
          <w:highlight w:val="none"/>
          <w:lang w:val="en-US" w:eastAsia="zh-CN"/>
        </w:rPr>
        <w:t>于2020年12月东莞市政府与南方医科大学在东莞市人民医院的基础上，共建“南方医科大学附属东莞医院”，2023年揭牌为“南方医科大学第十附属医院”。在南方医科大学的支持和指导下，我院以校地共建为契机，紧密围绕着国家三级公立医院绩效考核和广东省高水平医院建设等重点工作任务，以加大科研投入、创建国家级临床重点专科、引育高层次科研人才、打造高水平科研平台、申报和开展高级别科研项目、发表高质量学术成果等方面为主要发力点，中心实验室、生物样本库、实验动物中心等科研平台的搭建，为国自然、SCI 等科研成果的超出奠定了基础。故在SCI高分文章指标上超额完成。</w:t>
      </w:r>
      <w:r>
        <w:rPr>
          <w:rFonts w:hint="default" w:ascii="Times New Roman" w:hAnsi="Times New Roman" w:eastAsia="仿宋_GB2312" w:cs="Times New Roman"/>
          <w:b/>
          <w:bCs/>
          <w:color w:val="000000"/>
          <w:sz w:val="32"/>
          <w:szCs w:val="32"/>
          <w:highlight w:val="none"/>
          <w:lang w:eastAsia="zh-CN"/>
        </w:rPr>
        <w:t>改</w:t>
      </w:r>
      <w:r>
        <w:rPr>
          <w:rFonts w:hint="default" w:ascii="Times New Roman" w:hAnsi="Times New Roman" w:eastAsia="仿宋_GB2312" w:cs="Times New Roman"/>
          <w:b/>
          <w:bCs/>
          <w:color w:val="000000"/>
          <w:sz w:val="32"/>
          <w:szCs w:val="32"/>
          <w:highlight w:val="none"/>
        </w:rPr>
        <w:t>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pStyle w:val="5"/>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③</w:t>
      </w:r>
      <w:r>
        <w:rPr>
          <w:rFonts w:hint="default" w:ascii="Times New Roman" w:hAnsi="Times New Roman" w:eastAsia="汉仪书宋二S" w:cs="Times New Roman"/>
          <w:color w:val="000000"/>
          <w:sz w:val="32"/>
          <w:szCs w:val="32"/>
          <w:highlight w:val="none"/>
          <w:lang w:eastAsia="zh-CN"/>
        </w:rPr>
        <w:t>“</w:t>
      </w:r>
      <w:r>
        <w:rPr>
          <w:rFonts w:hint="default" w:ascii="Times New Roman" w:hAnsi="Times New Roman" w:eastAsia="仿宋_GB2312" w:cs="Times New Roman"/>
          <w:i w:val="0"/>
          <w:color w:val="000000"/>
          <w:kern w:val="2"/>
          <w:sz w:val="32"/>
          <w:szCs w:val="32"/>
          <w:highlight w:val="none"/>
          <w:u w:val="none"/>
          <w:lang w:val="en-US" w:eastAsia="zh-CN" w:bidi="ar-SA"/>
        </w:rPr>
        <w:t>高水平医院建设资金用于基建项目的比例（%）”指标完成率达2000%，大幅超150%。</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u w:val="none"/>
        </w:rPr>
        <w:t>各高水平医院加大投入，优化设备配置，</w:t>
      </w:r>
      <w:r>
        <w:rPr>
          <w:rFonts w:hint="default" w:ascii="Times New Roman" w:hAnsi="Times New Roman" w:eastAsia="仿宋_GB2312" w:cs="Times New Roman"/>
          <w:color w:val="000000"/>
          <w:sz w:val="32"/>
          <w:szCs w:val="32"/>
          <w:highlight w:val="none"/>
          <w:u w:val="none"/>
          <w:lang w:val="en-US" w:eastAsia="zh-CN"/>
        </w:rPr>
        <w:t>加强基建项目的开展，</w:t>
      </w:r>
      <w:r>
        <w:rPr>
          <w:rFonts w:hint="default" w:ascii="Times New Roman" w:hAnsi="Times New Roman" w:eastAsia="仿宋_GB2312" w:cs="Times New Roman"/>
          <w:color w:val="000000"/>
          <w:sz w:val="32"/>
          <w:szCs w:val="32"/>
          <w:highlight w:val="none"/>
          <w:u w:val="none"/>
        </w:rPr>
        <w:t>推动临床诊疗技术创新</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与此同时，部分地市的高水平医院在“一对一”重点帮扶下，</w:t>
      </w:r>
      <w:r>
        <w:rPr>
          <w:rFonts w:hint="default" w:ascii="Times New Roman" w:hAnsi="Times New Roman" w:eastAsia="仿宋_GB2312" w:cs="Times New Roman"/>
          <w:i w:val="0"/>
          <w:iCs w:val="0"/>
          <w:color w:val="000000"/>
          <w:kern w:val="2"/>
          <w:sz w:val="32"/>
          <w:szCs w:val="32"/>
          <w:highlight w:val="none"/>
          <w:u w:val="none"/>
          <w:lang w:val="en-US" w:eastAsia="zh-CN" w:bidi="ar-SA"/>
        </w:rPr>
        <w:t>加强基建项目的建设</w:t>
      </w:r>
      <w:r>
        <w:rPr>
          <w:rFonts w:hint="default" w:ascii="Times New Roman" w:hAnsi="Times New Roman" w:eastAsia="仿宋_GB2312" w:cs="Times New Roman"/>
          <w:b w:val="0"/>
          <w:bCs w:val="0"/>
          <w:color w:val="000000"/>
          <w:sz w:val="32"/>
          <w:szCs w:val="32"/>
          <w:highlight w:val="none"/>
          <w:u w:val="none"/>
          <w:lang w:val="en-US" w:eastAsia="zh-CN"/>
        </w:rPr>
        <w:t>，</w:t>
      </w:r>
      <w:r>
        <w:rPr>
          <w:rFonts w:hint="default" w:ascii="Times New Roman" w:hAnsi="Times New Roman" w:eastAsia="仿宋_GB2312" w:cs="Times New Roman"/>
          <w:color w:val="000000"/>
          <w:sz w:val="32"/>
          <w:szCs w:val="32"/>
          <w:highlight w:val="none"/>
          <w:u w:val="none"/>
          <w:lang w:val="en-US" w:eastAsia="zh-CN"/>
        </w:rPr>
        <w:t>导</w:t>
      </w:r>
      <w:r>
        <w:rPr>
          <w:rFonts w:hint="default" w:ascii="Times New Roman" w:hAnsi="Times New Roman" w:eastAsia="仿宋_GB2312" w:cs="Times New Roman"/>
          <w:color w:val="000000"/>
          <w:sz w:val="32"/>
          <w:szCs w:val="32"/>
          <w:highlight w:val="none"/>
          <w:u w:val="none"/>
        </w:rPr>
        <w:t>致实际完成数量远超过年度目标值</w:t>
      </w:r>
      <w:r>
        <w:rPr>
          <w:rFonts w:hint="default" w:ascii="Times New Roman" w:hAnsi="Times New Roman" w:eastAsia="仿宋_GB2312" w:cs="Times New Roman"/>
          <w:b w:val="0"/>
          <w:bCs w:val="0"/>
          <w:color w:val="000000"/>
          <w:sz w:val="32"/>
          <w:szCs w:val="32"/>
          <w:highlight w:val="none"/>
          <w:u w:val="none"/>
          <w:lang w:val="en-US" w:eastAsia="zh-CN"/>
        </w:rPr>
        <w:t>。</w:t>
      </w:r>
      <w:r>
        <w:rPr>
          <w:rFonts w:hint="default" w:ascii="Times New Roman" w:hAnsi="Times New Roman" w:eastAsia="仿宋_GB2312" w:cs="Times New Roman"/>
          <w:b/>
          <w:bCs/>
          <w:color w:val="000000"/>
          <w:sz w:val="32"/>
          <w:szCs w:val="32"/>
          <w:highlight w:val="none"/>
          <w:lang w:eastAsia="zh-CN"/>
        </w:rPr>
        <w:t>改</w:t>
      </w:r>
      <w:r>
        <w:rPr>
          <w:rFonts w:hint="default" w:ascii="Times New Roman" w:hAnsi="Times New Roman" w:eastAsia="仿宋_GB2312" w:cs="Times New Roman"/>
          <w:b/>
          <w:bCs/>
          <w:color w:val="000000"/>
          <w:sz w:val="32"/>
          <w:szCs w:val="32"/>
          <w:highlight w:val="none"/>
        </w:rPr>
        <w:t>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④</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全国百强医院（家）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指标完成率达200%，超150%。</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lang w:val="en-US" w:eastAsia="zh-CN"/>
        </w:rPr>
        <w:t>2024年1月8日，国家卫健委公布了2022年度国家三级公立中医医院绩效考核（简称“国考”）结果，深圳市中医院在全国568家中医综合医院中位列第8名，连续5年考核等级为最高等级A+（连续5年均位于全国中医综合医院前20名），完成年度绩效目标值。暨南大学附属第一医院</w:t>
      </w:r>
      <w:r>
        <w:rPr>
          <w:rFonts w:hint="default" w:ascii="Times New Roman" w:hAnsi="Times New Roman" w:eastAsia="仿宋_GB2312" w:cs="Times New Roman"/>
          <w:b w:val="0"/>
          <w:bCs w:val="0"/>
          <w:color w:val="000000"/>
          <w:sz w:val="32"/>
          <w:szCs w:val="32"/>
          <w:highlight w:val="none"/>
        </w:rPr>
        <w:t>在国家三级公立医院绩效考核得分一直处于高分水平，从2021年起我院连年获得（无年报综合组）国家监测指标排名第一，等级 A（最高）的好成绩</w:t>
      </w:r>
      <w:r>
        <w:rPr>
          <w:rFonts w:hint="default" w:ascii="Times New Roman" w:hAnsi="Times New Roman" w:eastAsia="仿宋_GB2312" w:cs="Times New Roman"/>
          <w:color w:val="000000"/>
          <w:sz w:val="32"/>
          <w:szCs w:val="32"/>
          <w:highlight w:val="none"/>
          <w:lang w:val="en-US" w:eastAsia="zh-CN"/>
        </w:rPr>
        <w:t>导</w:t>
      </w:r>
      <w:r>
        <w:rPr>
          <w:rFonts w:hint="default" w:ascii="Times New Roman" w:hAnsi="Times New Roman" w:eastAsia="仿宋_GB2312" w:cs="Times New Roman"/>
          <w:color w:val="000000"/>
          <w:sz w:val="32"/>
          <w:szCs w:val="32"/>
          <w:highlight w:val="none"/>
        </w:rPr>
        <w:t>致实际完成数量远超过年度目标值</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bCs/>
          <w:color w:val="000000"/>
          <w:sz w:val="32"/>
          <w:szCs w:val="32"/>
          <w:highlight w:val="none"/>
          <w:lang w:eastAsia="zh-CN"/>
        </w:rPr>
        <w:t>改</w:t>
      </w:r>
      <w:r>
        <w:rPr>
          <w:rFonts w:hint="default" w:ascii="Times New Roman" w:hAnsi="Times New Roman" w:eastAsia="仿宋_GB2312" w:cs="Times New Roman"/>
          <w:b/>
          <w:bCs/>
          <w:color w:val="000000"/>
          <w:sz w:val="32"/>
          <w:szCs w:val="32"/>
          <w:highlight w:val="none"/>
        </w:rPr>
        <w:t>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汉仪书宋二S" w:cs="Times New Roman"/>
          <w:color w:val="000000"/>
          <w:sz w:val="32"/>
          <w:szCs w:val="32"/>
          <w:highlight w:val="none"/>
        </w:rPr>
        <w:t>⑤</w:t>
      </w:r>
      <w:r>
        <w:rPr>
          <w:rFonts w:hint="default" w:ascii="Times New Roman" w:hAnsi="Times New Roman" w:eastAsia="汉仪书宋二S" w:cs="Times New Roman"/>
          <w:color w:val="000000"/>
          <w:sz w:val="32"/>
          <w:szCs w:val="32"/>
          <w:highlight w:val="none"/>
          <w:lang w:eastAsia="zh-CN"/>
        </w:rPr>
        <w:t>“</w:t>
      </w:r>
      <w:r>
        <w:rPr>
          <w:rFonts w:hint="default" w:ascii="Times New Roman" w:hAnsi="Times New Roman" w:eastAsia="仿宋_GB2312" w:cs="Times New Roman"/>
          <w:i w:val="0"/>
          <w:iCs w:val="0"/>
          <w:color w:val="000000"/>
          <w:kern w:val="0"/>
          <w:sz w:val="32"/>
          <w:szCs w:val="32"/>
          <w:highlight w:val="none"/>
          <w:u w:val="none"/>
          <w:lang w:val="en-US" w:eastAsia="zh-CN" w:bidi="ar"/>
        </w:rPr>
        <w:t>新增省级临床重点专科</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bidi="ar-SA"/>
        </w:rPr>
        <w:t>指标完成率</w:t>
      </w:r>
      <w:r>
        <w:rPr>
          <w:rFonts w:hint="default" w:ascii="Times New Roman" w:hAnsi="Times New Roman" w:eastAsia="仿宋_GB2312" w:cs="Times New Roman"/>
          <w:i w:val="0"/>
          <w:iCs w:val="0"/>
          <w:color w:val="000000"/>
          <w:kern w:val="0"/>
          <w:sz w:val="32"/>
          <w:szCs w:val="32"/>
          <w:highlight w:val="none"/>
          <w:u w:val="none"/>
          <w:lang w:val="en-US" w:eastAsia="zh-CN" w:bidi="ar"/>
        </w:rPr>
        <w:t>2100</w:t>
      </w:r>
      <w:r>
        <w:rPr>
          <w:rFonts w:hint="default" w:ascii="Times New Roman" w:hAnsi="Times New Roman" w:eastAsia="仿宋_GB2312" w:cs="Times New Roman"/>
          <w:color w:val="000000"/>
          <w:kern w:val="2"/>
          <w:sz w:val="32"/>
          <w:szCs w:val="32"/>
          <w:highlight w:val="none"/>
          <w:lang w:val="en-US" w:eastAsia="zh-CN" w:bidi="ar-SA"/>
        </w:rPr>
        <w:t>%，大幅超150%。</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rPr>
        <w:t>各高水平医院加大投入，优化设备配置，不断增强临床和科研能力建设，推动临床诊疗技术创新、</w:t>
      </w:r>
      <w:r>
        <w:rPr>
          <w:rFonts w:hint="default" w:ascii="Times New Roman" w:hAnsi="Times New Roman" w:eastAsia="仿宋_GB2312" w:cs="Times New Roman"/>
          <w:color w:val="000000"/>
          <w:sz w:val="32"/>
          <w:szCs w:val="32"/>
          <w:highlight w:val="none"/>
          <w:lang w:val="en-US" w:eastAsia="zh-CN"/>
        </w:rPr>
        <w:t>与此同时，部分地市的高水平医院在“一对一”重点帮扶下，</w:t>
      </w:r>
      <w:r>
        <w:rPr>
          <w:rFonts w:hint="default" w:ascii="Times New Roman" w:hAnsi="Times New Roman" w:eastAsia="仿宋_GB2312" w:cs="Times New Roman"/>
          <w:i w:val="0"/>
          <w:iCs w:val="0"/>
          <w:color w:val="000000"/>
          <w:kern w:val="0"/>
          <w:sz w:val="32"/>
          <w:szCs w:val="32"/>
          <w:highlight w:val="none"/>
          <w:u w:val="none"/>
          <w:lang w:val="en-US" w:eastAsia="zh-CN" w:bidi="ar"/>
        </w:rPr>
        <w:t>新增省级临床重点专科</w:t>
      </w: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导</w:t>
      </w:r>
      <w:r>
        <w:rPr>
          <w:rFonts w:hint="default" w:ascii="Times New Roman" w:hAnsi="Times New Roman" w:eastAsia="仿宋_GB2312" w:cs="Times New Roman"/>
          <w:color w:val="000000"/>
          <w:sz w:val="32"/>
          <w:szCs w:val="32"/>
          <w:highlight w:val="none"/>
        </w:rPr>
        <w:t>致实际完成数量远超过年度目标值</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eastAsia="zh-CN"/>
        </w:rPr>
        <w:t>改</w:t>
      </w:r>
      <w:r>
        <w:rPr>
          <w:rFonts w:hint="default" w:ascii="Times New Roman" w:hAnsi="Times New Roman" w:eastAsia="仿宋_GB2312" w:cs="Times New Roman"/>
          <w:b/>
          <w:bCs/>
          <w:color w:val="000000"/>
          <w:sz w:val="32"/>
          <w:szCs w:val="32"/>
          <w:highlight w:val="none"/>
        </w:rPr>
        <w:t>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⑥</w:t>
      </w:r>
      <w:r>
        <w:rPr>
          <w:rFonts w:hint="default" w:ascii="Times New Roman" w:hAnsi="Times New Roman" w:eastAsia="仿宋_GB2312" w:cs="Times New Roman"/>
          <w:color w:val="000000"/>
          <w:sz w:val="32"/>
          <w:szCs w:val="32"/>
          <w:highlight w:val="none"/>
        </w:rPr>
        <w:t>“引进高层次医学人才（位）”指标完成率达1540%，大幅超150%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lang w:val="en-US" w:eastAsia="zh-CN"/>
        </w:rPr>
        <w:t>2024年，高水平医院建设项目医院高度重视引进高层次人才，通过制定优惠政策、优化流程、提供科研平台和发展空间等举措，成功引教育部“长江学者”、“国家杰出青年科学基金”称号专家等77名高层次医学人才77位，为医院高质量发展提供有力的人才支撑。导</w:t>
      </w:r>
      <w:r>
        <w:rPr>
          <w:rFonts w:hint="default" w:ascii="Times New Roman" w:hAnsi="Times New Roman" w:eastAsia="仿宋_GB2312" w:cs="Times New Roman"/>
          <w:color w:val="000000"/>
          <w:sz w:val="32"/>
          <w:szCs w:val="32"/>
          <w:highlight w:val="none"/>
        </w:rPr>
        <w:t>致实际完成数量远超过年度目标值。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⑦</w:t>
      </w:r>
      <w:r>
        <w:rPr>
          <w:rFonts w:hint="default" w:ascii="Times New Roman" w:hAnsi="Times New Roman" w:eastAsia="仿宋_GB2312" w:cs="Times New Roman"/>
          <w:color w:val="000000"/>
          <w:sz w:val="32"/>
          <w:szCs w:val="32"/>
          <w:highlight w:val="none"/>
        </w:rPr>
        <w:t>“新增新技术、新项目（项）”指标完成率达801.67，大幅超150%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rPr>
        <w:t>各高水平医院加大投入，优化设备配置，不断增强临床和科研能力建设，推动临床诊疗技术创新、</w:t>
      </w:r>
      <w:r>
        <w:rPr>
          <w:rFonts w:hint="default" w:ascii="Times New Roman" w:hAnsi="Times New Roman" w:eastAsia="仿宋_GB2312" w:cs="Times New Roman"/>
          <w:color w:val="000000"/>
          <w:sz w:val="32"/>
          <w:szCs w:val="32"/>
          <w:highlight w:val="none"/>
          <w:lang w:val="en-US" w:eastAsia="zh-CN"/>
        </w:rPr>
        <w:t>与此同时，部分地市的高水平医院在“一对一”重点帮扶下，开展起很多新技术新项目</w:t>
      </w:r>
      <w:r>
        <w:rPr>
          <w:rFonts w:hint="default" w:ascii="Times New Roman" w:hAnsi="Times New Roman" w:eastAsia="仿宋_GB2312" w:cs="Times New Roman"/>
          <w:color w:val="000000"/>
          <w:sz w:val="32"/>
          <w:szCs w:val="32"/>
          <w:highlight w:val="none"/>
        </w:rPr>
        <w:t>，导致各项目单位实际完成数量远超过年度目标值。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⑧</w:t>
      </w:r>
      <w:r>
        <w:rPr>
          <w:rFonts w:hint="default" w:ascii="Times New Roman" w:hAnsi="Times New Roman" w:eastAsia="仿宋_GB2312" w:cs="Times New Roman"/>
          <w:color w:val="000000"/>
          <w:sz w:val="32"/>
          <w:szCs w:val="32"/>
          <w:highlight w:val="none"/>
        </w:rPr>
        <w:t>“获得授权专利（项）”指标完成率达978.33，大幅超150%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rPr>
        <w:t>各高水平医院加大投入，优化设备配置，不断增强临床和科研能力建设，推动临床诊疗技术创新、</w:t>
      </w:r>
      <w:r>
        <w:rPr>
          <w:rFonts w:hint="default" w:ascii="Times New Roman" w:hAnsi="Times New Roman" w:eastAsia="仿宋_GB2312" w:cs="Times New Roman"/>
          <w:color w:val="000000"/>
          <w:sz w:val="32"/>
          <w:szCs w:val="32"/>
          <w:highlight w:val="none"/>
          <w:lang w:val="en-US" w:eastAsia="zh-CN"/>
        </w:rPr>
        <w:t>与此同时，部分地市的高水平医院在“一对一”重点帮扶下，通过把开展的新技术新项目及时申请授权专利</w:t>
      </w:r>
      <w:r>
        <w:rPr>
          <w:rFonts w:hint="default" w:ascii="Times New Roman" w:hAnsi="Times New Roman" w:eastAsia="仿宋_GB2312" w:cs="Times New Roman"/>
          <w:color w:val="000000"/>
          <w:sz w:val="32"/>
          <w:szCs w:val="32"/>
          <w:highlight w:val="none"/>
        </w:rPr>
        <w:t>，导致各项目单位实际完成数量远超过年度目标值。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2.国家医学（医疗）中心建设项目。</w:t>
      </w:r>
    </w:p>
    <w:p>
      <w:pPr>
        <w:keepNext w:val="0"/>
        <w:keepLines w:val="0"/>
        <w:pageBreakBefore w:val="0"/>
        <w:kinsoku/>
        <w:wordWrap/>
        <w:topLinePunct w:val="0"/>
        <w:bidi w:val="0"/>
        <w:adjustRightInd/>
        <w:snapToGrid/>
        <w:spacing w:line="560" w:lineRule="exact"/>
        <w:ind w:left="0" w:leftChars="0" w:firstLine="643"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（1）个别资金预算执行率偏低。</w:t>
      </w:r>
      <w:r>
        <w:rPr>
          <w:rFonts w:hint="default" w:ascii="Times New Roman" w:hAnsi="Times New Roman" w:eastAsia="仿宋_GB2312" w:cs="Times New Roman"/>
          <w:bCs/>
          <w:color w:val="000000"/>
          <w:sz w:val="32"/>
          <w:szCs w:val="32"/>
          <w:highlight w:val="none"/>
        </w:rPr>
        <w:t>截至2024年12月31日，广东国际肾脏病医学中心和国家创伤医学中心两个项目资金执行率分别为</w:t>
      </w:r>
      <w:r>
        <w:rPr>
          <w:rFonts w:hint="default" w:ascii="Times New Roman" w:hAnsi="Times New Roman" w:eastAsia="仿宋_GB2312" w:cs="Times New Roman"/>
          <w:color w:val="000000"/>
          <w:sz w:val="32"/>
          <w:szCs w:val="32"/>
          <w:highlight w:val="none"/>
        </w:rPr>
        <w:t>15.10</w:t>
      </w:r>
      <w:r>
        <w:rPr>
          <w:rFonts w:hint="default" w:ascii="Times New Roman" w:hAnsi="Times New Roman" w:eastAsia="仿宋_GB2312" w:cs="Times New Roman"/>
          <w:bCs/>
          <w:color w:val="000000"/>
          <w:sz w:val="32"/>
          <w:szCs w:val="32"/>
          <w:highlight w:val="none"/>
        </w:rPr>
        <w:t>%和4.31%，项目支出进度严重滞后。</w:t>
      </w:r>
      <w:r>
        <w:rPr>
          <w:rFonts w:hint="default" w:ascii="Times New Roman" w:hAnsi="Times New Roman" w:eastAsia="仿宋_GB2312" w:cs="Times New Roman"/>
          <w:b/>
          <w:color w:val="000000"/>
          <w:sz w:val="32"/>
          <w:szCs w:val="32"/>
          <w:highlight w:val="none"/>
        </w:rPr>
        <w:t>主要原因</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bidi="ar"/>
        </w:rPr>
        <w:t>广东国际肾脏病医学中心项目因工程进度与预期计划不匹配，且需要优先完成债券资金支付任务，导致省财政资金支出进度滞后；国家创伤医学中心项目因尚未取得施工许可证，导致资金支出进度滞后。</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b w:val="0"/>
          <w:bCs w:val="0"/>
          <w:color w:val="000000"/>
          <w:sz w:val="32"/>
          <w:szCs w:val="32"/>
          <w:highlight w:val="none"/>
          <w:lang w:val="en-US" w:eastAsia="zh-CN"/>
        </w:rPr>
        <w:t>对项目建设开展检查、指导，</w:t>
      </w:r>
      <w:r>
        <w:rPr>
          <w:rFonts w:hint="default" w:ascii="Times New Roman" w:hAnsi="Times New Roman" w:eastAsia="仿宋_GB2312" w:cs="Times New Roman"/>
          <w:color w:val="000000"/>
          <w:sz w:val="32"/>
          <w:szCs w:val="32"/>
          <w:highlight w:val="none"/>
          <w:lang w:val="en-US" w:eastAsia="zh-CN"/>
        </w:rPr>
        <w:t>加快推进项目建设，做好资金支出工作。</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b/>
          <w:color w:val="000000"/>
          <w:sz w:val="32"/>
          <w:szCs w:val="32"/>
          <w:highlight w:val="none"/>
        </w:rPr>
        <w:t>个别绩效目标发生偏离。</w:t>
      </w:r>
    </w:p>
    <w:p>
      <w:pPr>
        <w:keepNext w:val="0"/>
        <w:keepLines w:val="0"/>
        <w:pageBreakBefore w:val="0"/>
        <w:kinsoku/>
        <w:wordWrap/>
        <w:topLinePunct w:val="0"/>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①</w:t>
      </w:r>
      <w:r>
        <w:rPr>
          <w:rFonts w:hint="default" w:ascii="Times New Roman" w:hAnsi="Times New Roman" w:eastAsia="仿宋_GB2312" w:cs="Times New Roman"/>
          <w:color w:val="000000"/>
          <w:sz w:val="32"/>
          <w:szCs w:val="32"/>
          <w:highlight w:val="none"/>
        </w:rPr>
        <w:t>“搭建科研平台（个）（广东国际精准医学中心+广东国际心血管医学中心）”指标完成率超150%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rPr>
        <w:t>国家医学（医疗）中心建设项目医院加大投入，优化设备配置，不断增强临床和科研能力建设，推动临床诊疗技术创新、应用研究和成果转化在多个关键领域实现重大突破，导致各项目单位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汉仪书宋二S" w:cs="Times New Roman"/>
          <w:color w:val="000000"/>
          <w:sz w:val="32"/>
          <w:szCs w:val="32"/>
          <w:highlight w:val="none"/>
          <w:lang w:eastAsia="zh-CN"/>
        </w:rPr>
      </w:pPr>
      <w:r>
        <w:rPr>
          <w:rFonts w:hint="default" w:ascii="Times New Roman" w:hAnsi="Times New Roman" w:eastAsia="汉仪书宋二S" w:cs="Times New Roman"/>
          <w:color w:val="000000"/>
          <w:sz w:val="32"/>
          <w:szCs w:val="32"/>
          <w:highlight w:val="none"/>
        </w:rPr>
        <w:t>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国内学术交流活动次数（次）（广东乳腺肿瘤防治中心）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i w:val="0"/>
          <w:color w:val="000000"/>
          <w:kern w:val="2"/>
          <w:sz w:val="32"/>
          <w:szCs w:val="32"/>
          <w:highlight w:val="none"/>
          <w:u w:val="none"/>
          <w:lang w:val="en-US" w:eastAsia="zh-CN" w:bidi="ar-SA"/>
        </w:rPr>
        <w:t>指标完成率达183.33%，超150%。</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lang w:val="en-US" w:eastAsia="zh-CN"/>
        </w:rPr>
        <w:t>广东乳腺肿瘤防治中心</w:t>
      </w:r>
      <w:r>
        <w:rPr>
          <w:rFonts w:hint="default" w:ascii="Times New Roman" w:hAnsi="Times New Roman" w:eastAsia="仿宋_GB2312" w:cs="Times New Roman"/>
          <w:color w:val="000000"/>
          <w:sz w:val="32"/>
          <w:szCs w:val="32"/>
          <w:highlight w:val="none"/>
        </w:rPr>
        <w:t>作为全国领先的乳腺中心，打造覆盖华南地区的连锁医院网络，提供医疗技术支持，协同发展，与省内外多家医院积极开展医联体合作建设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带动国内乳腺专科发展，组织召开了广东省研究型医院学会微创外科专业委员会成立大会暨CCS乳腺腔镜大会、2024年中山大学免疫学和微生物学研讨会、星火计划精准诊疗学习班-暨第八届乳腺癌早筛早诊以及组织标记在乳腺外科精准诊疗临床应用规范化学习班、金町湾肿瘤免疫治疗高峰论坛等10余场会议。会议覆盖乳腺外科、乳腺整形修复外科、乳腺内科、乳腺放疗、乳腺诊断、乳腺专科护理等多个乳腺疾病诊疗领域，通过线下线上相结合的方式扩大覆盖面，很好地促进了学术交流</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导致各项目单位实际完成数量远超过年度目标值。</w:t>
      </w:r>
      <w:r>
        <w:rPr>
          <w:rFonts w:hint="default" w:ascii="Times New Roman" w:hAnsi="Times New Roman" w:eastAsia="仿宋_GB2312" w:cs="Times New Roman"/>
          <w:b/>
          <w:bCs/>
          <w:color w:val="000000"/>
          <w:sz w:val="32"/>
          <w:szCs w:val="32"/>
          <w:highlight w:val="none"/>
          <w:lang w:eastAsia="zh-CN"/>
        </w:rPr>
        <w:t>改</w:t>
      </w:r>
      <w:r>
        <w:rPr>
          <w:rFonts w:hint="default" w:ascii="Times New Roman" w:hAnsi="Times New Roman" w:eastAsia="仿宋_GB2312" w:cs="Times New Roman"/>
          <w:b/>
          <w:bCs/>
          <w:color w:val="000000"/>
          <w:sz w:val="32"/>
          <w:szCs w:val="32"/>
          <w:highlight w:val="none"/>
        </w:rPr>
        <w:t>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汉仪书宋二S" w:cs="Times New Roman"/>
          <w:color w:val="000000"/>
          <w:sz w:val="32"/>
          <w:szCs w:val="32"/>
          <w:highlight w:val="none"/>
        </w:rPr>
        <w:t>③</w:t>
      </w:r>
      <w:r>
        <w:rPr>
          <w:rFonts w:hint="default" w:ascii="Times New Roman" w:hAnsi="Times New Roman" w:eastAsia="仿宋_GB2312" w:cs="Times New Roman"/>
          <w:color w:val="000000"/>
          <w:sz w:val="32"/>
          <w:szCs w:val="32"/>
          <w:highlight w:val="none"/>
        </w:rPr>
        <w:t>“培养专业人才（人）（广东国际心血管医学中心）”指标完成率超150%</w:t>
      </w:r>
      <w:r>
        <w:rPr>
          <w:rFonts w:hint="default" w:ascii="Times New Roman" w:hAnsi="Times New Roman" w:eastAsia="仿宋_GB2312" w:cs="Times New Roman"/>
          <w:color w:val="000000"/>
          <w:sz w:val="32"/>
          <w:szCs w:val="32"/>
          <w:highlight w:val="none"/>
          <w:lang w:eastAsia="zh-CN"/>
        </w:rPr>
        <w:t>。主要原因：</w:t>
      </w:r>
      <w:r>
        <w:rPr>
          <w:rFonts w:hint="default" w:ascii="Times New Roman" w:hAnsi="Times New Roman" w:eastAsia="仿宋_GB2312" w:cs="Times New Roman"/>
          <w:color w:val="000000"/>
          <w:sz w:val="32"/>
          <w:szCs w:val="32"/>
          <w:highlight w:val="none"/>
        </w:rPr>
        <w:t>国家医学（医疗）中心建设项目医院加大投入，加强人才培育引进，导致培养专业人才实际完成数量远超过年度目标值。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p>
      <w:r>
        <w:rPr>
          <w:rFonts w:hint="default" w:ascii="Times New Roman" w:hAnsi="Times New Roman" w:eastAsia="汉仪书宋二S" w:cs="Times New Roman"/>
          <w:color w:val="000000"/>
          <w:sz w:val="32"/>
          <w:szCs w:val="32"/>
          <w:highlight w:val="none"/>
        </w:rPr>
        <w:t>④</w:t>
      </w:r>
      <w:r>
        <w:rPr>
          <w:rFonts w:hint="default" w:ascii="Times New Roman" w:hAnsi="Times New Roman" w:eastAsia="仿宋_GB2312" w:cs="Times New Roman"/>
          <w:color w:val="000000"/>
          <w:sz w:val="32"/>
          <w:szCs w:val="32"/>
          <w:highlight w:val="none"/>
        </w:rPr>
        <w:t>“科研成果转化数（个）（广东国际精准医学中心+广东国际心血管医学中心）”指标完成率超150%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CN"/>
        </w:rPr>
        <w:t>主要</w:t>
      </w:r>
      <w:r>
        <w:rPr>
          <w:rFonts w:hint="default" w:ascii="Times New Roman" w:hAnsi="Times New Roman" w:eastAsia="仿宋_GB2312" w:cs="Times New Roman"/>
          <w:b/>
          <w:bCs/>
          <w:color w:val="000000"/>
          <w:sz w:val="32"/>
          <w:szCs w:val="32"/>
          <w:highlight w:val="none"/>
        </w:rPr>
        <w:t>原因：</w:t>
      </w:r>
      <w:r>
        <w:rPr>
          <w:rFonts w:hint="default" w:ascii="Times New Roman" w:hAnsi="Times New Roman" w:eastAsia="仿宋_GB2312" w:cs="Times New Roman"/>
          <w:color w:val="000000"/>
          <w:sz w:val="32"/>
          <w:szCs w:val="32"/>
          <w:highlight w:val="none"/>
        </w:rPr>
        <w:t>国家医学（医疗）中心建设项目医院加大投入，加强人才培育引进，优化设备配置，不断增强临床和科研能力建设，推动临床诊疗技术创新、应用研究和成果转化在多个关键领域实现重大突破，导致各项目单位实际完成数量远超过年度目标值。</w:t>
      </w:r>
      <w:r>
        <w:rPr>
          <w:rFonts w:hint="default" w:ascii="Times New Roman" w:hAnsi="Times New Roman" w:eastAsia="仿宋_GB2312" w:cs="Times New Roman"/>
          <w:b/>
          <w:bCs/>
          <w:color w:val="000000"/>
          <w:sz w:val="32"/>
          <w:szCs w:val="32"/>
          <w:highlight w:val="none"/>
        </w:rPr>
        <w:t>改进措施：</w:t>
      </w:r>
      <w:r>
        <w:rPr>
          <w:rFonts w:hint="default" w:ascii="Times New Roman" w:hAnsi="Times New Roman" w:eastAsia="仿宋_GB2312" w:cs="Times New Roman"/>
          <w:color w:val="000000"/>
          <w:sz w:val="32"/>
          <w:szCs w:val="32"/>
          <w:highlight w:val="none"/>
        </w:rPr>
        <w:t>重点分析目标值设定是否合理、资金投入与产出效益是否匹配。在以后工作中，进行目标优化，合理设置专项经费绩效指标年度目标值，确保目标设置既符合工作实际，又具备可操作性，避免目标设定过高或过低。</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altName w:val="宋体"/>
    <w:panose1 w:val="02000500000000000000"/>
    <w:charset w:val="00"/>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059A6"/>
    <w:rsid w:val="4EAC6F5E"/>
    <w:rsid w:val="590C55A6"/>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5">
    <w:name w:val="Body Text First Indent 2"/>
    <w:basedOn w:val="4"/>
    <w:next w:val="1"/>
    <w:qFormat/>
    <w:uiPriority w:val="0"/>
    <w:pPr>
      <w:spacing w:line="360" w:lineRule="auto"/>
    </w:pPr>
    <w:rPr>
      <w:rFonts w:eastAsia="宋体"/>
      <w:sz w:val="24"/>
    </w:rPr>
  </w:style>
  <w:style w:type="character" w:customStyle="1" w:styleId="8">
    <w:name w:val="font41"/>
    <w:basedOn w:val="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2025-08-25T04:41:34Z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