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2024年度疾病预防控制事权</w:t>
      </w:r>
    </w:p>
    <w:p>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lang w:val="en-US" w:eastAsia="zh-CN"/>
        </w:rPr>
        <w:t>省级财政资金</w:t>
      </w:r>
      <w:r>
        <w:rPr>
          <w:rFonts w:hint="default" w:ascii="Times New Roman" w:hAnsi="Times New Roman" w:eastAsia="方正小标宋简体" w:cs="Times New Roman"/>
          <w:color w:val="000000"/>
          <w:sz w:val="44"/>
          <w:szCs w:val="44"/>
          <w:highlight w:val="none"/>
        </w:rPr>
        <w:t>绩效自评报告</w:t>
      </w:r>
    </w:p>
    <w:p>
      <w:pPr>
        <w:spacing w:line="360" w:lineRule="auto"/>
        <w:ind w:firstLine="450" w:firstLineChars="150"/>
        <w:rPr>
          <w:rFonts w:hint="default" w:ascii="Times New Roman" w:hAnsi="Times New Roman" w:eastAsia="仿宋_GB2312" w:cs="Times New Roman"/>
          <w:color w:val="000000"/>
          <w:sz w:val="30"/>
          <w:szCs w:val="30"/>
          <w:highlight w:val="none"/>
        </w:rPr>
      </w:pPr>
    </w:p>
    <w:p>
      <w:pPr>
        <w:spacing w:line="360" w:lineRule="auto"/>
        <w:ind w:firstLine="450" w:firstLineChars="150"/>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pStyle w:val="3"/>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2"/>
        <w:rPr>
          <w:rFonts w:hint="default" w:ascii="Times New Roman" w:hAnsi="Times New Roman" w:eastAsia="仿宋_GB2312" w:cs="Times New Roman"/>
          <w:color w:val="000000"/>
          <w:sz w:val="30"/>
          <w:szCs w:val="30"/>
          <w:highlight w:val="none"/>
        </w:rPr>
      </w:pPr>
    </w:p>
    <w:p>
      <w:pPr>
        <w:rPr>
          <w:rFonts w:hint="default" w:ascii="Times New Roman" w:hAnsi="Times New Roman" w:cs="Times New Roman"/>
          <w:color w:val="000000"/>
          <w:highlight w:val="none"/>
        </w:rPr>
      </w:pPr>
    </w:p>
    <w:p>
      <w:pPr>
        <w:snapToGrid w:val="0"/>
        <w:spacing w:beforeLines="0" w:afterLines="0" w:line="360" w:lineRule="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财政事权</w:t>
      </w:r>
      <w:r>
        <w:rPr>
          <w:rFonts w:hint="default" w:ascii="Times New Roman" w:hAnsi="Times New Roman" w:eastAsia="仿宋_GB2312" w:cs="Times New Roman"/>
          <w:b/>
          <w:bCs/>
          <w:color w:val="000000"/>
          <w:sz w:val="32"/>
          <w:szCs w:val="32"/>
          <w:highlight w:val="none"/>
        </w:rPr>
        <w:t>名称</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疾病预防控制</w:t>
      </w:r>
    </w:p>
    <w:p>
      <w:pPr>
        <w:snapToGrid w:val="0"/>
        <w:spacing w:beforeLines="0" w:afterLines="0" w:line="360" w:lineRule="auto"/>
        <w:ind w:left="2880" w:hanging="2891" w:hangingChars="9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对应政策任务个数：</w:t>
      </w:r>
      <w:r>
        <w:rPr>
          <w:rFonts w:hint="default" w:ascii="Times New Roman" w:hAnsi="Times New Roman" w:eastAsia="仿宋_GB2312" w:cs="Times New Roman"/>
          <w:color w:val="000000"/>
          <w:sz w:val="32"/>
          <w:szCs w:val="32"/>
          <w:highlight w:val="none"/>
          <w:lang w:val="en-US" w:eastAsia="zh-CN"/>
        </w:rPr>
        <w:t>2个（具体项目名称：疫病防控、疾控体系现代化建设）</w:t>
      </w:r>
    </w:p>
    <w:p>
      <w:pPr>
        <w:snapToGrid w:val="0"/>
        <w:spacing w:beforeLines="0" w:afterLines="0" w:line="360" w:lineRule="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预算</w:t>
      </w:r>
      <w:r>
        <w:rPr>
          <w:rFonts w:hint="default" w:ascii="Times New Roman" w:hAnsi="Times New Roman" w:eastAsia="仿宋_GB2312" w:cs="Times New Roman"/>
          <w:b/>
          <w:bCs/>
          <w:color w:val="000000"/>
          <w:sz w:val="32"/>
          <w:szCs w:val="32"/>
          <w:highlight w:val="none"/>
          <w:lang w:val="en-US" w:eastAsia="zh-CN"/>
        </w:rPr>
        <w:t>单位</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广东省</w:t>
      </w:r>
      <w:r>
        <w:rPr>
          <w:rFonts w:hint="default" w:ascii="Times New Roman" w:hAnsi="Times New Roman" w:eastAsia="仿宋_GB2312" w:cs="Times New Roman"/>
          <w:color w:val="000000"/>
          <w:sz w:val="32"/>
          <w:szCs w:val="32"/>
          <w:highlight w:val="none"/>
          <w:lang w:eastAsia="zh-CN"/>
        </w:rPr>
        <w:t>疾病预防控制局</w:t>
      </w:r>
    </w:p>
    <w:p>
      <w:pPr>
        <w:snapToGrid w:val="0"/>
        <w:spacing w:beforeLines="0" w:afterLines="0" w:line="360" w:lineRule="auto"/>
        <w:ind w:left="2880" w:hanging="2891" w:hangingChars="900"/>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填报人姓名：</w:t>
      </w:r>
      <w:r>
        <w:rPr>
          <w:rFonts w:hint="default" w:ascii="Times New Roman" w:hAnsi="Times New Roman" w:eastAsia="仿宋_GB2312" w:cs="Times New Roman"/>
          <w:b w:val="0"/>
          <w:bCs w:val="0"/>
          <w:color w:val="000000"/>
          <w:sz w:val="32"/>
          <w:szCs w:val="32"/>
          <w:highlight w:val="none"/>
          <w:lang w:eastAsia="zh-CN"/>
        </w:rPr>
        <w:t>曾霭莹</w:t>
      </w:r>
    </w:p>
    <w:p>
      <w:pPr>
        <w:snapToGrid w:val="0"/>
        <w:spacing w:beforeLines="0" w:afterLines="0" w:line="360" w:lineRule="auto"/>
        <w:ind w:left="2880" w:hanging="2891" w:hangingChars="900"/>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eastAsia="zh-CN"/>
        </w:rPr>
        <w:t>联系电话：</w:t>
      </w:r>
      <w:r>
        <w:rPr>
          <w:rFonts w:hint="default" w:ascii="Times New Roman" w:hAnsi="Times New Roman" w:eastAsia="仿宋_GB2312" w:cs="Times New Roman"/>
          <w:b w:val="0"/>
          <w:bCs w:val="0"/>
          <w:color w:val="000000"/>
          <w:sz w:val="32"/>
          <w:szCs w:val="32"/>
          <w:highlight w:val="none"/>
          <w:lang w:eastAsia="zh-CN"/>
        </w:rPr>
        <w:t>020-84469697</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left"/>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填报日期：</w:t>
      </w:r>
      <w:r>
        <w:rPr>
          <w:rFonts w:hint="default" w:ascii="Times New Roman" w:hAnsi="Times New Roman" w:eastAsia="仿宋_GB2312" w:cs="Times New Roman"/>
          <w:b w:val="0"/>
          <w:bCs w:val="0"/>
          <w:color w:val="000000"/>
          <w:sz w:val="32"/>
          <w:szCs w:val="32"/>
          <w:highlight w:val="none"/>
          <w:lang w:val="en-US" w:eastAsia="zh-CN"/>
        </w:rPr>
        <w:t>2025年5月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br w:type="page"/>
      </w:r>
      <w:r>
        <w:rPr>
          <w:rFonts w:hint="default" w:ascii="Times New Roman" w:hAnsi="Times New Roman" w:eastAsia="仿宋_GB2312" w:cs="Times New Roman"/>
          <w:color w:val="000000"/>
          <w:sz w:val="32"/>
          <w:szCs w:val="32"/>
          <w:highlight w:val="none"/>
          <w:lang w:val="en-US" w:eastAsia="zh-CN"/>
        </w:rPr>
        <w:t>根据《广东省财政厅关于开展2025年省级财政资金绩效自评工作的通知》，我局认真组织开展2024年度疾病预防控制事权省级财政资金绩效自评工作。现报告如下：</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一、基本情况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（一）评价资金额度及预算调整情况。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财政厅下达疾病预防控制财政事权省级补助资金合计24,258.02万元，年度绩效评价资金额度24,258.02万元。资金涵盖疫病防控（含病毒性肝炎早防早治）、疾控体系现代化建设（高水平疾控中心）等2个政策任务（项目）。详见表1。</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年度内本事权各政策任务预算执行规范，未发生预算调整或项目调整。</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562" w:firstLineChars="200"/>
        <w:jc w:val="center"/>
        <w:textAlignment w:val="auto"/>
        <w:rPr>
          <w:rFonts w:hint="default" w:ascii="Times New Roman" w:hAnsi="Times New Roman" w:eastAsia="宋体" w:cs="Times New Roman"/>
          <w:b/>
          <w:bCs/>
          <w:color w:val="000000"/>
          <w:kern w:val="0"/>
          <w:sz w:val="28"/>
          <w:szCs w:val="28"/>
          <w:highlight w:val="none"/>
          <w:lang w:val="en-US" w:eastAsia="zh-CN" w:bidi="ar"/>
        </w:rPr>
      </w:pPr>
      <w:r>
        <w:rPr>
          <w:rFonts w:hint="default" w:ascii="Times New Roman" w:hAnsi="Times New Roman" w:eastAsia="宋体" w:cs="Times New Roman"/>
          <w:b/>
          <w:bCs/>
          <w:color w:val="000000"/>
          <w:kern w:val="0"/>
          <w:sz w:val="28"/>
          <w:szCs w:val="28"/>
          <w:highlight w:val="none"/>
          <w:lang w:val="en-US" w:eastAsia="zh-CN" w:bidi="ar"/>
        </w:rPr>
        <w:t>表1  评价资金额度情况</w:t>
      </w:r>
    </w:p>
    <w:p>
      <w:pPr>
        <w:pStyle w:val="2"/>
        <w:keepNext w:val="0"/>
        <w:keepLines w:val="0"/>
        <w:pageBreakBefore w:val="0"/>
        <w:kinsoku/>
        <w:wordWrap/>
        <w:overflowPunct/>
        <w:topLinePunct w:val="0"/>
        <w:autoSpaceDE/>
        <w:autoSpaceDN/>
        <w:bidi w:val="0"/>
        <w:adjustRightInd/>
        <w:snapToGrid/>
        <w:spacing w:line="360" w:lineRule="exact"/>
        <w:ind w:left="0" w:right="0"/>
        <w:jc w:val="right"/>
        <w:rPr>
          <w:rFonts w:hint="default" w:ascii="Times New Roman" w:hAnsi="Times New Roman" w:eastAsia="宋体"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金额单位：万元</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0"/>
        <w:gridCol w:w="2513"/>
        <w:gridCol w:w="1263"/>
        <w:gridCol w:w="1285"/>
        <w:gridCol w:w="1183"/>
        <w:gridCol w:w="237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74" w:hRule="atLeast"/>
          <w:jc w:val="center"/>
        </w:trPr>
        <w:tc>
          <w:tcPr>
            <w:tcW w:w="70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序号</w:t>
            </w: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财政事权/政策任务</w:t>
            </w:r>
          </w:p>
        </w:tc>
        <w:tc>
          <w:tcPr>
            <w:tcW w:w="126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小计</w:t>
            </w:r>
          </w:p>
        </w:tc>
        <w:tc>
          <w:tcPr>
            <w:tcW w:w="12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省本级</w:t>
            </w:r>
          </w:p>
        </w:tc>
        <w:tc>
          <w:tcPr>
            <w:tcW w:w="118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对下</w:t>
            </w:r>
          </w:p>
        </w:tc>
        <w:tc>
          <w:tcPr>
            <w:tcW w:w="237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bidi="ar"/>
              </w:rPr>
              <w:t>省下达文号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highlight w:val="none"/>
                <w:u w:val="none"/>
              </w:rPr>
            </w:pP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疾病预防控制事权合计</w:t>
            </w:r>
          </w:p>
        </w:tc>
        <w:tc>
          <w:tcPr>
            <w:tcW w:w="126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24258.02</w:t>
            </w:r>
          </w:p>
        </w:tc>
        <w:tc>
          <w:tcPr>
            <w:tcW w:w="1285"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10735.67</w:t>
            </w:r>
          </w:p>
        </w:tc>
        <w:tc>
          <w:tcPr>
            <w:tcW w:w="1183" w:type="dxa"/>
            <w:tcBorders>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13522.35</w:t>
            </w:r>
          </w:p>
        </w:tc>
        <w:tc>
          <w:tcPr>
            <w:tcW w:w="2377"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highlight w:val="none"/>
                <w:u w:val="none"/>
                <w:lang w:val="en-US" w:eastAsia="zh-CN"/>
              </w:rPr>
            </w:pPr>
            <w:r>
              <w:rPr>
                <w:rFonts w:hint="default" w:ascii="Times New Roman" w:hAnsi="Times New Roman" w:eastAsia="宋体" w:cs="Times New Roman"/>
                <w:b/>
                <w:bCs/>
                <w:i w:val="0"/>
                <w:iCs w:val="0"/>
                <w:color w:val="000000"/>
                <w:sz w:val="22"/>
                <w:szCs w:val="22"/>
                <w:highlight w:val="none"/>
                <w:u w:val="none"/>
                <w:lang w:val="en-US"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0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一</w:t>
            </w: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疫病防控项目</w:t>
            </w:r>
          </w:p>
        </w:tc>
        <w:tc>
          <w:tcPr>
            <w:tcW w:w="126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20428.26</w:t>
            </w:r>
          </w:p>
        </w:tc>
        <w:tc>
          <w:tcPr>
            <w:tcW w:w="12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6905.91</w:t>
            </w:r>
          </w:p>
        </w:tc>
        <w:tc>
          <w:tcPr>
            <w:tcW w:w="118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13522.35</w:t>
            </w:r>
          </w:p>
        </w:tc>
        <w:tc>
          <w:tcPr>
            <w:tcW w:w="237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highlight w:val="none"/>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34" w:hRule="atLeast"/>
          <w:jc w:val="center"/>
        </w:trPr>
        <w:tc>
          <w:tcPr>
            <w:tcW w:w="7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1</w:t>
            </w: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其中：疫病防控</w:t>
            </w:r>
          </w:p>
        </w:tc>
        <w:tc>
          <w:tcPr>
            <w:tcW w:w="126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16200.00</w:t>
            </w:r>
          </w:p>
        </w:tc>
        <w:tc>
          <w:tcPr>
            <w:tcW w:w="12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6602.91</w:t>
            </w:r>
          </w:p>
        </w:tc>
        <w:tc>
          <w:tcPr>
            <w:tcW w:w="118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9597.09</w:t>
            </w:r>
          </w:p>
        </w:tc>
        <w:tc>
          <w:tcPr>
            <w:tcW w:w="237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粤财社〔2023〕359号、粤财预〔2024〕4号、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34" w:hRule="atLeast"/>
          <w:jc w:val="center"/>
        </w:trPr>
        <w:tc>
          <w:tcPr>
            <w:tcW w:w="7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sz w:val="22"/>
                <w:szCs w:val="22"/>
                <w:highlight w:val="none"/>
                <w:u w:val="none"/>
                <w:lang w:val="en-US" w:eastAsia="zh-CN"/>
              </w:rPr>
              <w:t>2</w:t>
            </w: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660" w:firstLineChars="30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病毒性肝炎早防</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660" w:firstLineChars="300"/>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早治</w:t>
            </w:r>
          </w:p>
        </w:tc>
        <w:tc>
          <w:tcPr>
            <w:tcW w:w="126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4228.26</w:t>
            </w:r>
          </w:p>
        </w:tc>
        <w:tc>
          <w:tcPr>
            <w:tcW w:w="12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303</w:t>
            </w:r>
          </w:p>
        </w:tc>
        <w:tc>
          <w:tcPr>
            <w:tcW w:w="118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3925.26</w:t>
            </w:r>
          </w:p>
        </w:tc>
        <w:tc>
          <w:tcPr>
            <w:tcW w:w="237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粤财社〔2024〕41号、粤财预〔2024〕4号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70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二</w:t>
            </w:r>
          </w:p>
        </w:tc>
        <w:tc>
          <w:tcPr>
            <w:tcW w:w="251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疾控体系现代化建设（高水平疾控中心）</w:t>
            </w:r>
          </w:p>
        </w:tc>
        <w:tc>
          <w:tcPr>
            <w:tcW w:w="1263"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3829.76</w:t>
            </w:r>
          </w:p>
        </w:tc>
        <w:tc>
          <w:tcPr>
            <w:tcW w:w="128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3829.76</w:t>
            </w:r>
          </w:p>
        </w:tc>
        <w:tc>
          <w:tcPr>
            <w:tcW w:w="1183"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c>
          <w:tcPr>
            <w:tcW w:w="237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粤财预〔2024〕4号</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（二）资金分配方式。</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1.疫病防控项目。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主要按因素法分配。其中，</w:t>
      </w:r>
      <w:r>
        <w:rPr>
          <w:rFonts w:hint="default" w:ascii="Times New Roman" w:hAnsi="Times New Roman" w:eastAsia="仿宋_GB2312" w:cs="Times New Roman"/>
          <w:b/>
          <w:bCs/>
          <w:color w:val="000000"/>
          <w:sz w:val="32"/>
          <w:szCs w:val="32"/>
          <w:highlight w:val="none"/>
          <w:lang w:val="en-US" w:eastAsia="zh-CN"/>
        </w:rPr>
        <w:t>疫病防控子项目</w:t>
      </w:r>
      <w:r>
        <w:rPr>
          <w:rFonts w:hint="default" w:ascii="Times New Roman" w:hAnsi="Times New Roman" w:eastAsia="仿宋_GB2312" w:cs="Times New Roman"/>
          <w:color w:val="000000"/>
          <w:sz w:val="32"/>
          <w:szCs w:val="32"/>
          <w:highlight w:val="none"/>
          <w:lang w:val="zh-CN" w:eastAsia="zh-CN"/>
        </w:rPr>
        <w:t>主要根据各地各单位承担年度工作任务量、补助对象数量及相关疾病发病情况等。</w:t>
      </w:r>
      <w:r>
        <w:rPr>
          <w:rFonts w:hint="default" w:ascii="Times New Roman" w:hAnsi="Times New Roman" w:eastAsia="仿宋_GB2312" w:cs="Times New Roman"/>
          <w:b/>
          <w:bCs/>
          <w:color w:val="000000"/>
          <w:sz w:val="32"/>
          <w:szCs w:val="32"/>
          <w:highlight w:val="none"/>
          <w:lang w:val="en-US" w:eastAsia="zh-CN"/>
        </w:rPr>
        <w:t>病毒性肝炎早防早治子项目</w:t>
      </w:r>
      <w:r>
        <w:rPr>
          <w:rFonts w:hint="default" w:ascii="Times New Roman" w:hAnsi="Times New Roman" w:eastAsia="仿宋_GB2312" w:cs="Times New Roman"/>
          <w:color w:val="000000"/>
          <w:sz w:val="32"/>
          <w:szCs w:val="32"/>
          <w:highlight w:val="none"/>
          <w:lang w:val="en-US" w:eastAsia="zh-CN"/>
        </w:rPr>
        <w:t>主要按照筛查任务量、培训、宣传等因素进行分配：（1）筛查费用。对项目地区20—70岁人群开展乙肝抗原、表面抗体、丙肝抗体筛查，20—70岁人口数和摸底乙肝抗原阳性人数根据2023年7月底开展的专项摸底调查数据；目标筛查人口数根据摸底人口数的70%测算（已扣减茂名化州试点完成筛查的10万人），并扣除已有乙肝筛查阳性结果人数，按照20元/人标准进行测算，包含检测试剂、耗材、样本运送、质量控制、人员和组织动员等费用。按照工作方案要求，2024年、2025年、2026年目标人群累计筛查率分别≥10%、30%和70%。因此2024年筛查费用按照目标人群筛查率达到10%进行经费分配。（2）省级工作经费。用于省级宣传、会议培训、督导评估、项目管理、专家咨询论证等。其中，广州市第八人民医院和深圳市第三人民医院因承担省级培训任务，由省卫生健康委直接转拨。</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2.疾控体系现代化建设（高水平疾控中心）项目。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采用项目法分配，主要按照资金支持的方向、相应的职能任务及相关的工作实施方案进行分配。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（三）主要用途。</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1.疫病防控项目资金。疫病防控子项目</w:t>
      </w:r>
      <w:r>
        <w:rPr>
          <w:rFonts w:hint="default" w:ascii="Times New Roman" w:hAnsi="Times New Roman" w:eastAsia="仿宋_GB2312" w:cs="Times New Roman"/>
          <w:color w:val="000000"/>
          <w:sz w:val="32"/>
          <w:szCs w:val="32"/>
          <w:highlight w:val="none"/>
          <w:lang w:val="en-US" w:eastAsia="zh-CN"/>
        </w:rPr>
        <w:t>主要用于</w:t>
      </w:r>
      <w:r>
        <w:rPr>
          <w:rFonts w:hint="default" w:ascii="Times New Roman" w:hAnsi="Times New Roman" w:eastAsia="仿宋_GB2312" w:cs="Times New Roman"/>
          <w:color w:val="000000"/>
          <w:sz w:val="32"/>
          <w:szCs w:val="32"/>
          <w:highlight w:val="none"/>
          <w:lang w:val="zh-CN" w:eastAsia="zh-CN"/>
        </w:rPr>
        <w:t>支持</w:t>
      </w:r>
      <w:r>
        <w:rPr>
          <w:rFonts w:hint="default" w:ascii="Times New Roman" w:hAnsi="Times New Roman" w:eastAsia="仿宋_GB2312" w:cs="Times New Roman"/>
          <w:color w:val="000000"/>
          <w:sz w:val="32"/>
          <w:szCs w:val="32"/>
          <w:highlight w:val="none"/>
          <w:lang w:val="en-US" w:eastAsia="zh-CN"/>
        </w:rPr>
        <w:t>省级有关机构和14个经济欠发达地市以及江门的台山、开平、恩平地区</w:t>
      </w:r>
      <w:r>
        <w:rPr>
          <w:rFonts w:hint="default" w:ascii="Times New Roman" w:hAnsi="Times New Roman" w:eastAsia="仿宋_GB2312" w:cs="Times New Roman"/>
          <w:color w:val="000000"/>
          <w:sz w:val="32"/>
          <w:szCs w:val="32"/>
          <w:highlight w:val="none"/>
          <w:lang w:val="zh-CN" w:eastAsia="zh-CN"/>
        </w:rPr>
        <w:t>免疫规划疫苗的储存、运输，人群免疫水平监测和疑似预防接种异常反应监测、调查诊断和异常反应补偿等，以及我省自行开展的传染病、慢性病、地方病、寄生虫病、精神卫生、职业病等疾病的综合干预、跟踪评价和改革性试点任务，为欠发达地区5家服务人口较多、防控任务较重的结核病防治机构配置移动DR车；同时，结合珠三角地区承担省级部署的试点、监测点等工作任务情况，适当安排补助资金。</w:t>
      </w:r>
      <w:r>
        <w:rPr>
          <w:rFonts w:hint="default" w:ascii="Times New Roman" w:hAnsi="Times New Roman" w:eastAsia="仿宋_GB2312" w:cs="Times New Roman"/>
          <w:b/>
          <w:bCs/>
          <w:color w:val="000000"/>
          <w:sz w:val="32"/>
          <w:szCs w:val="32"/>
          <w:highlight w:val="none"/>
          <w:lang w:val="zh-CN" w:eastAsia="zh-CN"/>
        </w:rPr>
        <w:t>其中</w:t>
      </w:r>
      <w:r>
        <w:rPr>
          <w:rFonts w:hint="default" w:ascii="Times New Roman" w:hAnsi="Times New Roman" w:eastAsia="仿宋_GB2312" w:cs="Times New Roman"/>
          <w:b/>
          <w:bCs/>
          <w:color w:val="000000"/>
          <w:sz w:val="32"/>
          <w:szCs w:val="32"/>
          <w:highlight w:val="none"/>
          <w:lang w:val="en-US" w:eastAsia="zh-CN"/>
        </w:rPr>
        <w:t>病毒性肝炎早防早治项目资金，</w:t>
      </w:r>
      <w:r>
        <w:rPr>
          <w:rFonts w:hint="default" w:ascii="Times New Roman" w:hAnsi="Times New Roman" w:eastAsia="仿宋_GB2312" w:cs="Times New Roman"/>
          <w:color w:val="000000"/>
          <w:sz w:val="32"/>
          <w:szCs w:val="32"/>
          <w:highlight w:val="none"/>
          <w:lang w:val="en-US" w:eastAsia="zh-CN"/>
        </w:rPr>
        <w:t>主要用于推动实施全省病毒性肝炎防治行动，其中省疾控中心等7家医疗卫生机构工作经费用于病毒性肝炎防治项目宣传、培训、项目管理等工作；57个县（市）经费用于支持开展目标人群乙肝表面抗原、乙肝表面抗体及丙肝抗体筛查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2.疾控体系现代化建设（高水平疾控中心）项目资金。</w:t>
      </w:r>
      <w:r>
        <w:rPr>
          <w:rFonts w:hint="default" w:ascii="Times New Roman" w:hAnsi="Times New Roman" w:eastAsia="仿宋_GB2312" w:cs="Times New Roman"/>
          <w:color w:val="000000"/>
          <w:sz w:val="32"/>
          <w:szCs w:val="32"/>
          <w:highlight w:val="none"/>
          <w:lang w:val="en-US" w:eastAsia="zh-CN"/>
        </w:rPr>
        <w:t>主要用于全方位引进培育高水平公卫人才，组建高层次人才团队。具体包括：（1）组建病毒学研究、卫生化验研究、寄生虫病防控研究、病媒生物控制研究、环境与健康研究、生物安全研究、流行病学研究、免疫规划研究、毒理学研究等方面的高层次人才团队，支持引进的高层次人才按照合同约定开展科学研究；（2）支持纳入“广东省特支计划”卫生健康平台人才项目榜单的领军人才和青年拔尖人才开展项目研究；（3）加强博士后科研工作站和博士工作站平台建设。</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（四）扶持对象。</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1.疫病防控项目资金。</w:t>
      </w:r>
      <w:r>
        <w:rPr>
          <w:rFonts w:hint="default" w:ascii="Times New Roman" w:hAnsi="Times New Roman" w:eastAsia="仿宋_GB2312" w:cs="Times New Roman"/>
          <w:color w:val="000000"/>
          <w:sz w:val="32"/>
          <w:szCs w:val="32"/>
          <w:highlight w:val="none"/>
          <w:lang w:val="en-US" w:eastAsia="zh-CN"/>
        </w:rPr>
        <w:t>主要扶持包括：省本级有关单位、各相关地市及县（市、区）卫生健康部门、各级疾控机构（疾控中心、结防机构、皮防机构、慢病机构等）、承担疫病防控职能的各类医疗机构、疫病防控技术指导单位以及各相关社会组织。</w:t>
      </w:r>
      <w:r>
        <w:rPr>
          <w:rFonts w:hint="default" w:ascii="Times New Roman" w:hAnsi="Times New Roman" w:eastAsia="仿宋_GB2312" w:cs="Times New Roman"/>
          <w:b/>
          <w:bCs/>
          <w:color w:val="000000"/>
          <w:sz w:val="32"/>
          <w:szCs w:val="32"/>
          <w:highlight w:val="none"/>
          <w:lang w:val="en-US" w:eastAsia="zh-CN"/>
        </w:rPr>
        <w:t>其中病毒性肝炎早防早治项目资金</w:t>
      </w:r>
      <w:r>
        <w:rPr>
          <w:rFonts w:hint="default" w:ascii="Times New Roman" w:hAnsi="Times New Roman" w:eastAsia="仿宋_GB2312" w:cs="Times New Roman"/>
          <w:b w:val="0"/>
          <w:bCs w:val="0"/>
          <w:color w:val="000000"/>
          <w:sz w:val="32"/>
          <w:szCs w:val="32"/>
          <w:highlight w:val="none"/>
          <w:lang w:val="en-US" w:eastAsia="zh-CN"/>
        </w:rPr>
        <w:t>，主要</w:t>
      </w:r>
      <w:r>
        <w:rPr>
          <w:rFonts w:hint="default" w:ascii="Times New Roman" w:hAnsi="Times New Roman" w:eastAsia="仿宋_GB2312" w:cs="Times New Roman"/>
          <w:color w:val="000000"/>
          <w:sz w:val="32"/>
          <w:szCs w:val="32"/>
          <w:highlight w:val="none"/>
          <w:lang w:val="en-US" w:eastAsia="zh-CN"/>
        </w:rPr>
        <w:t>扶持省本级承担病毒性肝炎早防早治相关工作的有关单位；全省57个项目县（市）目标筛查人数196.3万人（约占20—70岁目标人口数10%）。</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2.疾控体系现代化建设（高水平疾控中心）项目资金。</w:t>
      </w:r>
      <w:r>
        <w:rPr>
          <w:rFonts w:hint="default" w:ascii="Times New Roman" w:hAnsi="Times New Roman" w:eastAsia="仿宋_GB2312" w:cs="Times New Roman"/>
          <w:color w:val="000000"/>
          <w:sz w:val="32"/>
          <w:szCs w:val="32"/>
          <w:highlight w:val="none"/>
          <w:lang w:val="en-US" w:eastAsia="zh-CN"/>
        </w:rPr>
        <w:t>扶持对象包括：省疾控中心引进的高层次人才；省疾控中心纳入“广东省特支计划”卫生健康平台人才项目榜单的领军人才和青年拔尖人才；省疾控中心博士后科研工作站和博士工作站平台。</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（五）绩效目标。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1.疫病防控项目。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全省传染病疫情总体稳定，重大疾病得到有效防控。艾滋病感染者/病人随访检测比例≥90%，艾滋病全人群感染率0.13%以下，重点急性传染病监测任务完成率≥85%，国家免疫规划疫苗接种率≥90%，在册严重精神障碍患者规范管理率≥92%，肺结核发病率控制在40.5/10万以下。</w:t>
      </w:r>
      <w:r>
        <w:rPr>
          <w:rFonts w:hint="default" w:ascii="Times New Roman" w:hAnsi="Times New Roman" w:eastAsia="仿宋_GB2312" w:cs="Times New Roman"/>
          <w:b/>
          <w:bCs/>
          <w:color w:val="000000"/>
          <w:sz w:val="32"/>
          <w:szCs w:val="32"/>
          <w:highlight w:val="none"/>
          <w:lang w:val="en-US" w:eastAsia="zh-CN"/>
        </w:rPr>
        <w:t>其中病毒性肝炎早防早治项目年度目标</w:t>
      </w:r>
      <w:r>
        <w:rPr>
          <w:rFonts w:hint="default" w:ascii="Times New Roman" w:hAnsi="Times New Roman" w:eastAsia="仿宋_GB2312" w:cs="Times New Roman"/>
          <w:color w:val="000000"/>
          <w:sz w:val="32"/>
          <w:szCs w:val="32"/>
          <w:highlight w:val="none"/>
          <w:lang w:val="en-US" w:eastAsia="zh-CN"/>
        </w:rPr>
        <w:t>：启动病毒性肝炎早防早治工作，提升群众对病毒性肝炎的防治意识，开展医疗机构病毒性肝炎诊治技术培训，完成10%目标人群乙肝、丙肝筛查。</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省财政下达疫病防控项目（含病毒性肝炎早防早治子项目）绩效指标共36个，其中疫病防控</w:t>
      </w:r>
      <w:r>
        <w:rPr>
          <w:rFonts w:hint="eastAsia" w:ascii="Times New Roman" w:hAnsi="Times New Roman" w:cs="Times New Roman"/>
          <w:color w:val="000000"/>
          <w:sz w:val="32"/>
          <w:szCs w:val="32"/>
          <w:highlight w:val="none"/>
          <w:lang w:val="en-US" w:eastAsia="zh-CN"/>
        </w:rPr>
        <w:t>子</w:t>
      </w:r>
      <w:r>
        <w:rPr>
          <w:rFonts w:hint="default" w:ascii="Times New Roman" w:hAnsi="Times New Roman" w:eastAsia="仿宋_GB2312" w:cs="Times New Roman"/>
          <w:color w:val="000000"/>
          <w:sz w:val="32"/>
          <w:szCs w:val="32"/>
          <w:highlight w:val="none"/>
          <w:lang w:val="en-US" w:eastAsia="zh-CN"/>
        </w:rPr>
        <w:t>项目27个，病毒性肝炎早防早治子项目9个，详见表2。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000000"/>
          <w:kern w:val="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 xml:space="preserve">表2-1 </w:t>
      </w:r>
      <w:r>
        <w:rPr>
          <w:rFonts w:hint="default" w:ascii="Times New Roman" w:hAnsi="Times New Roman" w:eastAsia="宋体" w:cs="Times New Roman"/>
          <w:b/>
          <w:bCs/>
          <w:color w:val="000000"/>
          <w:sz w:val="28"/>
          <w:szCs w:val="28"/>
          <w:highlight w:val="none"/>
          <w:lang w:val="en" w:eastAsia="zh-CN"/>
        </w:rPr>
        <w:t xml:space="preserve"> </w:t>
      </w:r>
      <w:r>
        <w:rPr>
          <w:rFonts w:hint="default" w:ascii="Times New Roman" w:hAnsi="Times New Roman" w:eastAsia="宋体" w:cs="Times New Roman"/>
          <w:b/>
          <w:bCs/>
          <w:color w:val="000000"/>
          <w:sz w:val="28"/>
          <w:szCs w:val="28"/>
          <w:highlight w:val="none"/>
          <w:lang w:val="en-US" w:eastAsia="zh-CN"/>
        </w:rPr>
        <w:t>疫病防控</w:t>
      </w:r>
      <w:r>
        <w:rPr>
          <w:rFonts w:hint="eastAsia" w:ascii="Times New Roman" w:hAnsi="Times New Roman" w:eastAsia="宋体" w:cs="Times New Roman"/>
          <w:b/>
          <w:bCs/>
          <w:color w:val="000000"/>
          <w:sz w:val="28"/>
          <w:szCs w:val="28"/>
          <w:highlight w:val="none"/>
          <w:lang w:val="en-US" w:eastAsia="zh-CN"/>
        </w:rPr>
        <w:t>子</w:t>
      </w:r>
      <w:r>
        <w:rPr>
          <w:rFonts w:hint="default" w:ascii="Times New Roman" w:hAnsi="Times New Roman" w:eastAsia="宋体" w:cs="Times New Roman"/>
          <w:b/>
          <w:bCs/>
          <w:color w:val="000000"/>
          <w:sz w:val="28"/>
          <w:szCs w:val="28"/>
          <w:highlight w:val="none"/>
          <w:lang w:val="en-US" w:eastAsia="zh-CN"/>
        </w:rPr>
        <w:t>项目绩效指标表</w:t>
      </w:r>
    </w:p>
    <w:tbl>
      <w:tblPr>
        <w:tblStyle w:val="5"/>
        <w:tblW w:w="0" w:type="auto"/>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
      <w:tblGrid>
        <w:gridCol w:w="1229"/>
        <w:gridCol w:w="1316"/>
        <w:gridCol w:w="5147"/>
        <w:gridCol w:w="2151"/>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334" w:hRule="atLeast"/>
          <w:tblHeader/>
          <w:jc w:val="center"/>
        </w:trPr>
        <w:tc>
          <w:tcPr>
            <w:tcW w:w="12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一级</w:t>
            </w:r>
            <w:r>
              <w:rPr>
                <w:rStyle w:val="7"/>
                <w:rFonts w:hint="default" w:ascii="Times New Roman" w:hAnsi="Times New Roman" w:eastAsia="黑体" w:cs="Times New Roman"/>
                <w:b w:val="0"/>
                <w:bCs w:val="0"/>
                <w:color w:val="000000"/>
                <w:sz w:val="24"/>
                <w:szCs w:val="24"/>
                <w:highlight w:val="none"/>
                <w:lang w:val="en-US" w:eastAsia="zh-CN" w:bidi="ar"/>
              </w:rPr>
              <w:t>指标</w:t>
            </w:r>
          </w:p>
        </w:tc>
        <w:tc>
          <w:tcPr>
            <w:tcW w:w="13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二级指标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三级指标</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黑体" w:cs="Times New Roman"/>
                <w:b w:val="0"/>
                <w:bCs w:val="0"/>
                <w:i w:val="0"/>
                <w:iCs w:val="0"/>
                <w:color w:val="000000"/>
                <w:kern w:val="0"/>
                <w:sz w:val="24"/>
                <w:szCs w:val="24"/>
                <w:highlight w:val="none"/>
                <w:u w:val="none"/>
                <w:lang w:val="en-US" w:eastAsia="zh-CN" w:bidi="ar"/>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当年度三级指标</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目标值</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13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艾滋病感染者</w:t>
            </w:r>
            <w:r>
              <w:rPr>
                <w:rStyle w:val="8"/>
                <w:rFonts w:hint="default" w:ascii="Times New Roman" w:hAnsi="Times New Roman" w:eastAsia="宋体" w:cs="Times New Roman"/>
                <w:color w:val="000000"/>
                <w:sz w:val="24"/>
                <w:szCs w:val="24"/>
                <w:highlight w:val="none"/>
                <w:lang w:val="en-US" w:eastAsia="zh-CN" w:bidi="ar"/>
              </w:rPr>
              <w:t>/</w:t>
            </w:r>
            <w:r>
              <w:rPr>
                <w:rStyle w:val="9"/>
                <w:rFonts w:hint="default" w:ascii="Times New Roman" w:hAnsi="Times New Roman" w:eastAsia="宋体" w:cs="Times New Roman"/>
                <w:color w:val="000000"/>
                <w:sz w:val="24"/>
                <w:szCs w:val="24"/>
                <w:highlight w:val="none"/>
                <w:lang w:val="en-US" w:eastAsia="zh-CN" w:bidi="ar"/>
              </w:rPr>
              <w:t>病人随访人数（人）</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≥84000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重点急性传染病防治项目监测哨点采集任务量（份）</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≥169000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全省消毒效果评价工作（份）</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≥13400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在册严重精神障碍患者管理人数（人）</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≥591400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肺结核患者登记数（例）</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≥38000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对全省职业健康检查机构进行质控检查（家）</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国家免疫规划疫苗接种率（</w:t>
            </w:r>
            <w:r>
              <w:rPr>
                <w:rStyle w:val="8"/>
                <w:rFonts w:hint="default" w:ascii="Times New Roman" w:hAnsi="Times New Roman" w:eastAsia="宋体" w:cs="Times New Roman"/>
                <w:color w:val="000000"/>
                <w:sz w:val="24"/>
                <w:szCs w:val="24"/>
                <w:highlight w:val="none"/>
                <w:lang w:val="en-US" w:eastAsia="zh-CN" w:bidi="ar"/>
              </w:rPr>
              <w:t>%</w:t>
            </w:r>
            <w:r>
              <w:rPr>
                <w:rStyle w:val="9"/>
                <w:rFonts w:hint="default" w:ascii="Times New Roman" w:hAnsi="Times New Roman" w:eastAsia="宋体" w:cs="Times New Roman"/>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艾滋病感染者</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病人随访检测比例（</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麻风病可疑线索报告率（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城市饮用水水质监测区（县）覆盖率（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农村饮用水水质监测乡镇覆盖率（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学生常见病监测和干预县区覆盖率（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血吸虫病监测任务完成率（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在册严重精神障碍患者规范管理率（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全省突发公共卫生事件及时报告率（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慢性病综合防控示范区建设管理率（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全省消毒效果评价工作覆盖率（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以地市为单位开展耐药结核病规范化诊治工作覆盖率（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center"/>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重点急性传染病监测任务完成率（</w:t>
            </w:r>
            <w:r>
              <w:rPr>
                <w:rStyle w:val="8"/>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项目完成时间</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2024年12月</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项目预算控制</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1316"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社会效</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益指标</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重大公共卫生事件发生的风险逐步降低（是</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否）</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在册严重精神障碍患者服药率（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病原学阳性肺结核患者耐药筛查率（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艾滋病全人群感染率（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≤0.13</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肺结核发病率（</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≤40.5/10</w:t>
            </w:r>
            <w:r>
              <w:rPr>
                <w:rStyle w:val="9"/>
                <w:rFonts w:hint="default" w:ascii="Times New Roman" w:hAnsi="Times New Roman" w:eastAsia="宋体" w:cs="Times New Roman"/>
                <w:color w:val="000000"/>
                <w:sz w:val="24"/>
                <w:szCs w:val="24"/>
                <w:highlight w:val="none"/>
                <w:lang w:val="en-US" w:eastAsia="zh-CN" w:bidi="ar"/>
              </w:rPr>
              <w:t>万</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34" w:hRule="atLeast"/>
          <w:jc w:val="center"/>
        </w:trPr>
        <w:tc>
          <w:tcPr>
            <w:tcW w:w="122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jc w:val="both"/>
              <w:rPr>
                <w:rFonts w:hint="default" w:ascii="Times New Roman" w:hAnsi="Times New Roman" w:eastAsia="宋体" w:cs="Times New Roman"/>
                <w:i w:val="0"/>
                <w:iCs w:val="0"/>
                <w:color w:val="000000"/>
                <w:sz w:val="24"/>
                <w:szCs w:val="24"/>
                <w:highlight w:val="none"/>
                <w:u w:val="none"/>
              </w:rPr>
            </w:pPr>
          </w:p>
        </w:tc>
        <w:tc>
          <w:tcPr>
            <w:tcW w:w="131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服务对</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象满意度</w:t>
            </w:r>
          </w:p>
        </w:tc>
        <w:tc>
          <w:tcPr>
            <w:tcW w:w="514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both"/>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接受疾病防治服务对象满意度（</w:t>
            </w:r>
            <w:r>
              <w:rPr>
                <w:rStyle w:val="10"/>
                <w:rFonts w:hint="default" w:ascii="Times New Roman" w:hAnsi="Times New Roman" w:eastAsia="宋体" w:cs="Times New Roman"/>
                <w:b w:val="0"/>
                <w:bCs w:val="0"/>
                <w:color w:val="000000"/>
                <w:sz w:val="24"/>
                <w:szCs w:val="24"/>
                <w:highlight w:val="none"/>
                <w:lang w:val="en-US" w:eastAsia="zh-CN" w:bidi="ar"/>
              </w:rPr>
              <w:t>%</w:t>
            </w:r>
            <w:r>
              <w:rPr>
                <w:rStyle w:val="9"/>
                <w:rFonts w:hint="default" w:ascii="Times New Roman" w:hAnsi="Times New Roman" w:eastAsia="宋体" w:cs="Times New Roman"/>
                <w:b w:val="0"/>
                <w:bCs w:val="0"/>
                <w:color w:val="000000"/>
                <w:sz w:val="24"/>
                <w:szCs w:val="24"/>
                <w:highlight w:val="none"/>
                <w:lang w:val="en-US" w:eastAsia="zh-CN" w:bidi="ar"/>
              </w:rPr>
              <w:t>）</w:t>
            </w:r>
          </w:p>
        </w:tc>
        <w:tc>
          <w:tcPr>
            <w:tcW w:w="2151"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keepNext w:val="0"/>
        <w:keepLines w:val="0"/>
        <w:pageBreakBefore w:val="0"/>
        <w:widowControl/>
        <w:kinsoku/>
        <w:wordWrap/>
        <w:overflowPunct/>
        <w:topLinePunct w:val="0"/>
        <w:autoSpaceDE/>
        <w:autoSpaceDN/>
        <w:bidi w:val="0"/>
        <w:adjustRightInd/>
        <w:snapToGrid/>
        <w:spacing w:line="40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表2-2 病毒性肝炎早防早治子项目绩效指标表</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Layout w:type="fixed"/>
        <w:tblCellMar>
          <w:top w:w="0" w:type="dxa"/>
          <w:left w:w="108" w:type="dxa"/>
          <w:bottom w:w="0" w:type="dxa"/>
          <w:right w:w="108" w:type="dxa"/>
        </w:tblCellMar>
      </w:tblPr>
      <w:tblGrid>
        <w:gridCol w:w="1244"/>
        <w:gridCol w:w="1467"/>
        <w:gridCol w:w="5001"/>
        <w:gridCol w:w="22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14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当年度三级指标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指标值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146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HBsAg筛查地区数</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57个县（市）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HBsAg筛查人数</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≥1360万人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HBsAg筛查率</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目标人群中诊断为慢性乙肝患者的治疗率</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乙肝感染孕产妇所生高暴露风险儿童接受综合干预服务后血清学检测率</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预算资金下达及时率</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4"/>
                <w:szCs w:val="24"/>
                <w:highlight w:val="none"/>
                <w:u w:val="none"/>
              </w:rPr>
            </w:pPr>
          </w:p>
        </w:tc>
        <w:tc>
          <w:tcPr>
            <w:tcW w:w="14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预算控制有效性</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14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群众乙肝防治健康素养提高</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逐步提高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FFFFFF"/>
          <w:tblCellMar>
            <w:top w:w="0" w:type="dxa"/>
            <w:left w:w="108" w:type="dxa"/>
            <w:bottom w:w="0" w:type="dxa"/>
            <w:right w:w="108" w:type="dxa"/>
          </w:tblCellMar>
        </w:tblPrEx>
        <w:trPr>
          <w:trHeight w:val="334" w:hRule="atLeast"/>
          <w:jc w:val="center"/>
        </w:trPr>
        <w:tc>
          <w:tcPr>
            <w:tcW w:w="124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宋体" w:cs="Times New Roman"/>
                <w:i w:val="0"/>
                <w:iCs w:val="0"/>
                <w:color w:val="000000"/>
                <w:sz w:val="24"/>
                <w:szCs w:val="24"/>
                <w:highlight w:val="none"/>
                <w:u w:val="none"/>
              </w:rPr>
            </w:pPr>
          </w:p>
        </w:tc>
        <w:tc>
          <w:tcPr>
            <w:tcW w:w="146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服务对象满意度指标</w:t>
            </w:r>
          </w:p>
        </w:tc>
        <w:tc>
          <w:tcPr>
            <w:tcW w:w="500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调查服务对象满意度</w:t>
            </w:r>
          </w:p>
        </w:tc>
        <w:tc>
          <w:tcPr>
            <w:tcW w:w="22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2.疾控体系现代化建设（高水平疾控中心）项目。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（1）年度绩效目标。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全面加强高层次人才引进和培育工作，力争引进长江学者、国家杰出青年、长江学者青年学者、国家特支青年拔尖人才、广东特支计划青年拔尖人才等高层次人才，一批国内外优秀博士和博士后。同时加快培养我省公共卫生领域的高层次人才，力争实现省级人才工程入选，培养一批具有国际视野的应用型、复合型高水平人才，并力争实现国家级人才工程人选突破。引进高层次人才10人，开设5个课题研究，课题申报成功率提升10%。委派3名技术骨干前往国际知名高等院校和专业机构开展研学；承担国家自然科学基金、省重点项目或国家重点研发计划/重大科技专项课题2项，形成技术集成示范1项，形成高水平、原创性、有较大影响力的科研成果1项，力争实现疾病防控关键技术的科研创新突破，以科技创新带动和提升我省重大疾病防控能力。</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（2）年度绩效指标。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省财政下达疾控体系现代化建设（高水平疾控中心）项目绩效指标</w:t>
      </w:r>
      <w:r>
        <w:rPr>
          <w:rFonts w:hint="eastAsia" w:ascii="Times New Roman" w:hAnsi="Times New Roman"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个，详见表3。</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表3  疾控体系现代化建设项目绩效指标情况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408"/>
        <w:gridCol w:w="1539"/>
        <w:gridCol w:w="4750"/>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blHeader/>
          <w:jc w:val="center"/>
        </w:trPr>
        <w:tc>
          <w:tcPr>
            <w:tcW w:w="1408"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一级指标</w:t>
            </w:r>
          </w:p>
        </w:tc>
        <w:tc>
          <w:tcPr>
            <w:tcW w:w="15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二级指标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三级指标</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当年度三级指标目标值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40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指标</w:t>
            </w:r>
          </w:p>
        </w:tc>
        <w:tc>
          <w:tcPr>
            <w:tcW w:w="153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技术骨干国际化培训人数（人次）</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rPr>
                <w:rFonts w:hint="default" w:ascii="Times New Roman" w:hAnsi="Times New Roman" w:eastAsia="宋体" w:cs="Times New Roman"/>
                <w:i w:val="0"/>
                <w:iCs w:val="0"/>
                <w:color w:val="000000"/>
                <w:sz w:val="24"/>
                <w:szCs w:val="24"/>
                <w:highlight w:val="none"/>
                <w:u w:val="none"/>
              </w:rPr>
            </w:pPr>
          </w:p>
        </w:tc>
        <w:tc>
          <w:tcPr>
            <w:tcW w:w="153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rPr>
                <w:rFonts w:hint="default" w:ascii="Times New Roman" w:hAnsi="Times New Roman" w:eastAsia="宋体" w:cs="Times New Roman"/>
                <w:i w:val="0"/>
                <w:iCs w:val="0"/>
                <w:color w:val="000000"/>
                <w:sz w:val="24"/>
                <w:szCs w:val="24"/>
                <w:highlight w:val="none"/>
                <w:u w:val="none"/>
              </w:rPr>
            </w:pP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高水平团队人才引进数量（人）</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rPr>
                <w:rFonts w:hint="default" w:ascii="Times New Roman" w:hAnsi="Times New Roman" w:eastAsia="宋体" w:cs="Times New Roman"/>
                <w:i w:val="0"/>
                <w:iCs w:val="0"/>
                <w:color w:val="000000"/>
                <w:sz w:val="24"/>
                <w:szCs w:val="24"/>
                <w:highlight w:val="none"/>
                <w:u w:val="none"/>
              </w:rPr>
            </w:pPr>
          </w:p>
        </w:tc>
        <w:tc>
          <w:tcPr>
            <w:tcW w:w="1539"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rPr>
                <w:rFonts w:hint="default" w:ascii="Times New Roman" w:hAnsi="Times New Roman" w:eastAsia="宋体" w:cs="Times New Roman"/>
                <w:i w:val="0"/>
                <w:iCs w:val="0"/>
                <w:color w:val="000000"/>
                <w:sz w:val="24"/>
                <w:szCs w:val="24"/>
                <w:highlight w:val="none"/>
                <w:u w:val="none"/>
              </w:rPr>
            </w:pP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细分方向课题申报设立数（个）</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rPr>
                <w:rFonts w:hint="default" w:ascii="Times New Roman" w:hAnsi="Times New Roman" w:eastAsia="宋体" w:cs="Times New Roman"/>
                <w:i w:val="0"/>
                <w:iCs w:val="0"/>
                <w:color w:val="000000"/>
                <w:sz w:val="24"/>
                <w:szCs w:val="24"/>
                <w:highlight w:val="none"/>
                <w:u w:val="none"/>
              </w:rPr>
            </w:pPr>
          </w:p>
        </w:tc>
        <w:tc>
          <w:tcPr>
            <w:tcW w:w="15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课题申报成功率提升（%）</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rPr>
            </w:pPr>
          </w:p>
        </w:tc>
        <w:tc>
          <w:tcPr>
            <w:tcW w:w="15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项目完成时间</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2024年12月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5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项目预算控制</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不超预算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08"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指标</w:t>
            </w:r>
          </w:p>
        </w:tc>
        <w:tc>
          <w:tcPr>
            <w:tcW w:w="153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对提升我省重大疾病防控能力发挥的影响</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p>
        </w:tc>
        <w:tc>
          <w:tcPr>
            <w:tcW w:w="1539"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服务对象满意度指标</w:t>
            </w: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引进和培训的人才满意度（%）</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408"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p>
        </w:tc>
        <w:tc>
          <w:tcPr>
            <w:tcW w:w="1539"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lang w:val="en-US" w:eastAsia="zh-CN"/>
              </w:rPr>
            </w:pPr>
          </w:p>
        </w:tc>
        <w:tc>
          <w:tcPr>
            <w:tcW w:w="475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用人单位满意度（%）</w:t>
            </w:r>
          </w:p>
        </w:tc>
        <w:tc>
          <w:tcPr>
            <w:tcW w:w="1882"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4"/>
                <w:szCs w:val="24"/>
                <w:highlight w:val="none"/>
                <w:u w:val="none"/>
                <w:lang w:val="en-US" w:eastAsia="zh-CN"/>
              </w:rPr>
              <w:t>≥85</w:t>
            </w:r>
          </w:p>
        </w:tc>
      </w:tr>
    </w:tbl>
    <w:p>
      <w:pPr>
        <w:pStyle w:val="2"/>
        <w:jc w:val="center"/>
        <w:rPr>
          <w:rFonts w:hint="default" w:ascii="Times New Roman" w:hAnsi="Times New Roman" w:cs="Times New Roman"/>
          <w:color w:val="000000"/>
          <w:highlight w:val="none"/>
          <w:u w:val="none"/>
        </w:rPr>
      </w:pPr>
    </w:p>
    <w:p>
      <w:pPr>
        <w:keepNext w:val="0"/>
        <w:keepLines w:val="0"/>
        <w:pageBreakBefore w:val="0"/>
        <w:widowControl/>
        <w:suppressLineNumbers w:val="0"/>
        <w:kinsoku/>
        <w:wordWrap/>
        <w:overflowPunct/>
        <w:topLinePunct w:val="0"/>
        <w:autoSpaceDE/>
        <w:autoSpaceDN/>
        <w:bidi w:val="0"/>
        <w:adjustRightInd/>
        <w:spacing w:line="400" w:lineRule="exact"/>
        <w:ind w:left="0" w:right="0" w:firstLine="562" w:firstLineChars="200"/>
        <w:jc w:val="both"/>
        <w:textAlignment w:val="auto"/>
        <w:rPr>
          <w:rFonts w:hint="default" w:ascii="Times New Roman" w:hAnsi="Times New Roman" w:eastAsia="宋体" w:cs="Times New Roman"/>
          <w:b/>
          <w:bCs/>
          <w:color w:val="000000"/>
          <w:kern w:val="0"/>
          <w:sz w:val="28"/>
          <w:szCs w:val="28"/>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二、自评情况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（一）自评结论。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我局严格对照2025年省级财政资金绩效自评要求，从项目实施过程、产出和效益三个维度，开展全面自评。经综合评定，疾病预防控制事权各政策任务较好完成年度绩效目标和各项绩效指标。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（二）专项资金使用绩效。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1.专项资金支出情况。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2024年度疾病预防控制事权预算资金24</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258.02万元已经足额下达至各地各单位，省级财政资金拨付率100%。</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截至2024年12月31日，2024年度疾病预防控制事权省级财政资金实际支出14</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225.86万元，支出率</w:t>
      </w:r>
      <w:r>
        <w:rPr>
          <w:rFonts w:hint="default" w:ascii="Times New Roman" w:hAnsi="Times New Roman" w:eastAsia="仿宋_GB2312" w:cs="Times New Roman"/>
          <w:color w:val="000000"/>
          <w:sz w:val="32"/>
          <w:szCs w:val="32"/>
          <w:highlight w:val="none"/>
          <w:lang w:val="en" w:eastAsia="zh-CN"/>
        </w:rPr>
        <w:t>58.64</w:t>
      </w:r>
      <w:r>
        <w:rPr>
          <w:rFonts w:hint="default" w:ascii="Times New Roman" w:hAnsi="Times New Roman" w:eastAsia="仿宋_GB2312" w:cs="Times New Roman"/>
          <w:color w:val="000000"/>
          <w:sz w:val="32"/>
          <w:szCs w:val="32"/>
          <w:highlight w:val="none"/>
          <w:lang w:val="en-US" w:eastAsia="zh-CN"/>
        </w:rPr>
        <w:t>%（详见表4）。</w:t>
      </w: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kern w:val="0"/>
          <w:sz w:val="28"/>
          <w:szCs w:val="28"/>
          <w:highlight w:val="none"/>
          <w:lang w:val="en-US" w:eastAsia="zh-CN" w:bidi="ar"/>
        </w:rPr>
        <w:t>表4  专项资金支出情况</w:t>
      </w:r>
    </w:p>
    <w:p>
      <w:pPr>
        <w:keepNext w:val="0"/>
        <w:keepLines w:val="0"/>
        <w:pageBreakBefore w:val="0"/>
        <w:kinsoku/>
        <w:wordWrap/>
        <w:overflowPunct/>
        <w:topLinePunct w:val="0"/>
        <w:autoSpaceDE/>
        <w:autoSpaceDN/>
        <w:bidi w:val="0"/>
        <w:adjustRightInd/>
        <w:snapToGrid w:val="0"/>
        <w:spacing w:line="400" w:lineRule="exact"/>
        <w:jc w:val="right"/>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color w:val="000000"/>
          <w:sz w:val="24"/>
          <w:szCs w:val="24"/>
          <w:highlight w:val="none"/>
          <w:lang w:val="en-US" w:eastAsia="zh-CN"/>
        </w:rPr>
        <w:t>金</w:t>
      </w:r>
      <w:r>
        <w:rPr>
          <w:rFonts w:hint="default" w:ascii="Times New Roman" w:hAnsi="Times New Roman" w:eastAsia="仿宋_GB2312" w:cs="Times New Roman"/>
          <w:b w:val="0"/>
          <w:bCs w:val="0"/>
          <w:color w:val="000000"/>
          <w:sz w:val="24"/>
          <w:szCs w:val="24"/>
          <w:highlight w:val="none"/>
        </w:rPr>
        <w:t>额单位：万</w:t>
      </w:r>
      <w:r>
        <w:rPr>
          <w:rFonts w:hint="default" w:ascii="Times New Roman" w:hAnsi="Times New Roman" w:eastAsia="仿宋_GB2312" w:cs="Times New Roman"/>
          <w:b w:val="0"/>
          <w:bCs w:val="0"/>
          <w:color w:val="000000"/>
          <w:sz w:val="24"/>
          <w:szCs w:val="24"/>
          <w:highlight w:val="none"/>
          <w:lang w:val="en-US" w:eastAsia="zh-CN"/>
        </w:rPr>
        <w:t>元</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09"/>
        <w:gridCol w:w="3244"/>
        <w:gridCol w:w="1018"/>
        <w:gridCol w:w="1185"/>
        <w:gridCol w:w="1043"/>
        <w:gridCol w:w="1161"/>
        <w:gridCol w:w="104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09" w:type="dxa"/>
            <w:vMerge w:val="restart"/>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3244" w:type="dxa"/>
            <w:vMerge w:val="restart"/>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政策任务</w:t>
            </w:r>
          </w:p>
        </w:tc>
        <w:tc>
          <w:tcPr>
            <w:tcW w:w="1018" w:type="dxa"/>
            <w:vMerge w:val="restart"/>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支出率</w:t>
            </w:r>
          </w:p>
        </w:tc>
        <w:tc>
          <w:tcPr>
            <w:tcW w:w="1185" w:type="dxa"/>
            <w:vMerge w:val="restart"/>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预算金额</w:t>
            </w:r>
          </w:p>
        </w:tc>
        <w:tc>
          <w:tcPr>
            <w:tcW w:w="3249" w:type="dxa"/>
            <w:gridSpan w:val="3"/>
            <w:tcBorders>
              <w:top w:val="single" w:color="000000" w:sz="4" w:space="0"/>
              <w:left w:val="nil"/>
              <w:bottom w:val="nil"/>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实际支出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09" w:type="dxa"/>
            <w:vMerge w:val="continue"/>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3244" w:type="dxa"/>
            <w:vMerge w:val="continue"/>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018" w:type="dxa"/>
            <w:vMerge w:val="continue"/>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185" w:type="dxa"/>
            <w:vMerge w:val="continue"/>
            <w:tcBorders>
              <w:top w:val="single" w:color="000000" w:sz="4" w:space="0"/>
              <w:left w:val="nil"/>
              <w:bottom w:val="single" w:color="000000"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400" w:lineRule="exact"/>
              <w:jc w:val="center"/>
              <w:rPr>
                <w:rFonts w:hint="eastAsia" w:ascii="黑体" w:hAnsi="黑体" w:eastAsia="黑体" w:cs="黑体"/>
                <w:b w:val="0"/>
                <w:bCs w:val="0"/>
                <w:i w:val="0"/>
                <w:iCs w:val="0"/>
                <w:color w:val="000000"/>
                <w:sz w:val="24"/>
                <w:szCs w:val="24"/>
                <w:highlight w:val="none"/>
                <w:u w:val="none"/>
              </w:rPr>
            </w:pPr>
          </w:p>
        </w:tc>
        <w:tc>
          <w:tcPr>
            <w:tcW w:w="1043" w:type="dxa"/>
            <w:tcBorders>
              <w:top w:val="nil"/>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小计</w:t>
            </w:r>
          </w:p>
        </w:tc>
        <w:tc>
          <w:tcPr>
            <w:tcW w:w="1161" w:type="dxa"/>
            <w:tcBorders>
              <w:top w:val="nil"/>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省本级</w:t>
            </w:r>
          </w:p>
        </w:tc>
        <w:tc>
          <w:tcPr>
            <w:tcW w:w="1045" w:type="dxa"/>
            <w:tcBorders>
              <w:top w:val="nil"/>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对下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153" w:type="dxa"/>
            <w:gridSpan w:val="2"/>
            <w:tcBorders>
              <w:top w:val="nil"/>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合    计</w:t>
            </w:r>
          </w:p>
        </w:tc>
        <w:tc>
          <w:tcPr>
            <w:tcW w:w="1018" w:type="dxa"/>
            <w:tcBorders>
              <w:top w:val="nil"/>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58.64%</w:t>
            </w:r>
          </w:p>
        </w:tc>
        <w:tc>
          <w:tcPr>
            <w:tcW w:w="1185" w:type="dxa"/>
            <w:tcBorders>
              <w:top w:val="nil"/>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24258.02</w:t>
            </w:r>
          </w:p>
        </w:tc>
        <w:tc>
          <w:tcPr>
            <w:tcW w:w="1043" w:type="dxa"/>
            <w:tcBorders>
              <w:top w:val="nil"/>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14225.86</w:t>
            </w:r>
          </w:p>
        </w:tc>
        <w:tc>
          <w:tcPr>
            <w:tcW w:w="1161" w:type="dxa"/>
            <w:tcBorders>
              <w:top w:val="nil"/>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10133.4</w:t>
            </w:r>
          </w:p>
        </w:tc>
        <w:tc>
          <w:tcPr>
            <w:tcW w:w="1045" w:type="dxa"/>
            <w:tcBorders>
              <w:top w:val="nil"/>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b/>
                <w:i w:val="0"/>
                <w:color w:val="000000"/>
                <w:kern w:val="0"/>
                <w:sz w:val="21"/>
                <w:szCs w:val="21"/>
                <w:highlight w:val="none"/>
                <w:u w:val="none"/>
                <w:lang w:val="en-US" w:eastAsia="zh-CN" w:bidi="ar"/>
              </w:rPr>
              <w:t>4092.46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09"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w:t>
            </w:r>
          </w:p>
        </w:tc>
        <w:tc>
          <w:tcPr>
            <w:tcW w:w="3244"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疫病防控项目</w:t>
            </w:r>
          </w:p>
        </w:tc>
        <w:tc>
          <w:tcPr>
            <w:tcW w:w="1018"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50.89%</w:t>
            </w:r>
          </w:p>
        </w:tc>
        <w:tc>
          <w:tcPr>
            <w:tcW w:w="118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20428.26</w:t>
            </w:r>
          </w:p>
        </w:tc>
        <w:tc>
          <w:tcPr>
            <w:tcW w:w="1043"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10396.10 </w:t>
            </w:r>
          </w:p>
        </w:tc>
        <w:tc>
          <w:tcPr>
            <w:tcW w:w="1161"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6303.64 </w:t>
            </w:r>
          </w:p>
        </w:tc>
        <w:tc>
          <w:tcPr>
            <w:tcW w:w="104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4092.46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09"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kern w:val="2"/>
                <w:sz w:val="22"/>
                <w:szCs w:val="22"/>
                <w:highlight w:val="none"/>
                <w:u w:val="none"/>
                <w:lang w:val="en-US" w:eastAsia="zh-CN" w:bidi="ar-SA"/>
              </w:rPr>
            </w:pPr>
            <w:r>
              <w:rPr>
                <w:rFonts w:hint="default" w:ascii="Times New Roman" w:hAnsi="Times New Roman" w:eastAsia="宋体" w:cs="Times New Roman"/>
                <w:i w:val="0"/>
                <w:iCs w:val="0"/>
                <w:color w:val="000000"/>
                <w:sz w:val="22"/>
                <w:szCs w:val="22"/>
                <w:highlight w:val="none"/>
                <w:u w:val="none"/>
                <w:lang w:val="en-US" w:eastAsia="zh-CN"/>
              </w:rPr>
              <w:t>1</w:t>
            </w:r>
          </w:p>
        </w:tc>
        <w:tc>
          <w:tcPr>
            <w:tcW w:w="3244"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其中：疫病防控</w:t>
            </w:r>
          </w:p>
        </w:tc>
        <w:tc>
          <w:tcPr>
            <w:tcW w:w="1018"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55.28%</w:t>
            </w:r>
          </w:p>
        </w:tc>
        <w:tc>
          <w:tcPr>
            <w:tcW w:w="118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16200.00</w:t>
            </w:r>
          </w:p>
        </w:tc>
        <w:tc>
          <w:tcPr>
            <w:tcW w:w="1043"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color w:val="000000"/>
                <w:kern w:val="0"/>
                <w:sz w:val="22"/>
                <w:szCs w:val="22"/>
                <w:highlight w:val="none"/>
                <w:lang w:bidi="ar"/>
              </w:rPr>
              <w:t>8,955.97</w:t>
            </w:r>
          </w:p>
        </w:tc>
        <w:tc>
          <w:tcPr>
            <w:tcW w:w="1161"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6,088.82</w:t>
            </w:r>
          </w:p>
        </w:tc>
        <w:tc>
          <w:tcPr>
            <w:tcW w:w="104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2,867.15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09"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sz w:val="22"/>
                <w:szCs w:val="22"/>
                <w:highlight w:val="none"/>
                <w:u w:val="none"/>
                <w:lang w:val="en-US" w:eastAsia="zh-CN"/>
              </w:rPr>
              <w:t>2</w:t>
            </w:r>
          </w:p>
        </w:tc>
        <w:tc>
          <w:tcPr>
            <w:tcW w:w="3244"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660" w:firstLineChars="30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病毒性肝炎早防早治</w:t>
            </w:r>
          </w:p>
        </w:tc>
        <w:tc>
          <w:tcPr>
            <w:tcW w:w="1018"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34.06%</w:t>
            </w:r>
          </w:p>
        </w:tc>
        <w:tc>
          <w:tcPr>
            <w:tcW w:w="118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4228.26</w:t>
            </w:r>
          </w:p>
        </w:tc>
        <w:tc>
          <w:tcPr>
            <w:tcW w:w="1043"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1440.13 </w:t>
            </w:r>
          </w:p>
        </w:tc>
        <w:tc>
          <w:tcPr>
            <w:tcW w:w="1161"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214.82 </w:t>
            </w:r>
          </w:p>
        </w:tc>
        <w:tc>
          <w:tcPr>
            <w:tcW w:w="1045" w:type="dxa"/>
            <w:tcBorders>
              <w:top w:val="single" w:color="999999" w:sz="4" w:space="0"/>
              <w:left w:val="nil"/>
              <w:bottom w:val="single" w:color="999999"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1225.31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06" w:hRule="atLeast"/>
          <w:jc w:val="center"/>
        </w:trPr>
        <w:tc>
          <w:tcPr>
            <w:tcW w:w="909"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w:t>
            </w:r>
          </w:p>
        </w:tc>
        <w:tc>
          <w:tcPr>
            <w:tcW w:w="3244"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疾控体系现代化建设（高水平疾控中心）项目</w:t>
            </w:r>
          </w:p>
        </w:tc>
        <w:tc>
          <w:tcPr>
            <w:tcW w:w="1018"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w:t>
            </w:r>
          </w:p>
        </w:tc>
        <w:tc>
          <w:tcPr>
            <w:tcW w:w="1185"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3829.76</w:t>
            </w:r>
          </w:p>
        </w:tc>
        <w:tc>
          <w:tcPr>
            <w:tcW w:w="1043"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3829.76 </w:t>
            </w:r>
          </w:p>
        </w:tc>
        <w:tc>
          <w:tcPr>
            <w:tcW w:w="1161"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3829.76 </w:t>
            </w:r>
          </w:p>
        </w:tc>
        <w:tc>
          <w:tcPr>
            <w:tcW w:w="1045" w:type="dxa"/>
            <w:tcBorders>
              <w:top w:val="single" w:color="999999" w:sz="4" w:space="0"/>
              <w:left w:val="nil"/>
              <w:bottom w:val="single" w:color="000000" w:sz="4" w:space="0"/>
              <w:right w:val="nil"/>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宋体" w:cs="Times New Roman"/>
                <w:i w:val="0"/>
                <w:iCs w:val="0"/>
                <w:color w:val="000000"/>
                <w:sz w:val="22"/>
                <w:szCs w:val="22"/>
                <w:highlight w:val="none"/>
                <w:u w:val="none"/>
                <w:lang w:val="en-US" w:eastAsia="zh-CN"/>
              </w:rPr>
            </w:pPr>
            <w:r>
              <w:rPr>
                <w:rFonts w:hint="default" w:ascii="Times New Roman" w:hAnsi="Times New Roman" w:eastAsia="宋体" w:cs="Times New Roman"/>
                <w:i w:val="0"/>
                <w:iCs w:val="0"/>
                <w:color w:val="000000"/>
                <w:sz w:val="22"/>
                <w:szCs w:val="22"/>
                <w:highlight w:val="none"/>
                <w:u w:val="none"/>
                <w:lang w:val="en-US" w:eastAsia="zh-CN"/>
              </w:rPr>
              <w:t>-</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2.专项资金绩效目标完成情况。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（1）疫病防控项目。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疫病防控子项目年度目标如期实现：我省重点传染病监测能力进一步强化、疫情处置做到“早发现、快响应、强阻断”、防控措施兼顾高效性与可持续性，社会影响可控，全省传染病疫情总体稳定，重大疾病有效防控。艾滋病感染者/病人随访检测比例96.22%，艾滋病全人群感染率0.088%，重点急性传染病监测任务完成率139.11%，国家免疫规划疫苗接种率97.03%，在册严重精神障碍患者规范管理率97.76%，肺结核发病率控制在38/10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宋体" w:cs="Times New Roman"/>
          <w:color w:val="000000"/>
          <w:sz w:val="32"/>
          <w:szCs w:val="22"/>
          <w:highlight w:val="none"/>
          <w:lang w:val="en-US" w:eastAsia="zh-CN"/>
        </w:rPr>
      </w:pPr>
      <w:r>
        <w:rPr>
          <w:rFonts w:hint="default" w:ascii="Times New Roman" w:hAnsi="Times New Roman" w:eastAsia="仿宋_GB2312" w:cs="Times New Roman"/>
          <w:color w:val="000000"/>
          <w:sz w:val="32"/>
          <w:szCs w:val="32"/>
          <w:highlight w:val="none"/>
          <w:lang w:val="en-US" w:eastAsia="zh-CN"/>
        </w:rPr>
        <w:t>病毒性肝炎早防早治子项目年度目标亦如期实现：</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启动病毒性肝炎早防早治工作，提升群众对病毒性肝炎的防治意识。2024年7月30日，省公共卫生与重大疾病防治工作小组召开全省项目启动会，部署全省57个县（市）全面启动项目实施，部署65个区和东莞、中山各镇街参照实施。委托南方日报集团开展多渠道立体宣传，包括公益广告、专家直播、信息流等。由骆抗先、何剑峰专家出镜拍摄公益广告片《消除病毒性肝炎危害，早防早治是关键》，由侯金林教授、何剑峰副主任进行专家直播。省宣教中心印制海报13万份，宣传折页40万份发放至57个项目县（市），宣传工作县市覆盖率达到100%。</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开展医疗机构病毒性肝炎诊治技术培训。制发病毒性肝炎早防早治工作规范及系列配套技术方案，明确“筛、诊、治、管”和疫苗接种、技术培训等全流程管理要求；委托省公共卫生研究院开展了两期全省骨干培训，累计培训超4300人次。南方医科大学南方医院、中山大学附属第三医院、广州医科大学附属市八医院、深圳市第三人民医院四家医院按照分片包干原则，完成对项目地市945家肝病定点医疗机构2258名医务人员的病毒性肝炎诊疗技术培训，全面提升各级医疗机构肝病防治能力。培训工作县市覆盖率达到100%。</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目标人群乙肝、丙肝筛查目标任务实现。截至2024年12月31日，省财政补助的57个项目县（市）累计筛查人数197.2万人，完成2024年196万的筛查任务目标。20—70岁目标人群乙肝累计筛查率10.28%，达到《行动方案》目标人群筛查率≥10%的工作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②绩效指标完成情况。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资金支出率。本指标当年度目标值为“100%”。截至2024年12月31日，本年度疫病防控项目（含病毒性肝炎早防早治）资金支出率50.89%，指标完成率50.89%，未实现预期目标。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w:t>
      </w:r>
      <w:r>
        <w:rPr>
          <w:rFonts w:hint="default" w:ascii="Times New Roman" w:hAnsi="Times New Roman" w:eastAsia="仿宋_GB2312" w:cs="Times New Roman"/>
          <w:color w:val="000000"/>
          <w:sz w:val="32"/>
          <w:szCs w:val="32"/>
          <w:highlight w:val="none"/>
          <w:lang w:val="en-US" w:eastAsia="zh-CN"/>
        </w:rPr>
        <w:t xml:space="preserve"> 监管有效性。本指标当年度目标值为“有效”。省疾控局围绕“监管有效性”年度目标，多举措提升疫病防控项目监管效能，确保全面完成预期指标。</w:t>
      </w:r>
      <w:r>
        <w:rPr>
          <w:rFonts w:hint="default" w:ascii="Times New Roman" w:hAnsi="Times New Roman" w:eastAsia="仿宋_GB2312" w:cs="Times New Roman"/>
          <w:b/>
          <w:bCs/>
          <w:color w:val="000000"/>
          <w:sz w:val="32"/>
          <w:szCs w:val="32"/>
          <w:highlight w:val="none"/>
          <w:lang w:val="en-US" w:eastAsia="zh-CN"/>
        </w:rPr>
        <w:t>在专项检查评估方面</w:t>
      </w:r>
      <w:r>
        <w:rPr>
          <w:rFonts w:hint="default" w:ascii="Times New Roman" w:hAnsi="Times New Roman" w:eastAsia="仿宋_GB2312" w:cs="Times New Roman"/>
          <w:color w:val="000000"/>
          <w:sz w:val="32"/>
          <w:szCs w:val="32"/>
          <w:highlight w:val="none"/>
          <w:lang w:val="en-US" w:eastAsia="zh-CN"/>
        </w:rPr>
        <w:t>，组织开展了预防接种管理工作评估、法定传染病报告质量调研、伤害监测点数据质量控制、碘缺乏病实验室外部质控考核以及流感监测工作评价等专项检查工作，覆盖全省疫病防控机构及相关单位。</w:t>
      </w:r>
      <w:r>
        <w:rPr>
          <w:rFonts w:hint="default" w:ascii="Times New Roman" w:hAnsi="Times New Roman" w:eastAsia="仿宋_GB2312" w:cs="Times New Roman"/>
          <w:b/>
          <w:bCs/>
          <w:color w:val="000000"/>
          <w:sz w:val="32"/>
          <w:szCs w:val="32"/>
          <w:highlight w:val="none"/>
          <w:lang w:val="en-US" w:eastAsia="zh-CN"/>
        </w:rPr>
        <w:t>在资金绩效监控方面，</w:t>
      </w:r>
      <w:r>
        <w:rPr>
          <w:rFonts w:hint="default" w:ascii="Times New Roman" w:hAnsi="Times New Roman" w:eastAsia="仿宋_GB2312" w:cs="Times New Roman"/>
          <w:color w:val="000000"/>
          <w:sz w:val="32"/>
          <w:szCs w:val="32"/>
          <w:highlight w:val="none"/>
          <w:lang w:val="en-US" w:eastAsia="zh-CN"/>
        </w:rPr>
        <w:t>扎实开展预算执行进度通报，并将支出进度与预算安排挂钩，实现预算执行动态跟踪和风险预警。项目监管有效，指标完成率达100%，实现预期目标。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single"/>
          <w:lang w:val="en-US" w:eastAsia="zh-CN"/>
        </w:rPr>
      </w:pPr>
      <w:r>
        <w:rPr>
          <w:rFonts w:hint="default" w:ascii="Times New Roman" w:hAnsi="Times New Roman" w:eastAsia="仿宋_GB2312" w:cs="Times New Roman"/>
          <w:color w:val="000000"/>
          <w:sz w:val="32"/>
          <w:szCs w:val="32"/>
          <w:highlight w:val="none"/>
          <w:u w:val="single"/>
          <w:lang w:val="en-US" w:eastAsia="zh-CN"/>
        </w:rPr>
        <w:t>A.疫病防控子项目产出指标和效益指标完成情况。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w:t>
      </w:r>
      <w:r>
        <w:rPr>
          <w:rFonts w:hint="default" w:ascii="Times New Roman" w:hAnsi="Times New Roman" w:eastAsia="仿宋_GB2312" w:cs="Times New Roman"/>
          <w:color w:val="000000"/>
          <w:sz w:val="32"/>
          <w:szCs w:val="32"/>
          <w:highlight w:val="none"/>
          <w:lang w:val="en-US" w:eastAsia="zh-CN"/>
        </w:rPr>
        <w:t>艾滋病感染者/病人随访人数（人）。本指标当年度目标值为“≥84000人”。2024年实际完成艾滋病感染者/病人随访88519人，指标完成率105.38%（88519/84000），实现预期目标。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指标4 </w:t>
      </w:r>
      <w:r>
        <w:rPr>
          <w:rFonts w:hint="default" w:ascii="Times New Roman" w:hAnsi="Times New Roman" w:eastAsia="仿宋_GB2312" w:cs="Times New Roman"/>
          <w:color w:val="000000"/>
          <w:sz w:val="32"/>
          <w:szCs w:val="32"/>
          <w:highlight w:val="none"/>
          <w:lang w:val="en-US" w:eastAsia="zh-CN"/>
        </w:rPr>
        <w:t>重点急性传染病防治项目监测哨点采集任务量（份）。本指标当年度目标值为“≥169000份”。2024年实际完成重点急性传染病防治项目监测哨点采集278164份，指标完成率164.59%（278164/169000），实现预期目标。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指标5 </w:t>
      </w:r>
      <w:r>
        <w:rPr>
          <w:rFonts w:hint="default" w:ascii="Times New Roman" w:hAnsi="Times New Roman" w:eastAsia="仿宋_GB2312" w:cs="Times New Roman"/>
          <w:color w:val="000000"/>
          <w:sz w:val="32"/>
          <w:szCs w:val="32"/>
          <w:highlight w:val="none"/>
          <w:lang w:val="en-US" w:eastAsia="zh-CN"/>
        </w:rPr>
        <w:t>全省消毒效果评价工作（份）。本指标当年度目标值为“≥13400份”。2024年实际完成消毒效果评价工作60367份（包含省市县各级财政承担任务完成数），指标完成率450.5%（60367/13400），实现预期目标。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指标6 </w:t>
      </w:r>
      <w:r>
        <w:rPr>
          <w:rFonts w:hint="default" w:ascii="Times New Roman" w:hAnsi="Times New Roman" w:eastAsia="仿宋_GB2312" w:cs="Times New Roman"/>
          <w:color w:val="000000"/>
          <w:sz w:val="32"/>
          <w:szCs w:val="32"/>
          <w:highlight w:val="none"/>
          <w:lang w:val="en-US" w:eastAsia="zh-CN"/>
        </w:rPr>
        <w:t>在册严重精神障碍患者管理人数（人）。本指标当年度目标值为“≥591400人”。2024年实际完成在册严重精神障碍患者管理636422人，指标完成率107.61%（636422/591400），实现预期目标。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指标7</w:t>
      </w:r>
      <w:r>
        <w:rPr>
          <w:rFonts w:hint="default" w:ascii="Times New Roman" w:hAnsi="Times New Roman" w:eastAsia="仿宋_GB2312" w:cs="Times New Roman"/>
          <w:color w:val="000000"/>
          <w:sz w:val="32"/>
          <w:szCs w:val="32"/>
          <w:highlight w:val="none"/>
          <w:lang w:val="en-US" w:eastAsia="zh-CN"/>
        </w:rPr>
        <w:t xml:space="preserve"> 肺结核患者登记数（例）。本指标当年度目标值为“≥38000例”。2024年实际完成肺结核患者登记40646例，指标完成率106.96%（40646/38000），实现预期目标。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指标8 </w:t>
      </w:r>
      <w:r>
        <w:rPr>
          <w:rFonts w:hint="default" w:ascii="Times New Roman" w:hAnsi="Times New Roman" w:eastAsia="仿宋_GB2312" w:cs="Times New Roman"/>
          <w:color w:val="000000"/>
          <w:sz w:val="32"/>
          <w:szCs w:val="32"/>
          <w:highlight w:val="none"/>
          <w:lang w:val="en-US" w:eastAsia="zh-CN"/>
        </w:rPr>
        <w:t>对全省职业健康检查机构进行质控检查（家）。本指标当年度目标值为“120家”。2024年实际完成职业健康检查机构进行质控检查175家，指标完成率145.83%（175/120），实现预期目标。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国家免疫规划疫苗接种率（%）。本指标当年度目标值为“≥90%”。2024年免疫规划疫苗实际接种剂次数29900821剂，接种率97.03%（29900821/30816582），指标完成率107.81%（97.03%/90%），实现预期目标。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指标10</w:t>
      </w:r>
      <w:r>
        <w:rPr>
          <w:rFonts w:hint="default" w:ascii="Times New Roman" w:hAnsi="Times New Roman" w:eastAsia="仿宋_GB2312" w:cs="Times New Roman"/>
          <w:color w:val="000000"/>
          <w:sz w:val="32"/>
          <w:szCs w:val="32"/>
          <w:highlight w:val="none"/>
          <w:lang w:val="en-US" w:eastAsia="zh-CN"/>
        </w:rPr>
        <w:t xml:space="preserve"> 艾滋病感染者/病人随访检测比例（%）。本指标当年度目标值为“≥90%”。2024年实际随访到并完成至少一次CD4检测88519人，艾滋病感染者/病人随访检测比例96.22%（88519/91998），指标完成率106.91%（96.22%/90%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指标11 </w:t>
      </w:r>
      <w:r>
        <w:rPr>
          <w:rFonts w:hint="default" w:ascii="Times New Roman" w:hAnsi="Times New Roman" w:eastAsia="仿宋_GB2312" w:cs="Times New Roman"/>
          <w:color w:val="000000"/>
          <w:sz w:val="32"/>
          <w:szCs w:val="32"/>
          <w:highlight w:val="none"/>
          <w:lang w:val="en-US" w:eastAsia="zh-CN"/>
        </w:rPr>
        <w:t>麻风病可疑线索报告率（%）。本指标当年度目标值为“≥90%”。2024年实际完成麻风病可疑线索报告11948人，任务完成率132.75%（11948/9000），指标完成率147.5%（132.75%/90%），实现预期目标。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指标12</w:t>
      </w:r>
      <w:r>
        <w:rPr>
          <w:rFonts w:hint="default" w:ascii="Times New Roman" w:hAnsi="Times New Roman" w:eastAsia="仿宋_GB2312" w:cs="Times New Roman"/>
          <w:color w:val="000000"/>
          <w:sz w:val="32"/>
          <w:szCs w:val="32"/>
          <w:highlight w:val="none"/>
          <w:lang w:val="en-US" w:eastAsia="zh-CN"/>
        </w:rPr>
        <w:t xml:space="preserve"> 城市饮用水水质监测区（县）覆盖率（%）。本指标当年度目标值为“100%”。2024年实际完成城市饮用水水质监测区（县）128个（含非建制区），指标完成率100%（128/128），实现预期目标。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指标13 </w:t>
      </w:r>
      <w:r>
        <w:rPr>
          <w:rFonts w:hint="default" w:ascii="Times New Roman" w:hAnsi="Times New Roman" w:eastAsia="仿宋_GB2312" w:cs="Times New Roman"/>
          <w:color w:val="000000"/>
          <w:sz w:val="32"/>
          <w:szCs w:val="32"/>
          <w:highlight w:val="none"/>
          <w:lang w:val="en-US" w:eastAsia="zh-CN"/>
        </w:rPr>
        <w:t>农村饮用水水质监测乡镇覆盖率（%）。本指标当年度目标值为“100%”。2024年实际完成农村饮用水水质监测乡镇1041个（部分乡镇接入市政供水系统，不纳入农村饮用水水质监测乡镇范围），任务完成率100%（1041/1041），指标完成率100%（100%/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指标14</w:t>
      </w:r>
      <w:r>
        <w:rPr>
          <w:rFonts w:hint="default" w:ascii="Times New Roman" w:hAnsi="Times New Roman" w:eastAsia="仿宋_GB2312" w:cs="Times New Roman"/>
          <w:color w:val="000000"/>
          <w:sz w:val="32"/>
          <w:szCs w:val="32"/>
          <w:highlight w:val="none"/>
          <w:lang w:val="en-US" w:eastAsia="zh-CN"/>
        </w:rPr>
        <w:t xml:space="preserve"> 学生常见病监测和干预县区覆盖率（%）。本指标当年度目标值为“100%”。2024年实际开展学生常见病和健康影响因素监测的县（市区）122个，任务完成率100%（122/122），指标完成率100%（100%/100%），实现预期目标。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指标15</w:t>
      </w:r>
      <w:r>
        <w:rPr>
          <w:rFonts w:hint="default" w:ascii="Times New Roman" w:hAnsi="Times New Roman" w:eastAsia="仿宋_GB2312" w:cs="Times New Roman"/>
          <w:color w:val="000000"/>
          <w:sz w:val="32"/>
          <w:szCs w:val="32"/>
          <w:highlight w:val="none"/>
          <w:lang w:val="en-US" w:eastAsia="zh-CN"/>
        </w:rPr>
        <w:t xml:space="preserve"> 血吸虫病监测任务完成率（%）。本指标当年度目标值为“100%”。2024年实际完成血吸虫病监测14个，任务完成率100%（14/14），指标完成率100%（100%/100%），实现预期目标。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指标16</w:t>
      </w:r>
      <w:r>
        <w:rPr>
          <w:rFonts w:hint="default" w:ascii="Times New Roman" w:hAnsi="Times New Roman" w:eastAsia="仿宋_GB2312" w:cs="Times New Roman"/>
          <w:color w:val="000000"/>
          <w:sz w:val="32"/>
          <w:szCs w:val="32"/>
          <w:highlight w:val="none"/>
          <w:lang w:val="en-US" w:eastAsia="zh-CN"/>
        </w:rPr>
        <w:t xml:space="preserve"> 在册严重精神障碍患者规范管理率（%）。本指标当年度目标值为“≥92%”。2024年在册严重精神障碍患者规范管理实际完成632105例，任务完成率97.76%（632105/646616），指标完成率106.26%（97.76%/92%），实现预期目标。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指标17 </w:t>
      </w:r>
      <w:r>
        <w:rPr>
          <w:rFonts w:hint="default" w:ascii="Times New Roman" w:hAnsi="Times New Roman" w:eastAsia="仿宋_GB2312" w:cs="Times New Roman"/>
          <w:color w:val="000000"/>
          <w:sz w:val="32"/>
          <w:szCs w:val="32"/>
          <w:highlight w:val="none"/>
          <w:lang w:val="en-US" w:eastAsia="zh-CN"/>
        </w:rPr>
        <w:t>全省突发公共卫生事件及时报告率（%）。本指标当年度目标值为“≥95%”。2024年全省报告一般及以上级别突发公共卫生事件7起，及时报告件数7起，报告及时率为100%，指标完成率1</w:t>
      </w:r>
      <w:r>
        <w:rPr>
          <w:rFonts w:hint="default" w:ascii="Times New Roman" w:hAnsi="Times New Roman" w:eastAsia="仿宋_GB2312" w:cs="Times New Roman"/>
          <w:color w:val="000000"/>
          <w:sz w:val="32"/>
          <w:szCs w:val="32"/>
          <w:highlight w:val="none"/>
          <w:lang w:eastAsia="zh-CN"/>
        </w:rPr>
        <w:t>05.26</w:t>
      </w:r>
      <w:r>
        <w:rPr>
          <w:rFonts w:hint="default"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color w:val="000000"/>
          <w:sz w:val="32"/>
          <w:szCs w:val="32"/>
          <w:highlight w:val="none"/>
          <w:lang w:eastAsia="zh-CN"/>
        </w:rPr>
        <w:t>95</w:t>
      </w:r>
      <w:r>
        <w:rPr>
          <w:rFonts w:hint="default" w:ascii="Times New Roman" w:hAnsi="Times New Roman" w:eastAsia="仿宋_GB2312" w:cs="Times New Roman"/>
          <w:color w:val="000000"/>
          <w:sz w:val="32"/>
          <w:szCs w:val="32"/>
          <w:highlight w:val="none"/>
          <w:lang w:val="en-US" w:eastAsia="zh-CN"/>
        </w:rPr>
        <w:t>%），实现预期目标。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指标18</w:t>
      </w:r>
      <w:r>
        <w:rPr>
          <w:rFonts w:hint="default" w:ascii="Times New Roman" w:hAnsi="Times New Roman" w:eastAsia="仿宋_GB2312" w:cs="Times New Roman"/>
          <w:color w:val="000000"/>
          <w:sz w:val="32"/>
          <w:szCs w:val="32"/>
          <w:highlight w:val="none"/>
          <w:lang w:val="en-US" w:eastAsia="zh-CN"/>
        </w:rPr>
        <w:t xml:space="preserve"> 慢性病综合防控示范区建设管理率（%）。本指标当年度目标值为“≥85%”。2024年实际完成慢性病综合防控示范区建设27个，管理率100%（27/27），指标完成率117.65%（100%/85%），实现预期目标。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指标19</w:t>
      </w:r>
      <w:r>
        <w:rPr>
          <w:rFonts w:hint="default" w:ascii="Times New Roman" w:hAnsi="Times New Roman" w:eastAsia="仿宋_GB2312" w:cs="Times New Roman"/>
          <w:color w:val="000000"/>
          <w:sz w:val="32"/>
          <w:szCs w:val="32"/>
          <w:highlight w:val="none"/>
          <w:lang w:val="en-US" w:eastAsia="zh-CN"/>
        </w:rPr>
        <w:t xml:space="preserve"> 全省消毒效果评价工作覆盖率（%）。本指标当年度目标值为“≥95%（任务数：全省重点场所消毒质量监测项目各类机构32间，其中托幼机构监测32间、养老机构监测32间、医疗机构监测32间；医疗机构NICU肠道病毒风险监测40间）”。2024年实际完成托幼机构监测586间，完成率1831.25%（=586/32）；养老机构监测50间，完成率156.25%（=50/32）；、医疗机构监测1996间，完成率6237.5%（=1996/32）；医疗机构NICU肠道病毒风险监测68间，完成率170%（=68/40）。全省消毒效果评价任务全部完成，平均完成值1317.50</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全部实现预期目标。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指标20</w:t>
      </w:r>
      <w:r>
        <w:rPr>
          <w:rFonts w:hint="default" w:ascii="Times New Roman" w:hAnsi="Times New Roman" w:eastAsia="仿宋_GB2312" w:cs="Times New Roman"/>
          <w:color w:val="000000"/>
          <w:sz w:val="32"/>
          <w:szCs w:val="32"/>
          <w:highlight w:val="none"/>
          <w:lang w:val="en-US" w:eastAsia="zh-CN"/>
        </w:rPr>
        <w:t xml:space="preserve"> 以地市为单位开展耐药结核病规范化诊治工作覆盖率（%）。本指标当年度目标值为“100%”。2024年实际完成以地市为单位开展耐药结核病规范化诊治工作21个，覆盖率100%（21/21），</w:t>
      </w:r>
      <w:r>
        <w:rPr>
          <w:rFonts w:hint="default" w:ascii="Times New Roman" w:hAnsi="Times New Roman" w:eastAsia="仿宋_GB2312" w:cs="Times New Roman"/>
          <w:color w:val="000000"/>
          <w:sz w:val="32"/>
          <w:szCs w:val="32"/>
          <w:highlight w:val="none"/>
          <w:lang w:eastAsia="zh-CN"/>
        </w:rPr>
        <w:t>指标完成率100%</w:t>
      </w:r>
      <w:r>
        <w:rPr>
          <w:rFonts w:hint="default" w:ascii="Times New Roman" w:hAnsi="Times New Roman" w:eastAsia="仿宋_GB2312" w:cs="Times New Roman"/>
          <w:color w:val="000000"/>
          <w:sz w:val="32"/>
          <w:szCs w:val="32"/>
          <w:highlight w:val="none"/>
          <w:lang w:val="en-US" w:eastAsia="zh-CN"/>
        </w:rPr>
        <w:t>（100%/100%）</w:t>
      </w:r>
      <w:r>
        <w:rPr>
          <w:rFonts w:hint="default" w:ascii="Times New Roman" w:hAnsi="Times New Roman" w:eastAsia="仿宋_GB2312" w:cs="Times New Roman"/>
          <w:color w:val="000000"/>
          <w:sz w:val="32"/>
          <w:szCs w:val="32"/>
          <w:highlight w:val="none"/>
          <w:lang w:eastAsia="zh-CN"/>
        </w:rPr>
        <w:t>，实现预期目标。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指标21</w:t>
      </w:r>
      <w:r>
        <w:rPr>
          <w:rFonts w:hint="default" w:ascii="Times New Roman" w:hAnsi="Times New Roman" w:eastAsia="仿宋_GB2312" w:cs="Times New Roman"/>
          <w:color w:val="000000"/>
          <w:sz w:val="32"/>
          <w:szCs w:val="32"/>
          <w:highlight w:val="none"/>
          <w:lang w:val="en-US" w:eastAsia="zh-CN"/>
        </w:rPr>
        <w:t xml:space="preserve"> 重点急性传染病监测任务完成率（%）。本指标当年度目标值为“≥85%”。2024年实际完成重点急性传染病监测278164份，</w:t>
      </w:r>
      <w:r>
        <w:rPr>
          <w:rFonts w:hint="default" w:ascii="Times New Roman" w:hAnsi="Times New Roman" w:eastAsia="仿宋_GB2312" w:cs="Times New Roman"/>
          <w:color w:val="000000"/>
          <w:sz w:val="32"/>
          <w:szCs w:val="32"/>
          <w:highlight w:val="none"/>
          <w:lang w:eastAsia="zh-CN"/>
        </w:rPr>
        <w:t>任务</w:t>
      </w:r>
      <w:r>
        <w:rPr>
          <w:rFonts w:hint="default" w:ascii="Times New Roman" w:hAnsi="Times New Roman" w:eastAsia="仿宋_GB2312" w:cs="Times New Roman"/>
          <w:color w:val="000000"/>
          <w:sz w:val="32"/>
          <w:szCs w:val="32"/>
          <w:highlight w:val="none"/>
          <w:lang w:val="en-US" w:eastAsia="zh-CN"/>
        </w:rPr>
        <w:t>完成率133.91%（278164/207732），指标完成率157.54%（133.91%/85%），实现预期目标。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指标22</w:t>
      </w:r>
      <w:r>
        <w:rPr>
          <w:rFonts w:hint="default" w:ascii="Times New Roman" w:hAnsi="Times New Roman" w:eastAsia="仿宋_GB2312" w:cs="Times New Roman"/>
          <w:color w:val="000000"/>
          <w:sz w:val="32"/>
          <w:szCs w:val="32"/>
          <w:highlight w:val="none"/>
          <w:lang w:val="en-US" w:eastAsia="zh-CN"/>
        </w:rPr>
        <w:t xml:space="preserve"> 项目完成时间。本指标当年度目标值为“2024年12月31日”。疫病防控子项目开始实施时间为2024年1月1日，持续时间一年）。截至2024年12月31日，疫病防控子项目年度目标任务全部按计划完成，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指标23</w:t>
      </w:r>
      <w:r>
        <w:rPr>
          <w:rFonts w:hint="default" w:ascii="Times New Roman" w:hAnsi="Times New Roman" w:eastAsia="仿宋_GB2312" w:cs="Times New Roman"/>
          <w:color w:val="000000"/>
          <w:sz w:val="32"/>
          <w:szCs w:val="32"/>
          <w:highlight w:val="none"/>
          <w:lang w:val="en-US" w:eastAsia="zh-CN"/>
        </w:rPr>
        <w:t xml:space="preserve"> 项目预算控制。本指标当年度目标值为“不超预算”。2024年度疫病防控子项目省级财政预算资金162,000.00万元。截至2024年12月31日，实际支出8,955.97万元，项目资金支出不超预算，指标完成率100%，实现预期目标。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指标24</w:t>
      </w:r>
      <w:r>
        <w:rPr>
          <w:rFonts w:hint="default" w:ascii="Times New Roman" w:hAnsi="Times New Roman" w:eastAsia="仿宋_GB2312" w:cs="Times New Roman"/>
          <w:color w:val="000000"/>
          <w:sz w:val="32"/>
          <w:szCs w:val="32"/>
          <w:highlight w:val="none"/>
          <w:lang w:val="en-US" w:eastAsia="zh-CN"/>
        </w:rPr>
        <w:t xml:space="preserve"> 重大公共卫生事件发生的风险逐步降低（是/否）。本指标当年度目标值为“是”。2024年，我省着力强化监测预警、应急处置和防控能力的全面提升。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监测与检测能力显著提升。根据国家和省级实施方案及年度任务要求，完成登革热（包括寨卡和基肯孔雅热）、出血热、钩体、狂犬病、布病、恙虫病、鼠疫、新冠、流感、人禽流感、SARS、猩红热、手足口病、霍乱等细菌性腹泻、诺如等病毒性腹泻、急性出血性结膜炎、疱疹性咽峡炎、致病菌、病媒生物等20个病种（专项）疫情、哨点监测、实验室检测、能力建设、预警分析等工作，全年各地市哨点完成采集任务合计278154份，完成检测任务合计567784项次，哨点监测指标完成率133.9%（278154/207732），检测指标完成率超过147.75%（567784/ 384287），疾病监控体系高效运转，能更早发现潜在疫情。同时，实验室检测和预警分析能力增强，有助于快速识别病原体特征，为精准防控提供支持。</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疫情处置成效显著。全年成功处置86起新发突发及重点急性传染病疫情，阻断传播链，避免扩散为重大公共卫生事件；非法定传染病发病水平下降，说明防控措施有效减少了非重点传染病的流行风险。</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防控体系整体优化。通过流行病学与病原学特征分析，实现疫情形势科学研判，提升了应急响应效率；社会资源占用压力减缓，反映出防控策略从被动应对转向主动防控，系统性风险降低。综上分析说明，我省重大公共卫生事件发生的风险逐步降低，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指标25</w:t>
      </w:r>
      <w:r>
        <w:rPr>
          <w:rFonts w:hint="default" w:ascii="Times New Roman" w:hAnsi="Times New Roman" w:eastAsia="仿宋_GB2312" w:cs="Times New Roman"/>
          <w:color w:val="000000"/>
          <w:sz w:val="32"/>
          <w:szCs w:val="32"/>
          <w:highlight w:val="none"/>
          <w:lang w:val="en-US" w:eastAsia="zh-CN"/>
        </w:rPr>
        <w:t xml:space="preserve"> 在册严重精神障碍患者服药率（%）。本指标当年度目标值为“≥80%”。2024年全省在册严重精神障碍患者服药实际完成623904例，任务完成值96.49%（623904/646616），指标完成率120.61%（96.49%/80%），实现预期目标。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指标26</w:t>
      </w:r>
      <w:r>
        <w:rPr>
          <w:rFonts w:hint="default" w:ascii="Times New Roman" w:hAnsi="Times New Roman" w:eastAsia="仿宋_GB2312" w:cs="Times New Roman"/>
          <w:color w:val="000000"/>
          <w:sz w:val="32"/>
          <w:szCs w:val="32"/>
          <w:highlight w:val="none"/>
          <w:lang w:val="en-US" w:eastAsia="zh-CN"/>
        </w:rPr>
        <w:t xml:space="preserve"> 病原学阳性肺结核患者耐药筛查率（%）。本指标当年度目标值为“≥85%”。2024年全省实际完成病原学阳性肺结核患者耐药筛查22731例，任务完成率96.1%（22731/23662），指标完成率113.06%（96.1%/85%），实现预期目标。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指标27</w:t>
      </w:r>
      <w:r>
        <w:rPr>
          <w:rFonts w:hint="default" w:ascii="Times New Roman" w:hAnsi="Times New Roman" w:eastAsia="仿宋_GB2312" w:cs="Times New Roman"/>
          <w:color w:val="000000"/>
          <w:sz w:val="32"/>
          <w:szCs w:val="32"/>
          <w:highlight w:val="none"/>
          <w:lang w:val="en-US" w:eastAsia="zh-CN"/>
        </w:rPr>
        <w:t xml:space="preserve"> 艾滋病全人群感染率（%）。本指标当年度目标值为“</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0.13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”。2024年全省艾滋病全人群感染率为0.088%（111050/126567626），指标完成率147.73%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0.13%/0.088%</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指标28</w:t>
      </w:r>
      <w:r>
        <w:rPr>
          <w:rFonts w:hint="default" w:ascii="Times New Roman" w:hAnsi="Times New Roman" w:eastAsia="仿宋_GB2312" w:cs="Times New Roman"/>
          <w:color w:val="000000"/>
          <w:sz w:val="32"/>
          <w:szCs w:val="32"/>
          <w:highlight w:val="none"/>
          <w:lang w:val="en-US" w:eastAsia="zh-CN"/>
        </w:rPr>
        <w:t xml:space="preserve"> 肺结核发病率（%）。本指标当年度目标值为“</w:t>
      </w:r>
      <w:r>
        <w:rPr>
          <w:rFonts w:hint="default" w:ascii="Times New Roman" w:hAnsi="Times New Roman" w:eastAsia="仿宋_GB2312" w:cs="Times New Roman"/>
          <w:color w:val="000000"/>
          <w:sz w:val="32"/>
          <w:szCs w:val="32"/>
          <w:highlight w:val="none"/>
          <w:lang w:val="en" w:eastAsia="zh-CN"/>
        </w:rPr>
        <w:t>≤</w:t>
      </w:r>
      <w:r>
        <w:rPr>
          <w:rFonts w:hint="default" w:ascii="Times New Roman" w:hAnsi="Times New Roman" w:eastAsia="仿宋_GB2312" w:cs="Times New Roman"/>
          <w:color w:val="000000"/>
          <w:sz w:val="32"/>
          <w:szCs w:val="32"/>
          <w:highlight w:val="none"/>
          <w:lang w:val="en-US" w:eastAsia="zh-CN"/>
        </w:rPr>
        <w:t>40.5/10万”。2024年全省肺结核人群肺结核新病例48281人，肺结核发病率38/10万，指标完成率106.58%（40.5/10万/38/10万），实现预期目标。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指标29</w:t>
      </w:r>
      <w:r>
        <w:rPr>
          <w:rFonts w:hint="default" w:ascii="Times New Roman" w:hAnsi="Times New Roman" w:eastAsia="仿宋_GB2312" w:cs="Times New Roman"/>
          <w:color w:val="000000"/>
          <w:sz w:val="32"/>
          <w:szCs w:val="32"/>
          <w:highlight w:val="none"/>
          <w:lang w:val="en-US" w:eastAsia="zh-CN"/>
        </w:rPr>
        <w:t xml:space="preserve"> 接受疾病防治服务对象满意度（%）。本指标当年度目标值为“≥85%”。2025年3月，省疾控局对疾病防治项目实施情况进行满意度调查，发放问卷1378份，回收有效问卷1378份，调查对象对项目实施综合满意度结果为90.80%，指标完成率106.82%（90.8%/85%）实现预期效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u w:val="single"/>
          <w:lang w:val="en-US" w:eastAsia="zh-CN"/>
        </w:rPr>
        <w:t>B.病毒性肝炎早防早治子项目产出和效益指标完成情况。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指标30 </w:t>
      </w:r>
      <w:r>
        <w:rPr>
          <w:rFonts w:hint="default" w:ascii="Times New Roman" w:hAnsi="Times New Roman" w:eastAsia="仿宋_GB2312" w:cs="Times New Roman"/>
          <w:color w:val="000000"/>
          <w:sz w:val="32"/>
          <w:szCs w:val="32"/>
          <w:highlight w:val="none"/>
          <w:lang w:val="en-US" w:eastAsia="zh-CN"/>
        </w:rPr>
        <w:t>HBsAg筛查人数。本指标当年度目标值为“≥196.3万人”。2024年实际完成HBsAg筛查197.2万人，指标完成率100.46%（197.2/196.3），实现预期目标。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指标31</w:t>
      </w:r>
      <w:r>
        <w:rPr>
          <w:rFonts w:hint="default" w:ascii="Times New Roman" w:hAnsi="Times New Roman" w:eastAsia="仿宋_GB2312" w:cs="Times New Roman"/>
          <w:color w:val="000000"/>
          <w:sz w:val="32"/>
          <w:szCs w:val="32"/>
          <w:highlight w:val="none"/>
          <w:lang w:val="en-US" w:eastAsia="zh-CN"/>
        </w:rPr>
        <w:t xml:space="preserve"> HBsAg筛查率。本指标当年度目标值为“≥10%”。2024年全省目标人群累计HBsAg筛查215.7万人（196.7万人，加上前期茂名化州试点数据及摸底已登记的乙肝阳性人员共19万人），筛查率10.3%（215.7/2097.4），指标完成率103%（10.3%/10%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指标32</w:t>
      </w:r>
      <w:r>
        <w:rPr>
          <w:rFonts w:hint="default" w:ascii="Times New Roman" w:hAnsi="Times New Roman" w:eastAsia="仿宋_GB2312" w:cs="Times New Roman"/>
          <w:color w:val="000000"/>
          <w:sz w:val="32"/>
          <w:szCs w:val="32"/>
          <w:highlight w:val="none"/>
          <w:lang w:val="en-US" w:eastAsia="zh-CN"/>
        </w:rPr>
        <w:t xml:space="preserve"> 预算资金下达及时率。本指标当年度目标值为“100%”。2024年1月25日省十四届人大二次会议审议通过2024年省级预算，2024年3月17日省财政厅足额下达年度病毒性肝炎早防早治行动项目预算资金4,228.26万元。专项资金在省人大批准预算后60日内及时下达，符合预算法规定。指标完成率100%（100%/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指标33</w:t>
      </w:r>
      <w:r>
        <w:rPr>
          <w:rFonts w:hint="default" w:ascii="Times New Roman" w:hAnsi="Times New Roman" w:eastAsia="仿宋_GB2312" w:cs="Times New Roman"/>
          <w:color w:val="000000"/>
          <w:sz w:val="32"/>
          <w:szCs w:val="32"/>
          <w:highlight w:val="none"/>
          <w:lang w:val="en-US" w:eastAsia="zh-CN"/>
        </w:rPr>
        <w:t xml:space="preserve"> 预算控制有效性。本指标当年度目标值为“不超预算”。2024年度病毒性肝炎早防早治项目省级财政预算资金4,228.26万元。截至2024年12月31日，实际支出1,440.12万元，项目资金支出不超预算，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指标34</w:t>
      </w:r>
      <w:r>
        <w:rPr>
          <w:rFonts w:hint="default" w:ascii="Times New Roman" w:hAnsi="Times New Roman" w:eastAsia="仿宋_GB2312" w:cs="Times New Roman"/>
          <w:color w:val="000000"/>
          <w:sz w:val="32"/>
          <w:szCs w:val="32"/>
          <w:highlight w:val="none"/>
          <w:lang w:val="en-US" w:eastAsia="zh-CN"/>
        </w:rPr>
        <w:t xml:space="preserve"> 群众乙肝防治健康素养提高。本指标要求年度目标值实现“逐步提高”。</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2024年，我省积极推进病毒性肝炎早防早治工作，促进群众乙肝防治健康素养提高。</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通过委托南方日报集团开展多渠道立体宣传，包括公益广告、专家直播、信息流等方式，普及健康知识，提高群众对乙肝防治健康素养的认识。如由骆抗先、何剑峰专家出镜拍摄公益广告片《消除病毒性肝炎危害，早防早治是关键》等。</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制定了广东省病毒性肝炎早防早治行动工作规范及系列配套工作方案等措施，保障群众乙肝防治健康素养的提高。根据对443人服务对象开展的乙肝防治知识知晓率调查结果：对乙肝防治的4个问题回答均正确的419人，人群乙肝防治知识知晓率由2020年血清流行病学调查的51.95%上升到本次调查的94.58%（419/443），结果说明，群众乙肝防治健康素养“逐步提高”，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（2）疾控体系现代化建设（高水平疾控中心）项目。</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①年度目标完成情况。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省疾控中心高层次人才引育工作扎实推进，引进第一层次Ⅱ类人才4名</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第二层次人才5名</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第三层次人才1名</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第四层次人才1名；聘用专业技术人员、课题项目管理人员联合中心专业技术人员组建</w:t>
      </w:r>
      <w:r>
        <w:rPr>
          <w:rFonts w:hint="eastAsia" w:ascii="Times New Roman" w:hAnsi="Times New Roman" w:cs="Times New Roman"/>
          <w:color w:val="000000"/>
          <w:sz w:val="32"/>
          <w:szCs w:val="32"/>
          <w:highlight w:val="none"/>
          <w:lang w:val="en-US" w:eastAsia="zh-CN"/>
        </w:rPr>
        <w:t>相关领域</w:t>
      </w:r>
      <w:r>
        <w:rPr>
          <w:rFonts w:hint="default" w:ascii="Times New Roman" w:hAnsi="Times New Roman" w:eastAsia="仿宋_GB2312" w:cs="Times New Roman"/>
          <w:color w:val="000000"/>
          <w:sz w:val="32"/>
          <w:szCs w:val="32"/>
          <w:highlight w:val="none"/>
          <w:lang w:val="en-US" w:eastAsia="zh-CN"/>
        </w:rPr>
        <w:t>高层次人才团队；另有5名意向性引进人选目前正在逐一跟进。在第七批“广东特支计划”卫生健康领域榜单项目中，中心2人入选“广东特支计划”领军人才，1人入选“广东特支计划”青年拔尖人才。委派1名专业技术人员赴丹麦哥本哈根参加丹麦国际发展署奖学金中心“创建健康城市”研修项目培训，6名技术骨干线上参加世界卫生组织西太平洋区域办事处组织的世卫组织合作中心研讨会，6名技术骨干线上参加世界卫生组织西太平洋区域办事处全球疫情警报和响应网络（GOARN）组织的GOARN西太平洋区域伙伴会。作为牵头单位获得科研项目立项44项，其中国家自然科学基金2项，省特支计划领军人才项目2项、省特支计划青年拔尖人才项目1项。各高层次人才团队聚焦解决疾控领域难点问题、制定工作任务目标并稳步推进，发挥辐射带动作用，促使中心人才队伍学术能力快速提升，夯实新时期疾控工作高质量发展的人才基础。年度目标如期实现。</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②绩效指标完成情况。</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资金支出率。本指标当年度目标值为“100%”。2024年疾控体系现代化建设（高水平疾控中心）项目资金实际支出共3,829.76万元，资金支出率100%（3829.76/3829.76），指标完成率达100%，实现预期目标。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指标2 </w:t>
      </w:r>
      <w:r>
        <w:rPr>
          <w:rFonts w:hint="default" w:ascii="Times New Roman" w:hAnsi="Times New Roman" w:eastAsia="仿宋_GB2312" w:cs="Times New Roman"/>
          <w:color w:val="000000"/>
          <w:sz w:val="32"/>
          <w:szCs w:val="32"/>
          <w:highlight w:val="none"/>
          <w:lang w:val="en-US" w:eastAsia="zh-CN"/>
        </w:rPr>
        <w:t>监管有效性。本指标当年度目标值为“有效”。省疾控中心成立人才工作领导小组专项管理，完善管理制度构建长效机制，优化人才遴选、引进评审及定期考核流程，建立人才工作管理台账，对引进人才的团队情况、工作进展、资金使用、预期产出、安全生产、网络信息安全、意识形态安全及保密安全等进行动态管理项目监管有效，指标完成率达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bookmarkStart w:id="0" w:name="OLE_LINK1"/>
      <w:r>
        <w:rPr>
          <w:rFonts w:hint="default" w:ascii="Times New Roman" w:hAnsi="Times New Roman" w:eastAsia="仿宋_GB2312" w:cs="Times New Roman"/>
          <w:b/>
          <w:bCs/>
          <w:color w:val="000000"/>
          <w:sz w:val="32"/>
          <w:szCs w:val="32"/>
          <w:highlight w:val="none"/>
          <w:lang w:val="en-US" w:eastAsia="zh-CN"/>
        </w:rPr>
        <w:t>指标3</w:t>
      </w:r>
      <w:r>
        <w:rPr>
          <w:rFonts w:hint="default" w:ascii="Times New Roman" w:hAnsi="Times New Roman" w:eastAsia="仿宋_GB2312" w:cs="Times New Roman"/>
          <w:color w:val="000000"/>
          <w:sz w:val="32"/>
          <w:szCs w:val="32"/>
          <w:highlight w:val="none"/>
          <w:lang w:val="en-US" w:eastAsia="zh-CN"/>
        </w:rPr>
        <w:t xml:space="preserve"> 技术骨干国际化培训人数。本指标当年度目标值为“3人”。2024年8月4—18日，应丹麦国际发展署奖学金中心邀请，省疾控中心慢性非传染性疾病预防控制所副所长郑雪燕同志赴丹麦哥本哈根参加“创建健康城市”研修项目培训15天，实际完成1人，指标完成率33.33%（1/3），未实现预期目标。</w:t>
      </w:r>
    </w:p>
    <w:bookmarkEnd w:id="0"/>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指标4</w:t>
      </w:r>
      <w:r>
        <w:rPr>
          <w:rFonts w:hint="default" w:ascii="Times New Roman" w:hAnsi="Times New Roman" w:eastAsia="仿宋_GB2312" w:cs="Times New Roman"/>
          <w:color w:val="000000"/>
          <w:sz w:val="32"/>
          <w:szCs w:val="32"/>
          <w:highlight w:val="none"/>
          <w:lang w:val="en-US" w:eastAsia="zh-CN"/>
        </w:rPr>
        <w:t xml:space="preserve"> 高水平团队人才引进数量。本指标当年度目标值为“10人”。2024年省疾控中心实际引进高水平团队人才11人，指标完成率110%（11/10），实现预期目标。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指标5</w:t>
      </w:r>
      <w:r>
        <w:rPr>
          <w:rFonts w:hint="default" w:ascii="Times New Roman" w:hAnsi="Times New Roman" w:eastAsia="仿宋_GB2312" w:cs="Times New Roman"/>
          <w:color w:val="000000"/>
          <w:sz w:val="32"/>
          <w:szCs w:val="32"/>
          <w:highlight w:val="none"/>
          <w:lang w:val="en-US" w:eastAsia="zh-CN"/>
        </w:rPr>
        <w:t xml:space="preserve"> 细分方向课题申报设立数。本指标当年度目标值为“5个”。2024年省疾控中心细分方向课题申报设立实际完成14个，指标完成率280%（14/5），超额实现预期目标。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课题申报成功率提升。本指标当年度目标值为“≥10%”。2024年省疾控中心申报课题数61个，其中申报成功课题数为44个，课题申报成功率为72.8%（44/61），较2023年度课题申报成功率62.8%（22/35）提升幅度达10%，指标完成率100%（10%/10%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指标7</w:t>
      </w:r>
      <w:r>
        <w:rPr>
          <w:rFonts w:hint="default" w:ascii="Times New Roman" w:hAnsi="Times New Roman" w:eastAsia="仿宋_GB2312" w:cs="Times New Roman"/>
          <w:color w:val="000000"/>
          <w:sz w:val="32"/>
          <w:szCs w:val="32"/>
          <w:highlight w:val="none"/>
          <w:lang w:val="en-US" w:eastAsia="zh-CN"/>
        </w:rPr>
        <w:t xml:space="preserve"> 项目完成时间。本指标当年度目标值为“2024年12月”。2024年度疾控体系现代化建设（高水平疾控中心）项目开始实施时间为2024年1月1日，持续时间一年。截至2024年12月31日，项目年度工作任务全部按计划完成，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指标8 </w:t>
      </w:r>
      <w:r>
        <w:rPr>
          <w:rFonts w:hint="default" w:ascii="Times New Roman" w:hAnsi="Times New Roman" w:eastAsia="仿宋_GB2312" w:cs="Times New Roman"/>
          <w:color w:val="000000"/>
          <w:sz w:val="32"/>
          <w:szCs w:val="32"/>
          <w:highlight w:val="none"/>
          <w:lang w:val="en-US" w:eastAsia="zh-CN"/>
        </w:rPr>
        <w:t>项目预算控制。本指标当年度目标值为“不超预算”。疾控体系现代化建设（高水平疾控中心）项目省级财政预算金额3,829.76万元，其中引进高层次人才的科研启动配套资金3,514万元（项目周期3年），第一年（2024年）主要开展搭建平台、调查研究、收集整理数据资料、设计实施路径方案等基础性工作经费315.76万元。截至评价基准日，实际支出为支出394.97万元，其中工作经费等支出315.76万元，科研启动经费支出79.21万元，科研启动配套结余经费3,434.79万元经省财政厅审核后已转入省疾控中心科研项目资金子账户管理。综合考虑工作进度，该项目资金支出进度实际符合要求，项目预算控制不超预算，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对提升我省重大疾病防控能力发挥的影响。本指标当年度目标值为“长期”。在2023年基础上，2024年中心新引进和培育高层次人才团队14个（其中引进人才团队11个，培育特支人才团队3个），各高层次人才团队聚焦解决我省疾控领域难点问题、制定工作任务目标并稳步推进，发挥辐射带动作用，促进省疾控中心人才队伍学术能力快速提升，夯实新时期疾控工作高质量发展的人才基础。2024年，省疾控中心作为牵头单位获得科研项目立项44项，其中国家自然科学基金2项、特支计划3项，对提升我省重大疾病防控能力发挥长期影响，指标完成率100%，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指标10</w:t>
      </w:r>
      <w:r>
        <w:rPr>
          <w:rFonts w:hint="default" w:ascii="Times New Roman" w:hAnsi="Times New Roman" w:eastAsia="仿宋_GB2312" w:cs="Times New Roman"/>
          <w:color w:val="000000"/>
          <w:sz w:val="32"/>
          <w:szCs w:val="32"/>
          <w:highlight w:val="none"/>
          <w:lang w:val="en-US" w:eastAsia="zh-CN"/>
        </w:rPr>
        <w:t xml:space="preserve"> 引进和培育的人才满意度。本指标当年度目标值为“≥85%”。2024年省疾控中心组织14个高层次人才（团队）（参与测评人数29人）对中心人才引进和培育工作进行满意度测评，满意度为100%（29/29），指标完成率117.65%（100%/85%），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指标11</w:t>
      </w:r>
      <w:r>
        <w:rPr>
          <w:rFonts w:hint="default" w:ascii="Times New Roman" w:hAnsi="Times New Roman" w:eastAsia="仿宋_GB2312" w:cs="Times New Roman"/>
          <w:color w:val="000000"/>
          <w:sz w:val="32"/>
          <w:szCs w:val="32"/>
          <w:highlight w:val="none"/>
          <w:lang w:val="en-US" w:eastAsia="zh-CN"/>
        </w:rPr>
        <w:t xml:space="preserve"> 用人单位满意度。本指标当年度目标值为“≥85%”。</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疾控中心组织参与引进、培育高层次人才（团队）相关工作的中心领导、部所领导和主要业务骨干（参与测评人数44人）对14个人才（团队）进行满意度测评，满意度为100%（44/44），指标完成率117.65%（100%/85%），实现预期目标。</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3.专项资金分用途使用绩效。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（1）疫病防控子项目专项资金使用绩效。</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①国家免疫规划疫苗接种率维持在高水平，疫苗可预防疾病的发病率有效降低。我省认真贯彻落实《中华人民共和国疫苗管理法》《预防接种工作规范》，预防接种服务和免疫监测工作有序开展。</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维持高接种率水平。以省为单位适龄儿童各类免疫规划疫苗接种率97.03%，完成≥90%的任务目标。持续完善全省预防接种信息系统，开展全省预防接种档案治理行动，全面提升接种档案质量。以“粤苗”为品牌的公众服务模块，功能和用户覆盖面持续提升。</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免疫规划疫苗针对传染病防控成效显著。省级开展的乙肝监测项目、甲肝/戊肝监测项目、百日咳哨点监测信息项目和流行性腮腺炎监测项目年度监测任务全部完成。截至2024年12月31日，我省已连续31年保持无脊髓灰质炎状态，连续22年无白喉病例报告，保持消除新生儿破伤风状态，乙脑、流脑等多种疫苗可预防传染病发病率控制在极低水平。</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广东省免疫水平监测和预防接种异常反应监测工作有序推进。我省开展的人群免疫水平监测、乙肝监测项目、甲肝/戊肝监测项目、百日咳哨点监测信息项目和流行性腮腺炎监测项目年度监测任务全部完成。2024年全省人群免疫水平监测项目共采样5049份，进行了脊灰、麻疹、流行性腮腺炎、风疹、乙脑、水痘、白喉、百日咳、甲肝、乙肝、流脑等抗体水平监测，及时对结果进行分析总结。2024年全省共报告AEFI 9676例，省级AEFI各项监测指标均达标，共完成免疫规划疫苗异常反应补偿34例。</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疫苗管理安全高效。建成全省统一的预防接种信息系统，覆盖全省127家疾控机构和近6000家接种单位，疫苗追溯覆盖率达100%（52565085支/52565085支），实现接种档案一地建档全省无缝流转，实现单位信息、人员信息、冷链设备信息档案化管理和实时更新，实现与国家免疫规划平台、省全民健康平台、药监系统疫苗追溯协调平台等多个平台和系统的数据对接。2024年省级共配送免疫规划疫苗1970.4220万支，累计192车次，行驶里程累计46775公里，未发生差错事故。</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扩大国家免疫规划项目工作任务完成情况见表5、6。</w:t>
      </w:r>
    </w:p>
    <w:p>
      <w:pPr>
        <w:widowControl/>
        <w:spacing w:before="159" w:beforeLines="50" w:line="400" w:lineRule="exact"/>
        <w:jc w:val="center"/>
        <w:textAlignment w:val="auto"/>
        <w:rPr>
          <w:rFonts w:hint="default" w:ascii="Times New Roman" w:hAnsi="Times New Roman" w:cs="Times New Roman"/>
          <w:lang w:val="en-US" w:eastAsia="zh-CN"/>
        </w:rPr>
      </w:pPr>
      <w:r>
        <w:rPr>
          <w:rFonts w:hint="default" w:ascii="Times New Roman" w:hAnsi="Times New Roman" w:eastAsia="宋体" w:cs="Times New Roman"/>
          <w:b/>
          <w:bCs/>
          <w:color w:val="000000"/>
          <w:sz w:val="28"/>
          <w:szCs w:val="28"/>
          <w:highlight w:val="none"/>
          <w:lang w:val="en-US" w:eastAsia="zh-CN"/>
        </w:rPr>
        <w:t>表5  广东省2024年各市免疫规划疫苗接种率表（不含深圳）</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829"/>
        <w:gridCol w:w="2310"/>
        <w:gridCol w:w="2310"/>
        <w:gridCol w:w="185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tblHeader/>
          <w:jc w:val="center"/>
        </w:trPr>
        <w:tc>
          <w:tcPr>
            <w:tcW w:w="2829"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免疫疫苗</w:t>
            </w:r>
          </w:p>
        </w:tc>
        <w:tc>
          <w:tcPr>
            <w:tcW w:w="2310"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应种剂次（剂）</w:t>
            </w:r>
          </w:p>
        </w:tc>
        <w:tc>
          <w:tcPr>
            <w:tcW w:w="2310"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实种剂次（剂）</w:t>
            </w:r>
          </w:p>
        </w:tc>
        <w:tc>
          <w:tcPr>
            <w:tcW w:w="1851"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接种率（%）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乙肝疫苗</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3728666</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3672455</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98.49%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卡介苗</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1232328</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1224867</w:t>
            </w:r>
          </w:p>
        </w:tc>
        <w:tc>
          <w:tcPr>
            <w:tcW w:w="18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99.39%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脊灰疫苗</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5570124</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5417360</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97.26%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百白破疫苗</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5198907</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5049262</w:t>
            </w:r>
          </w:p>
        </w:tc>
        <w:tc>
          <w:tcPr>
            <w:tcW w:w="18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白破疫苗</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2125756</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2019039</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94.98%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含麻疹成分疫苗</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2634086</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2547776</w:t>
            </w:r>
          </w:p>
        </w:tc>
        <w:tc>
          <w:tcPr>
            <w:tcW w:w="18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96.72%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乙脑减毒活疫苗</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3662298</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3536957</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96.58%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A群流脑多糖疫苗</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2505191</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2420495</w:t>
            </w:r>
          </w:p>
        </w:tc>
        <w:tc>
          <w:tcPr>
            <w:tcW w:w="18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96.62%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A群C群流脑疫苗（多糖）</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2722820</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2611929</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95.93%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甲肝疫苗</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1436406</w:t>
            </w:r>
          </w:p>
        </w:tc>
        <w:tc>
          <w:tcPr>
            <w:tcW w:w="2310"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1400681</w:t>
            </w:r>
          </w:p>
        </w:tc>
        <w:tc>
          <w:tcPr>
            <w:tcW w:w="1851" w:type="dxa"/>
            <w:tcBorders>
              <w:tl2br w:val="nil"/>
              <w:tr2bl w:val="nil"/>
            </w:tcBorders>
            <w:shd w:val="clear" w:color="auto" w:fill="F2F2F2"/>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97.51%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282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全省合计</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30816582</w:t>
            </w:r>
          </w:p>
        </w:tc>
        <w:tc>
          <w:tcPr>
            <w:tcW w:w="2310"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29900821</w:t>
            </w:r>
          </w:p>
        </w:tc>
        <w:tc>
          <w:tcPr>
            <w:tcW w:w="185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97.03%</w:t>
            </w:r>
          </w:p>
        </w:tc>
      </w:tr>
    </w:tbl>
    <w:p>
      <w:pPr>
        <w:pStyle w:val="11"/>
        <w:keepNext w:val="0"/>
        <w:keepLines w:val="0"/>
        <w:pageBreakBefore w:val="0"/>
        <w:kinsoku/>
        <w:wordWrap/>
        <w:overflowPunct/>
        <w:topLinePunct w:val="0"/>
        <w:bidi w:val="0"/>
        <w:snapToGrid/>
        <w:spacing w:line="400" w:lineRule="exact"/>
        <w:ind w:firstLine="420" w:firstLineChars="200"/>
        <w:jc w:val="both"/>
        <w:rPr>
          <w:rFonts w:hint="default" w:ascii="Times New Roman" w:hAnsi="Times New Roman" w:eastAsia="仿宋_GB2312" w:cs="Times New Roman"/>
          <w:b w:val="0"/>
          <w:bCs w:val="0"/>
          <w:color w:val="000000"/>
          <w:sz w:val="21"/>
          <w:szCs w:val="21"/>
          <w:highlight w:val="none"/>
          <w:lang w:val="en-US" w:eastAsia="zh-CN"/>
        </w:rPr>
      </w:pPr>
      <w:r>
        <w:rPr>
          <w:rFonts w:hint="default" w:ascii="Times New Roman" w:hAnsi="Times New Roman" w:eastAsia="仿宋_GB2312" w:cs="Times New Roman"/>
          <w:b w:val="0"/>
          <w:bCs w:val="0"/>
          <w:color w:val="000000"/>
          <w:sz w:val="21"/>
          <w:szCs w:val="21"/>
          <w:highlight w:val="none"/>
          <w:lang w:val="en-US" w:eastAsia="zh-CN"/>
        </w:rPr>
        <w:t>备注：表中数据包含除深圳市以外的其他珠三角地区。</w:t>
      </w:r>
    </w:p>
    <w:p>
      <w:pPr>
        <w:pStyle w:val="11"/>
        <w:keepNext w:val="0"/>
        <w:keepLines w:val="0"/>
        <w:pageBreakBefore w:val="0"/>
        <w:kinsoku/>
        <w:wordWrap/>
        <w:overflowPunct/>
        <w:topLinePunct w:val="0"/>
        <w:bidi w:val="0"/>
        <w:snapToGrid/>
        <w:spacing w:line="400" w:lineRule="exact"/>
        <w:ind w:firstLine="420" w:firstLineChars="200"/>
        <w:jc w:val="both"/>
        <w:rPr>
          <w:rFonts w:hint="default" w:ascii="Times New Roman" w:hAnsi="Times New Roman" w:eastAsia="仿宋_GB2312" w:cs="Times New Roman"/>
          <w:b w:val="0"/>
          <w:bCs w:val="0"/>
          <w:color w:val="00000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before="159" w:beforeLines="50" w:line="40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表6  扩大国家免疫规划项目任务完成情况表（不含深圳）</w:t>
      </w:r>
    </w:p>
    <w:tbl>
      <w:tblPr>
        <w:tblStyle w:val="5"/>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3035"/>
        <w:gridCol w:w="1453"/>
        <w:gridCol w:w="1453"/>
        <w:gridCol w:w="166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序号</w:t>
            </w:r>
          </w:p>
        </w:tc>
        <w:tc>
          <w:tcPr>
            <w:tcW w:w="3035"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任务名称</w:t>
            </w:r>
          </w:p>
        </w:tc>
        <w:tc>
          <w:tcPr>
            <w:tcW w:w="1453"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任务数要求</w:t>
            </w:r>
          </w:p>
        </w:tc>
        <w:tc>
          <w:tcPr>
            <w:tcW w:w="1453"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实际完成数</w:t>
            </w:r>
          </w:p>
        </w:tc>
        <w:tc>
          <w:tcPr>
            <w:tcW w:w="1662" w:type="dxa"/>
            <w:tcBorders>
              <w:tl2br w:val="nil"/>
              <w:tr2bl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完成率（%）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03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人群免疫水平监测</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5040</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5049</w:t>
            </w:r>
          </w:p>
        </w:tc>
        <w:tc>
          <w:tcPr>
            <w:tcW w:w="166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03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乙肝监测</w:t>
            </w:r>
          </w:p>
        </w:tc>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127509</w:t>
            </w:r>
          </w:p>
        </w:tc>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203395</w:t>
            </w:r>
          </w:p>
        </w:tc>
        <w:tc>
          <w:tcPr>
            <w:tcW w:w="166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159.51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303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甲肝、戊肝监测</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166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158.33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3035"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百日咳哨点监测</w:t>
            </w:r>
          </w:p>
        </w:tc>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453"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1039</w:t>
            </w:r>
          </w:p>
        </w:tc>
        <w:tc>
          <w:tcPr>
            <w:tcW w:w="1662" w:type="dxa"/>
            <w:tcBorders>
              <w:tl2br w:val="nil"/>
              <w:tr2bl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303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流行性腮腺炎监测</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4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171</w:t>
            </w:r>
          </w:p>
        </w:tc>
        <w:tc>
          <w:tcPr>
            <w:tcW w:w="1662"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atLeas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213.75</w:t>
            </w:r>
          </w:p>
        </w:tc>
      </w:tr>
    </w:tbl>
    <w:p>
      <w:pPr>
        <w:pStyle w:val="11"/>
        <w:spacing w:line="240" w:lineRule="auto"/>
        <w:ind w:firstLine="420" w:firstLineChars="200"/>
        <w:jc w:val="both"/>
        <w:rPr>
          <w:rFonts w:hint="default" w:ascii="Times New Roman" w:hAnsi="Times New Roman" w:eastAsia="仿宋_GB2312" w:cs="Times New Roman"/>
          <w:b w:val="0"/>
          <w:bCs w:val="0"/>
          <w:color w:val="000000"/>
          <w:sz w:val="21"/>
          <w:szCs w:val="21"/>
          <w:highlight w:val="none"/>
          <w:lang w:val="en-US" w:eastAsia="zh-CN"/>
        </w:rPr>
      </w:pPr>
      <w:r>
        <w:rPr>
          <w:rFonts w:hint="default" w:ascii="Times New Roman" w:hAnsi="Times New Roman" w:eastAsia="仿宋_GB2312" w:cs="Times New Roman"/>
          <w:b w:val="0"/>
          <w:bCs w:val="0"/>
          <w:color w:val="000000"/>
          <w:sz w:val="21"/>
          <w:szCs w:val="21"/>
          <w:highlight w:val="none"/>
          <w:lang w:val="en-US" w:eastAsia="zh-CN"/>
        </w:rPr>
        <w:t>备注：表中数据包含除深圳市以外的其他珠三角地区。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艾滋病疫情有效控制，整体疫情处于低流行水平。我省认真贯彻落实《国务院防治艾滋病工作委员会办公室关于开展艾滋病防治质量年活动的通知》《广东省艾滋病防治质量年活动实施方案》，艾滋病检测发现、随访治疗和综合干预能力全面提升。一是继续扩大检测覆盖面，全省艾滋病检测总量达2498.9万人次，检测量增长率为3.9%。二是加强对感染者的规范随访干预，减少艾滋病病毒的传播，全省累计报告住址在广东省的存活艾滋病病毒感染者/艾滋病病人91998例，累计报告死亡32508例。全省对艾滋病感染者和病人完成随访及CD4检测88519人，随访检测比例达96.22%。三是动员和支持社会组织参与艾滋病防治工作，全年参与艾防工作的社会组织42个、项目54个，项目覆盖19个地市。项目涉及艾滋病防治宣传教育、高危行为干预和病人关怀等多个领域。2024年，全省新报告现住址为我省的艾滋病病毒感染者和艾滋病病例7890例，其中，感染者4793例，艾滋病病例3097例。报告既往感染者转化为艾滋病病例1008例，本年新报告死亡病例2060例。新报告感染者和新报告艾滋病病例分别比2023年减少了13.0%和3.7%，报告死亡病例较2023年减少30.9%。</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艾滋病防治项目工作任务完成情况见表7。</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表7  艾滋病防治项目任务完成情况表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59"/>
        <w:gridCol w:w="2245"/>
        <w:gridCol w:w="1400"/>
        <w:gridCol w:w="1300"/>
        <w:gridCol w:w="122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749" w:type="dxa"/>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rPr>
            </w:pPr>
            <w:r>
              <w:rPr>
                <w:rFonts w:hint="eastAsia" w:ascii="黑体" w:hAnsi="黑体" w:eastAsia="黑体" w:cs="黑体"/>
                <w:b/>
                <w:bCs/>
                <w:i w:val="0"/>
                <w:iCs w:val="0"/>
                <w:color w:val="000000"/>
                <w:kern w:val="0"/>
                <w:sz w:val="24"/>
                <w:szCs w:val="24"/>
                <w:highlight w:val="none"/>
              </w:rPr>
              <w:t>序号</w:t>
            </w:r>
          </w:p>
        </w:tc>
        <w:tc>
          <w:tcPr>
            <w:tcW w:w="3604" w:type="dxa"/>
            <w:gridSpan w:val="2"/>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rPr>
            </w:pPr>
            <w:r>
              <w:rPr>
                <w:rFonts w:hint="eastAsia" w:ascii="黑体" w:hAnsi="黑体" w:eastAsia="黑体" w:cs="黑体"/>
                <w:b/>
                <w:bCs/>
                <w:i w:val="0"/>
                <w:iCs w:val="0"/>
                <w:color w:val="000000"/>
                <w:kern w:val="0"/>
                <w:sz w:val="24"/>
                <w:szCs w:val="24"/>
                <w:highlight w:val="none"/>
              </w:rPr>
              <w:t>任务名称</w:t>
            </w:r>
          </w:p>
        </w:tc>
        <w:tc>
          <w:tcPr>
            <w:tcW w:w="1400" w:type="dxa"/>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rPr>
            </w:pPr>
            <w:r>
              <w:rPr>
                <w:rFonts w:hint="eastAsia" w:ascii="黑体" w:hAnsi="黑体" w:eastAsia="黑体" w:cs="黑体"/>
                <w:b/>
                <w:bCs/>
                <w:i w:val="0"/>
                <w:iCs w:val="0"/>
                <w:color w:val="000000"/>
                <w:kern w:val="0"/>
                <w:sz w:val="24"/>
                <w:szCs w:val="24"/>
                <w:highlight w:val="none"/>
              </w:rPr>
              <w:t>任务数</w:t>
            </w:r>
          </w:p>
        </w:tc>
        <w:tc>
          <w:tcPr>
            <w:tcW w:w="1300" w:type="dxa"/>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rPr>
            </w:pPr>
            <w:r>
              <w:rPr>
                <w:rFonts w:hint="eastAsia" w:ascii="黑体" w:hAnsi="黑体" w:eastAsia="黑体" w:cs="黑体"/>
                <w:b/>
                <w:bCs/>
                <w:i w:val="0"/>
                <w:iCs w:val="0"/>
                <w:color w:val="000000"/>
                <w:kern w:val="0"/>
                <w:sz w:val="24"/>
                <w:szCs w:val="24"/>
                <w:highlight w:val="none"/>
              </w:rPr>
              <w:t>实际完成</w:t>
            </w:r>
          </w:p>
        </w:tc>
        <w:tc>
          <w:tcPr>
            <w:tcW w:w="1221" w:type="dxa"/>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rPr>
            </w:pPr>
            <w:r>
              <w:rPr>
                <w:rFonts w:hint="eastAsia" w:ascii="黑体" w:hAnsi="黑体" w:eastAsia="黑体" w:cs="黑体"/>
                <w:b/>
                <w:bCs/>
                <w:i w:val="0"/>
                <w:iCs w:val="0"/>
                <w:color w:val="000000"/>
                <w:kern w:val="0"/>
                <w:sz w:val="24"/>
                <w:szCs w:val="24"/>
                <w:highlight w:val="none"/>
              </w:rPr>
              <w:t>完成率</w:t>
            </w:r>
          </w:p>
        </w:tc>
        <w:tc>
          <w:tcPr>
            <w:tcW w:w="781" w:type="dxa"/>
            <w:tcBorders>
              <w:tl2br w:val="nil"/>
              <w:tr2bl w:val="nil"/>
            </w:tcBorders>
            <w:shd w:val="clear" w:color="000000" w:fill="D7D7D7"/>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lang w:val="en-US" w:eastAsia="zh-CN"/>
              </w:rPr>
            </w:pPr>
            <w:r>
              <w:rPr>
                <w:rFonts w:hint="eastAsia" w:ascii="黑体" w:hAnsi="黑体" w:eastAsia="黑体" w:cs="黑体"/>
                <w:b/>
                <w:bCs/>
                <w:i w:val="0"/>
                <w:iCs w:val="0"/>
                <w:color w:val="000000"/>
                <w:kern w:val="0"/>
                <w:sz w:val="24"/>
                <w:szCs w:val="24"/>
                <w:highlight w:val="none"/>
                <w:lang w:val="en-US" w:eastAsia="zh-CN"/>
              </w:rPr>
              <w:t>是否</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bCs/>
                <w:i w:val="0"/>
                <w:iCs w:val="0"/>
                <w:color w:val="000000"/>
                <w:kern w:val="0"/>
                <w:sz w:val="24"/>
                <w:szCs w:val="24"/>
                <w:highlight w:val="none"/>
                <w:lang w:val="en-US" w:eastAsia="zh-CN"/>
              </w:rPr>
            </w:pPr>
            <w:r>
              <w:rPr>
                <w:rFonts w:hint="eastAsia" w:ascii="黑体" w:hAnsi="黑体" w:eastAsia="黑体" w:cs="黑体"/>
                <w:b/>
                <w:bCs/>
                <w:i w:val="0"/>
                <w:iCs w:val="0"/>
                <w:color w:val="000000"/>
                <w:kern w:val="0"/>
                <w:sz w:val="24"/>
                <w:szCs w:val="24"/>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1</w:t>
            </w:r>
          </w:p>
        </w:tc>
        <w:tc>
          <w:tcPr>
            <w:tcW w:w="1359" w:type="dxa"/>
            <w:vMerge w:val="restart"/>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社会组织参与艾滋病防治</w:t>
            </w:r>
          </w:p>
        </w:tc>
        <w:tc>
          <w:tcPr>
            <w:tcW w:w="2245" w:type="dxa"/>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 xml:space="preserve">高危人群主动干预 </w:t>
            </w:r>
          </w:p>
        </w:tc>
        <w:tc>
          <w:tcPr>
            <w:tcW w:w="14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18000</w:t>
            </w:r>
          </w:p>
        </w:tc>
        <w:tc>
          <w:tcPr>
            <w:tcW w:w="13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25707</w:t>
            </w:r>
          </w:p>
        </w:tc>
        <w:tc>
          <w:tcPr>
            <w:tcW w:w="122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142.82</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2</w:t>
            </w:r>
          </w:p>
        </w:tc>
        <w:tc>
          <w:tcPr>
            <w:tcW w:w="1359" w:type="dxa"/>
            <w:vMerge w:val="continue"/>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val="0"/>
                <w:bCs w:val="0"/>
                <w:color w:val="000000"/>
                <w:kern w:val="0"/>
                <w:sz w:val="24"/>
                <w:szCs w:val="24"/>
                <w:highlight w:val="none"/>
              </w:rPr>
            </w:pPr>
          </w:p>
        </w:tc>
        <w:tc>
          <w:tcPr>
            <w:tcW w:w="2245" w:type="dxa"/>
            <w:tcBorders>
              <w:tl2br w:val="nil"/>
              <w:tr2bl w:val="nil"/>
            </w:tcBorders>
            <w:shd w:val="clear" w:color="000000"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color w:val="000000"/>
                <w:kern w:val="0"/>
                <w:sz w:val="24"/>
                <w:szCs w:val="24"/>
                <w:highlight w:val="none"/>
              </w:rPr>
              <w:t xml:space="preserve">高危人群检测 </w:t>
            </w:r>
          </w:p>
        </w:tc>
        <w:tc>
          <w:tcPr>
            <w:tcW w:w="14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5400</w:t>
            </w:r>
          </w:p>
        </w:tc>
        <w:tc>
          <w:tcPr>
            <w:tcW w:w="13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eastAsia="zh-CN"/>
              </w:rPr>
            </w:pPr>
            <w:r>
              <w:rPr>
                <w:rFonts w:hint="default" w:ascii="Times New Roman" w:hAnsi="Times New Roman" w:eastAsia="宋体" w:cs="Times New Roman"/>
                <w:b w:val="0"/>
                <w:bCs w:val="0"/>
                <w:color w:val="000000"/>
                <w:kern w:val="0"/>
                <w:sz w:val="24"/>
                <w:szCs w:val="24"/>
                <w:highlight w:val="none"/>
                <w:lang w:val="en-US" w:eastAsia="zh-CN"/>
              </w:rPr>
              <w:t>6531</w:t>
            </w:r>
          </w:p>
        </w:tc>
        <w:tc>
          <w:tcPr>
            <w:tcW w:w="122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120.94</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3</w:t>
            </w:r>
          </w:p>
        </w:tc>
        <w:tc>
          <w:tcPr>
            <w:tcW w:w="3604" w:type="dxa"/>
            <w:gridSpan w:val="2"/>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感染者随</w:t>
            </w:r>
            <w:r>
              <w:rPr>
                <w:rStyle w:val="12"/>
                <w:rFonts w:hint="default" w:ascii="Times New Roman" w:hAnsi="Times New Roman" w:eastAsia="宋体" w:cs="Times New Roman"/>
                <w:b w:val="0"/>
                <w:bCs w:val="0"/>
                <w:color w:val="000000"/>
                <w:sz w:val="24"/>
                <w:szCs w:val="24"/>
                <w:highlight w:val="none"/>
                <w:lang w:val="en-US" w:eastAsia="zh-CN" w:bidi="ar"/>
              </w:rPr>
              <w:t>访</w:t>
            </w:r>
            <w:r>
              <w:rPr>
                <w:rStyle w:val="9"/>
                <w:rFonts w:hint="default" w:ascii="Times New Roman" w:hAnsi="Times New Roman" w:eastAsia="宋体" w:cs="Times New Roman"/>
                <w:b w:val="0"/>
                <w:bCs w:val="0"/>
                <w:color w:val="000000"/>
                <w:sz w:val="24"/>
                <w:szCs w:val="24"/>
                <w:highlight w:val="none"/>
                <w:lang w:val="en-US" w:eastAsia="zh-CN" w:bidi="ar"/>
              </w:rPr>
              <w:t>管理</w:t>
            </w:r>
            <w:r>
              <w:rPr>
                <w:rStyle w:val="12"/>
                <w:rFonts w:hint="default" w:ascii="Times New Roman" w:hAnsi="Times New Roman" w:eastAsia="宋体" w:cs="Times New Roman"/>
                <w:b w:val="0"/>
                <w:bCs w:val="0"/>
                <w:color w:val="000000"/>
                <w:sz w:val="24"/>
                <w:szCs w:val="24"/>
                <w:highlight w:val="none"/>
                <w:lang w:val="en-US" w:eastAsia="zh-CN" w:bidi="ar"/>
              </w:rPr>
              <w:t>检测</w:t>
            </w:r>
          </w:p>
        </w:tc>
        <w:tc>
          <w:tcPr>
            <w:tcW w:w="14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84304</w:t>
            </w:r>
          </w:p>
        </w:tc>
        <w:tc>
          <w:tcPr>
            <w:tcW w:w="13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88509</w:t>
            </w:r>
          </w:p>
        </w:tc>
        <w:tc>
          <w:tcPr>
            <w:tcW w:w="122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eastAsia="zh-CN"/>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104.99</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4</w:t>
            </w:r>
          </w:p>
        </w:tc>
        <w:tc>
          <w:tcPr>
            <w:tcW w:w="3604" w:type="dxa"/>
            <w:gridSpan w:val="2"/>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扩大检测</w:t>
            </w:r>
          </w:p>
        </w:tc>
        <w:tc>
          <w:tcPr>
            <w:tcW w:w="14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1302325</w:t>
            </w:r>
          </w:p>
        </w:tc>
        <w:tc>
          <w:tcPr>
            <w:tcW w:w="13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1302325</w:t>
            </w:r>
          </w:p>
        </w:tc>
        <w:tc>
          <w:tcPr>
            <w:tcW w:w="122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100</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5</w:t>
            </w:r>
          </w:p>
        </w:tc>
        <w:tc>
          <w:tcPr>
            <w:tcW w:w="1359" w:type="dxa"/>
            <w:vMerge w:val="restart"/>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i w:val="0"/>
                <w:color w:val="000000"/>
                <w:kern w:val="0"/>
                <w:sz w:val="24"/>
                <w:szCs w:val="24"/>
                <w:highlight w:val="none"/>
                <w:u w:val="none"/>
                <w:lang w:val="en-US" w:eastAsia="zh-CN" w:bidi="ar"/>
              </w:rPr>
              <w:t>CDC实验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室运转及常规检测</w:t>
            </w:r>
          </w:p>
        </w:tc>
        <w:tc>
          <w:tcPr>
            <w:tcW w:w="2245"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确证实验室数</w:t>
            </w:r>
          </w:p>
        </w:tc>
        <w:tc>
          <w:tcPr>
            <w:tcW w:w="14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36</w:t>
            </w:r>
          </w:p>
        </w:tc>
        <w:tc>
          <w:tcPr>
            <w:tcW w:w="13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36</w:t>
            </w:r>
          </w:p>
        </w:tc>
        <w:tc>
          <w:tcPr>
            <w:tcW w:w="122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100</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9"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6</w:t>
            </w:r>
          </w:p>
        </w:tc>
        <w:tc>
          <w:tcPr>
            <w:tcW w:w="1359" w:type="dxa"/>
            <w:vMerge w:val="continue"/>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highlight w:val="none"/>
              </w:rPr>
            </w:pPr>
          </w:p>
        </w:tc>
        <w:tc>
          <w:tcPr>
            <w:tcW w:w="2245"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CD4</w:t>
            </w:r>
            <w:r>
              <w:rPr>
                <w:rStyle w:val="12"/>
                <w:rFonts w:hint="default" w:ascii="Times New Roman" w:hAnsi="Times New Roman" w:eastAsia="宋体" w:cs="Times New Roman"/>
                <w:b w:val="0"/>
                <w:bCs w:val="0"/>
                <w:color w:val="000000"/>
                <w:kern w:val="0"/>
                <w:sz w:val="24"/>
                <w:szCs w:val="24"/>
                <w:highlight w:val="none"/>
                <w:lang w:val="en-US" w:eastAsia="zh-CN" w:bidi="ar"/>
              </w:rPr>
              <w:t>检测实验</w:t>
            </w:r>
            <w:r>
              <w:rPr>
                <w:rStyle w:val="9"/>
                <w:rFonts w:hint="default" w:ascii="Times New Roman" w:hAnsi="Times New Roman" w:eastAsia="宋体" w:cs="Times New Roman"/>
                <w:b w:val="0"/>
                <w:bCs w:val="0"/>
                <w:color w:val="000000"/>
                <w:kern w:val="0"/>
                <w:sz w:val="24"/>
                <w:szCs w:val="24"/>
                <w:highlight w:val="none"/>
                <w:lang w:val="en-US" w:eastAsia="zh-CN" w:bidi="ar"/>
              </w:rPr>
              <w:t>室</w:t>
            </w:r>
            <w:r>
              <w:rPr>
                <w:rStyle w:val="8"/>
                <w:rFonts w:hint="default" w:ascii="Times New Roman" w:hAnsi="Times New Roman" w:eastAsia="宋体" w:cs="Times New Roman"/>
                <w:b w:val="0"/>
                <w:bCs w:val="0"/>
                <w:color w:val="000000"/>
                <w:kern w:val="0"/>
                <w:sz w:val="24"/>
                <w:szCs w:val="24"/>
                <w:highlight w:val="none"/>
                <w:lang w:val="en-US" w:eastAsia="zh-CN" w:bidi="ar"/>
              </w:rPr>
              <w:t>数</w:t>
            </w:r>
          </w:p>
        </w:tc>
        <w:tc>
          <w:tcPr>
            <w:tcW w:w="14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55</w:t>
            </w:r>
          </w:p>
        </w:tc>
        <w:tc>
          <w:tcPr>
            <w:tcW w:w="13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55</w:t>
            </w:r>
          </w:p>
        </w:tc>
        <w:tc>
          <w:tcPr>
            <w:tcW w:w="122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100</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7</w:t>
            </w:r>
          </w:p>
        </w:tc>
        <w:tc>
          <w:tcPr>
            <w:tcW w:w="1359" w:type="dxa"/>
            <w:vMerge w:val="continue"/>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highlight w:val="none"/>
              </w:rPr>
            </w:pPr>
          </w:p>
        </w:tc>
        <w:tc>
          <w:tcPr>
            <w:tcW w:w="2245"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ottom"/>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筛查实验室数</w:t>
            </w:r>
          </w:p>
        </w:tc>
        <w:tc>
          <w:tcPr>
            <w:tcW w:w="14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94</w:t>
            </w:r>
          </w:p>
        </w:tc>
        <w:tc>
          <w:tcPr>
            <w:tcW w:w="1300"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94</w:t>
            </w:r>
          </w:p>
        </w:tc>
        <w:tc>
          <w:tcPr>
            <w:tcW w:w="122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100</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9"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8</w:t>
            </w:r>
          </w:p>
        </w:tc>
        <w:tc>
          <w:tcPr>
            <w:tcW w:w="3604" w:type="dxa"/>
            <w:gridSpan w:val="2"/>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艾滋病宣传教育培训</w:t>
            </w:r>
          </w:p>
        </w:tc>
        <w:tc>
          <w:tcPr>
            <w:tcW w:w="14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123</w:t>
            </w:r>
          </w:p>
        </w:tc>
        <w:tc>
          <w:tcPr>
            <w:tcW w:w="1300"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123</w:t>
            </w:r>
          </w:p>
        </w:tc>
        <w:tc>
          <w:tcPr>
            <w:tcW w:w="122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4"/>
                <w:szCs w:val="24"/>
                <w:highlight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100</w:t>
            </w:r>
            <w:r>
              <w:rPr>
                <w:rFonts w:hint="default" w:ascii="Times New Roman" w:hAnsi="Times New Roman" w:eastAsia="宋体" w:cs="Times New Roman"/>
                <w:b w:val="0"/>
                <w:bCs w:val="0"/>
                <w:color w:val="000000"/>
                <w:kern w:val="0"/>
                <w:sz w:val="24"/>
                <w:szCs w:val="24"/>
                <w:highlight w:val="none"/>
                <w:lang w:bidi="ar"/>
              </w:rPr>
              <w:t>%</w:t>
            </w:r>
          </w:p>
        </w:tc>
        <w:tc>
          <w:tcPr>
            <w:tcW w:w="781" w:type="dxa"/>
            <w:tcBorders>
              <w:tl2br w:val="nil"/>
              <w:tr2bl w:val="nil"/>
            </w:tcBorders>
            <w:shd w:val="clear" w:color="000000" w:fill="F1F1F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i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是</w:t>
            </w:r>
          </w:p>
        </w:tc>
      </w:tr>
    </w:tbl>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default" w:ascii="Times New Roman" w:hAnsi="Times New Roman" w:eastAsia="仿宋_GB2312" w:cs="Times New Roman"/>
          <w:b/>
          <w:bCs/>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③结核病流行防控成效显著，结核病疫情继续呈现稳步下降趋势。根据《全国结核病防治规划（2024—2030年）》和省委、省政府关于卫生健康高质量发展的有关工作精神，省疾控局积极预防控制结核病流行。</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加强患者发现和转诊追踪，提升患者登记管理水平。2024年全省肺结核报告发病数48281例，报告发病率为38/10万，报告发病数、报告发病率分别较上年同期52996例、41.87/10万下降8.9%、9.2%，结核病疫情持续下降；全省登记治疗管理活动性肺结核40646例，病原学阳性率为70.5%；全省肺结核患者成功治疗率为94.1%，结核病防治取得明显成效。</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不断加强耐药防治工作，病原学阳性肺结核耐药筛查率达到96.1%，共发现登记利福平耐药肺结核患者913例，利福平耐药肺结核纳入治疗率为85.8%。继续开展全省耐药监测工作，不断提高利福平耐药管治水平。</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加强相关业务培训和会议交流，全年共举办国家级、省级继续教育项目共5项，举行结核病感染防控、结核病综合防治策略、肺结核诊疗质量控制、结核病实验室诊断技术与质量控制等方面培训，累计培训专业技术人员800余人次，持续提升各地结核病防治工作水平。</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以结核病规划技术指导为依托，强化结核病防治工作督导和技术指导，组织专家深入全省21个地市及所辖部分县区，实现结核病防治规划调研地市级100%全覆盖。加强结核病质量控制和评价，提升结核病防治工作质量。通过结核病防治项目的实施，我省治愈结核病患者4万余名，避免40余万健康人群感染，进一步降低人群密集型机构发生结核病突发公共卫生事件的风险，有效防范重大传染病对个人和家庭、社会造成的劳动力损失，进一步为广东省社会经济高质量发展保驾护航。</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4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④</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疾病监测能力持续提升，全省重点急性传染病疫情总体平稳。根据国家和省级实施方案文件及年度任务要求，各地有序开展重点急性传染病监测工作，实时掌握全省重点急性传染病的流行病学和病原学特征和流行规律，及时开展疫情形势研判。</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完成登革热、新冠等重点急性传染病20个病种和专项监测工作，利用重点急性传染病监测网络，掌握传染病病原谱及病原变化趋势。各地市哨点完成采集任务合计278164份，完成检测任务合计567784项次，哨点监测任务完成率超过100%（278164/207732），检测任务完成率超过100%（567784/ 384287）；新发突发重大传染病疫情应对率达到100%（10/10）。具体为报告新发突发重大传染病相关个案10例，我省报告基孔肯雅热病例3例（深圳报告2例为外籍、广州报告1例现住址为福建，均为境外输入，均未纳入我省统计），人感染H9N2禽流感病例2例（梅州、茂名各1例，现住址均为我省，纳入我省统计），另报告外省输入发热伴血小板减少综合征5例（佛山2例，广州、深圳、中山各1例），其中佛山报告1例发病时现住址为我省，纳入我省统计，其余4例发病时现住址在省外未纳入我省统计。全部疫情均得到有效处置应对。</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及时预警、分析、应对新发突发重大传染病等突发公共卫生事件。开展传染病预警和分析，快速应对现场处置工作。根据突发网新发突发等重大公共卫生事件，2024年我省累计派出防控专家73批次、1931人天驻点开展以登革热疫情为主的传染病现场处置工作，全部报告重点急性传染病暴发疫情得到及时处置，处置及时率100%。2024年累计完成现场调查处置和调研督导报告121份；完成新冠病毒感染、登革热等疫情风评报告181份，完成流感、人禽流感、诺如等监测月报、周报、日报506份。</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加强登革热媒介伊蚊监测，2024年完成哨点常规任务数（不含深圳）34379份，任务完成率189.98%（34379/18096）；蚊媒耐药性检测完成任务数（不含深圳）9600份，任务完成率100%。全年发布预测预警风险评估报告26份，完成预期任务目标。2024年对佛山、湛江、东莞、中山、清远共5个地市开展媒介伊蚊飞行监测，共检查36点次</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继续推进致病菌识别网建设，2024年全省各网络实验室按方案要求时限上传样本检测结果13762份，完成全年任务数（12000份），全省各网络实验室分离并上报3457株菌株，完成全年任务数（1230株），21地市级网络实验室均完成1—12月菌株分离任务（60株）；2024年全省21家网络实验室均参加2024年度国家致病菌识别网实验质量考核，共21家网络实验室提交了全部考核结果，包括菌种鉴定、药敏检测和多病原核酸检测，所有结果均按时通过国家致病菌识别网监测信息系统反馈，收到标本回执率100%，考核结果回收率100%，合格率100%，优秀率100%。</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持续提升重点传染病监测质量。开展重点传染病监测质量评价，确保监测效果真实可靠。我中心传防所联合微检所、消毒病媒所制定流感、手足口病、登革热3个病种的监测工作质量评价方案，并组织工作组对全省3个病种监测工作质量进行评价，对存在的问题进行分析，对经验进行总结，将评价结果发文通报各地市，提升监测质量。强化信息化建设，为传染病防控提速增效，省急性传染病平台维护功能模块达到20个病种，338个模块，全省共有3166家机构、7991个用户使用平台进行传染病的监测工作，急传平台监测采集的数据分析和利用率达100%。开展技术方案宣贯培训，提高全省监测防控工作质量。全年举办线上业务培训班13期，线上和线下培训业务骨干约3000人次，覆盖21个地市、119个县区疾控中心和参与监测工作的医疗卫生哨点机构。疾病监测预警能力持续提升，推进传染病防控关口前移。</w:t>
      </w:r>
      <w:r>
        <w:rPr>
          <w:rFonts w:hint="default" w:ascii="Times New Roman" w:hAnsi="Times New Roman" w:eastAsia="仿宋_GB2312" w:cs="Times New Roman"/>
          <w:b/>
          <w:bCs/>
          <w:color w:val="000000"/>
          <w:sz w:val="32"/>
          <w:szCs w:val="32"/>
          <w:highlight w:val="none"/>
          <w:lang w:val="en-US" w:eastAsia="zh-CN"/>
        </w:rPr>
        <w:t>六是</w:t>
      </w:r>
      <w:r>
        <w:rPr>
          <w:rFonts w:hint="default" w:ascii="Times New Roman" w:hAnsi="Times New Roman" w:eastAsia="仿宋_GB2312" w:cs="Times New Roman"/>
          <w:color w:val="000000"/>
          <w:sz w:val="32"/>
          <w:szCs w:val="32"/>
          <w:highlight w:val="none"/>
          <w:lang w:val="en-US" w:eastAsia="zh-CN"/>
        </w:rPr>
        <w:t>继续强化风险评估核心能力建设，日常和专题风险评估“双管齐下”，为事件科学处置与响应做好参谋。我省传染病和突发公共卫生事件风险评估体系日趋完善，实现从识别到处置的全流程动态管理，地市及基层的风险评估覆盖率显著提升；强化多专业融合的专家风险评估会商，制定科学风险管理流程图、四方责任表和发布风险提示月历，确保决策的科学性和有效性；构建“重点传染病半定量风险评估指标体系”，推动风险评估方法多元化发展；推动风险评估作业数字化转型。2024年全年共发出26期阶段性和专题风险评估报告。</w:t>
      </w:r>
      <w:r>
        <w:rPr>
          <w:rFonts w:hint="default" w:ascii="Times New Roman" w:hAnsi="Times New Roman" w:eastAsia="仿宋_GB2312" w:cs="Times New Roman"/>
          <w:b/>
          <w:bCs/>
          <w:color w:val="000000"/>
          <w:sz w:val="32"/>
          <w:szCs w:val="32"/>
          <w:highlight w:val="none"/>
          <w:lang w:val="en-US" w:eastAsia="zh-CN"/>
        </w:rPr>
        <w:t>七是</w:t>
      </w:r>
      <w:r>
        <w:rPr>
          <w:rFonts w:hint="default" w:ascii="Times New Roman" w:hAnsi="Times New Roman" w:eastAsia="仿宋_GB2312" w:cs="Times New Roman"/>
          <w:color w:val="000000"/>
          <w:sz w:val="32"/>
          <w:szCs w:val="32"/>
          <w:highlight w:val="none"/>
          <w:lang w:val="en-US" w:eastAsia="zh-CN"/>
        </w:rPr>
        <w:t>我省传染病报告质量稳步提升，2024年度全省法定传染病报告质量管理现状现场调查中，抽查法定传染病报告率为99.57%（90249/90638）。2024年全省网络直报系统传染病报告卡有效证件填写完整率为99.98%（达到2024年全国平均水平）。2024年省级开展交叉检查，在调查地市数、调查医疗机构数、抽查病例数大幅上升的情况下，传染病报告率达到99.57%，报告质量各项指标总体呈现稳步上升的趋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重点急性传染病防治工作任务完成情况见表8。</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lang w:val="en-US" w:eastAsia="zh-CN"/>
        </w:rPr>
        <w:t>表8  重点急性传染病防治项目任务完成情况表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587"/>
        <w:gridCol w:w="3342"/>
        <w:gridCol w:w="1327"/>
        <w:gridCol w:w="1633"/>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60" w:hRule="atLeast"/>
          <w:tblHeader/>
          <w:jc w:val="center"/>
        </w:trPr>
        <w:tc>
          <w:tcPr>
            <w:tcW w:w="4929"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lang w:bidi="ar"/>
              </w:rPr>
              <w:t>任务名称</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lang w:bidi="ar"/>
              </w:rPr>
              <w:t>任务指标</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lang w:bidi="ar"/>
              </w:rPr>
              <w:t>完成情况</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4"/>
                <w:szCs w:val="24"/>
                <w:highlight w:val="none"/>
              </w:rPr>
            </w:pPr>
            <w:r>
              <w:rPr>
                <w:rFonts w:hint="default" w:ascii="Times New Roman" w:hAnsi="Times New Roman" w:eastAsia="黑体" w:cs="Times New Roman"/>
                <w:b w:val="0"/>
                <w:bCs/>
                <w:color w:val="000000"/>
                <w:kern w:val="0"/>
                <w:sz w:val="24"/>
                <w:szCs w:val="24"/>
                <w:highlight w:val="none"/>
                <w:lang w:bidi="ar"/>
              </w:rPr>
              <w:t>完成率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jc w:val="center"/>
        </w:trPr>
        <w:tc>
          <w:tcPr>
            <w:tcW w:w="4929"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新发突发重大传染病不明原因疫情应对率</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r>
              <w:rPr>
                <w:rFonts w:hint="default" w:ascii="Times New Roman" w:hAnsi="Times New Roman" w:eastAsia="宋体" w:cs="Times New Roman"/>
                <w:color w:val="000000"/>
                <w:kern w:val="0"/>
                <w:sz w:val="24"/>
                <w:szCs w:val="24"/>
                <w:highlight w:val="none"/>
                <w:lang w:eastAsia="zh-CN" w:bidi="ar"/>
              </w:rPr>
              <w:t>（</w:t>
            </w:r>
            <w:r>
              <w:rPr>
                <w:rFonts w:hint="default" w:ascii="Times New Roman" w:hAnsi="Times New Roman" w:eastAsia="宋体" w:cs="Times New Roman"/>
                <w:color w:val="000000"/>
                <w:sz w:val="24"/>
                <w:szCs w:val="24"/>
                <w:highlight w:val="none"/>
                <w:lang w:val="en-US" w:eastAsia="zh-CN"/>
              </w:rPr>
              <w:t>7/7）</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4929"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重点急性传染病暴发疫情处置及时率</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pacing w:val="-11"/>
                <w:kern w:val="0"/>
                <w:sz w:val="24"/>
                <w:szCs w:val="24"/>
                <w:highlight w:val="none"/>
                <w:lang w:bidi="ar"/>
              </w:rPr>
              <w:t>100%</w:t>
            </w:r>
            <w:r>
              <w:rPr>
                <w:rFonts w:hint="default" w:ascii="Times New Roman" w:hAnsi="Times New Roman" w:eastAsia="宋体" w:cs="Times New Roman"/>
                <w:color w:val="000000"/>
                <w:spacing w:val="-11"/>
                <w:kern w:val="0"/>
                <w:sz w:val="24"/>
                <w:szCs w:val="24"/>
                <w:highlight w:val="none"/>
                <w:lang w:eastAsia="zh-CN" w:bidi="ar"/>
              </w:rPr>
              <w:t>（</w:t>
            </w:r>
            <w:r>
              <w:rPr>
                <w:rFonts w:hint="default" w:ascii="Times New Roman" w:hAnsi="Times New Roman" w:eastAsia="宋体" w:cs="Times New Roman"/>
                <w:color w:val="000000"/>
                <w:spacing w:val="-11"/>
                <w:sz w:val="24"/>
                <w:szCs w:val="24"/>
                <w:highlight w:val="none"/>
                <w:lang w:val="en-US" w:eastAsia="zh-CN"/>
              </w:rPr>
              <w:t>_55_/55_）</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929"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监测开展项目数</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20项</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＞20项</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587" w:type="dxa"/>
            <w:vMerge w:val="restart"/>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哨点监测任务（≥85%）</w:t>
            </w:r>
          </w:p>
        </w:tc>
        <w:tc>
          <w:tcPr>
            <w:tcW w:w="3342" w:type="dxa"/>
            <w:tcBorders>
              <w:tl2br w:val="nil"/>
              <w:tr2bl w:val="nil"/>
            </w:tcBorders>
            <w:shd w:val="clear" w:color="auto" w:fill="FFFFFF"/>
            <w:noWrap w:val="0"/>
            <w:tcMar>
              <w:top w:w="0" w:type="dxa"/>
              <w:left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常规任务数</w:t>
            </w:r>
          </w:p>
        </w:tc>
        <w:tc>
          <w:tcPr>
            <w:tcW w:w="1327" w:type="dxa"/>
            <w:tcBorders>
              <w:tl2br w:val="nil"/>
              <w:tr2bl w:val="nil"/>
            </w:tcBorders>
            <w:shd w:val="clear" w:color="auto" w:fill="FFFFFF"/>
            <w:noWrap w:val="0"/>
            <w:tcMar>
              <w:top w:w="0" w:type="dxa"/>
              <w:left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lang w:bidi="ar"/>
              </w:rPr>
              <w:t>207732</w:t>
            </w:r>
          </w:p>
        </w:tc>
        <w:tc>
          <w:tcPr>
            <w:tcW w:w="1633" w:type="dxa"/>
            <w:tcBorders>
              <w:tl2br w:val="nil"/>
              <w:tr2bl w:val="nil"/>
            </w:tcBorders>
            <w:shd w:val="clear" w:color="auto" w:fill="FFFFFF"/>
            <w:noWrap w:val="0"/>
            <w:tcMar>
              <w:top w:w="0" w:type="dxa"/>
              <w:left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color w:val="000000"/>
                <w:kern w:val="0"/>
                <w:sz w:val="24"/>
                <w:szCs w:val="24"/>
                <w:highlight w:val="none"/>
                <w:u w:val="none"/>
                <w:lang w:eastAsia="zh-CN" w:bidi="ar"/>
              </w:rPr>
              <w:t>2</w:t>
            </w:r>
            <w:r>
              <w:rPr>
                <w:rFonts w:hint="default" w:ascii="Times New Roman" w:hAnsi="Times New Roman" w:eastAsia="宋体" w:cs="Times New Roman"/>
                <w:color w:val="000000"/>
                <w:kern w:val="0"/>
                <w:sz w:val="24"/>
                <w:szCs w:val="24"/>
                <w:highlight w:val="none"/>
                <w:u w:val="none"/>
                <w:lang w:val="en-US" w:eastAsia="zh-CN" w:bidi="ar"/>
              </w:rPr>
              <w:t>78164</w:t>
            </w:r>
          </w:p>
        </w:tc>
        <w:tc>
          <w:tcPr>
            <w:tcW w:w="980" w:type="dxa"/>
            <w:tcBorders>
              <w:tl2br w:val="nil"/>
              <w:tr2bl w:val="nil"/>
            </w:tcBorders>
            <w:shd w:val="clear" w:color="auto" w:fill="FFFFFF"/>
            <w:noWrap w:val="0"/>
            <w:tcMar>
              <w:top w:w="0" w:type="dxa"/>
              <w:left w:w="0" w:type="dxa"/>
              <w:right w:w="1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4"/>
                <w:szCs w:val="24"/>
                <w:highlight w:val="none"/>
                <w:lang w:bidi="ar"/>
              </w:rPr>
            </w:pPr>
            <w:r>
              <w:rPr>
                <w:rFonts w:hint="default" w:ascii="Times New Roman" w:hAnsi="Times New Roman" w:eastAsia="宋体" w:cs="Times New Roman"/>
                <w:i w:val="0"/>
                <w:iCs w:val="0"/>
                <w:color w:val="000000"/>
                <w:kern w:val="0"/>
                <w:sz w:val="24"/>
                <w:szCs w:val="24"/>
                <w:highlight w:val="none"/>
                <w:u w:val="none"/>
                <w:lang w:val="en-US" w:eastAsia="zh-CN" w:bidi="ar"/>
              </w:rPr>
              <w:t>133.91%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587" w:type="dxa"/>
            <w:vMerge w:val="continue"/>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000000"/>
                <w:sz w:val="24"/>
                <w:szCs w:val="24"/>
                <w:highlight w:val="none"/>
              </w:rPr>
            </w:pPr>
          </w:p>
        </w:tc>
        <w:tc>
          <w:tcPr>
            <w:tcW w:w="334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病原检测任务数</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eastAsia="zh-CN" w:bidi="ar"/>
              </w:rPr>
              <w:t>3</w:t>
            </w:r>
            <w:r>
              <w:rPr>
                <w:rFonts w:hint="default" w:ascii="Times New Roman" w:hAnsi="Times New Roman" w:eastAsia="宋体" w:cs="Times New Roman"/>
                <w:color w:val="000000"/>
                <w:kern w:val="0"/>
                <w:sz w:val="24"/>
                <w:szCs w:val="24"/>
                <w:highlight w:val="none"/>
                <w:lang w:val="en-US" w:eastAsia="zh-CN" w:bidi="ar"/>
              </w:rPr>
              <w:t>84287</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eastAsia="zh-CN" w:bidi="ar"/>
              </w:rPr>
              <w:t>5</w:t>
            </w:r>
            <w:r>
              <w:rPr>
                <w:rFonts w:hint="default" w:ascii="Times New Roman" w:hAnsi="Times New Roman" w:eastAsia="宋体" w:cs="Times New Roman"/>
                <w:color w:val="000000"/>
                <w:kern w:val="0"/>
                <w:sz w:val="24"/>
                <w:szCs w:val="24"/>
                <w:highlight w:val="none"/>
                <w:lang w:val="en-US" w:eastAsia="zh-CN" w:bidi="ar"/>
              </w:rPr>
              <w:t>67784</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147.75</w:t>
            </w:r>
            <w:r>
              <w:rPr>
                <w:rFonts w:hint="default" w:ascii="Times New Roman" w:hAnsi="Times New Roman" w:eastAsia="宋体" w:cs="Times New Roman"/>
                <w:color w:val="000000"/>
                <w:kern w:val="0"/>
                <w:sz w:val="24"/>
                <w:szCs w:val="24"/>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18" w:hRule="atLeast"/>
          <w:jc w:val="center"/>
        </w:trPr>
        <w:tc>
          <w:tcPr>
            <w:tcW w:w="1587" w:type="dxa"/>
            <w:vMerge w:val="restart"/>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kern w:val="0"/>
                <w:sz w:val="24"/>
                <w:szCs w:val="24"/>
                <w:highlight w:val="none"/>
                <w:lang w:bidi="ar"/>
              </w:rPr>
              <w:t>传染病报告监测和分析预警</w:t>
            </w:r>
          </w:p>
        </w:tc>
        <w:tc>
          <w:tcPr>
            <w:tcW w:w="3342"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医疗机构法定传染病报告率</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≥95%</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99.57</w:t>
            </w:r>
            <w:r>
              <w:rPr>
                <w:rFonts w:hint="default" w:ascii="Times New Roman" w:hAnsi="Times New Roman" w:eastAsia="宋体" w:cs="Times New Roman"/>
                <w:color w:val="000000"/>
                <w:kern w:val="0"/>
                <w:sz w:val="24"/>
                <w:szCs w:val="24"/>
                <w:highlight w:val="none"/>
                <w:lang w:bidi="ar"/>
              </w:rPr>
              <w:t>%</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587" w:type="dxa"/>
            <w:vMerge w:val="continue"/>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宋体" w:cs="Times New Roman"/>
                <w:color w:val="000000"/>
                <w:sz w:val="24"/>
                <w:szCs w:val="24"/>
                <w:highlight w:val="none"/>
              </w:rPr>
            </w:pPr>
          </w:p>
        </w:tc>
        <w:tc>
          <w:tcPr>
            <w:tcW w:w="3342"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传染病报告卡身份证填写完整率</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eastAsia="zh-CN" w:bidi="ar"/>
              </w:rPr>
              <w:t>≥</w:t>
            </w:r>
            <w:r>
              <w:rPr>
                <w:rFonts w:hint="default" w:ascii="Times New Roman" w:hAnsi="Times New Roman" w:eastAsia="宋体" w:cs="Times New Roman"/>
                <w:color w:val="000000"/>
                <w:kern w:val="0"/>
                <w:sz w:val="24"/>
                <w:szCs w:val="24"/>
                <w:highlight w:val="none"/>
                <w:lang w:bidi="ar"/>
              </w:rPr>
              <w:t>全国平均水平</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99.98</w:t>
            </w:r>
            <w:r>
              <w:rPr>
                <w:rFonts w:hint="default" w:ascii="Times New Roman" w:hAnsi="Times New Roman" w:eastAsia="宋体" w:cs="Times New Roman"/>
                <w:color w:val="000000"/>
                <w:kern w:val="0"/>
                <w:sz w:val="24"/>
                <w:szCs w:val="24"/>
                <w:highlight w:val="none"/>
                <w:lang w:bidi="ar"/>
              </w:rPr>
              <w:t>%</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87" w:type="dxa"/>
            <w:vMerge w:val="continue"/>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4"/>
                <w:szCs w:val="24"/>
                <w:highlight w:val="none"/>
                <w:lang w:val="en-US" w:eastAsia="zh-CN"/>
              </w:rPr>
            </w:pPr>
          </w:p>
        </w:tc>
        <w:tc>
          <w:tcPr>
            <w:tcW w:w="3342"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kern w:val="0"/>
                <w:sz w:val="24"/>
                <w:szCs w:val="24"/>
                <w:highlight w:val="none"/>
                <w:lang w:bidi="ar"/>
              </w:rPr>
              <w:t>医疗机构法定传染病报告率</w:t>
            </w:r>
          </w:p>
        </w:tc>
        <w:tc>
          <w:tcPr>
            <w:tcW w:w="1327"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kern w:val="0"/>
                <w:sz w:val="24"/>
                <w:szCs w:val="24"/>
                <w:highlight w:val="none"/>
                <w:lang w:bidi="ar"/>
              </w:rPr>
              <w:t>≥95%</w:t>
            </w:r>
          </w:p>
        </w:tc>
        <w:tc>
          <w:tcPr>
            <w:tcW w:w="1633"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bidi="ar"/>
              </w:rPr>
              <w:t>99.57</w:t>
            </w:r>
            <w:r>
              <w:rPr>
                <w:rFonts w:hint="default" w:ascii="Times New Roman" w:hAnsi="Times New Roman" w:eastAsia="宋体" w:cs="Times New Roman"/>
                <w:color w:val="000000"/>
                <w:kern w:val="0"/>
                <w:sz w:val="24"/>
                <w:szCs w:val="24"/>
                <w:highlight w:val="none"/>
                <w:lang w:bidi="ar"/>
              </w:rPr>
              <w:t>%</w:t>
            </w:r>
          </w:p>
        </w:tc>
        <w:tc>
          <w:tcPr>
            <w:tcW w:w="9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4"/>
                <w:szCs w:val="24"/>
                <w:highlight w:val="none"/>
                <w:lang w:val="en-US" w:eastAsia="zh-CN"/>
              </w:rPr>
            </w:pPr>
            <w:r>
              <w:rPr>
                <w:rFonts w:hint="default" w:ascii="Times New Roman" w:hAnsi="Times New Roman" w:eastAsia="宋体" w:cs="Times New Roman"/>
                <w:color w:val="000000"/>
                <w:kern w:val="0"/>
                <w:sz w:val="24"/>
                <w:szCs w:val="24"/>
                <w:highlight w:val="none"/>
                <w:lang w:bidi="ar"/>
              </w:rPr>
              <w:t>100%</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5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⑤</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及时掌握性病发病趋势和流行特性，有效遏制性病在社会人群中的传播。</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扎实做好疫情报告及管理工作。全省共报告五种性病199291例，较去年上升1.03%，其中梅毒72350例，报告发病率57.2/10万，报告发病率较去年同期上升了5.0%。共报告淋病21709例，报告发病率17.1/10万，报告发病率较去年下降6.5%。组织广州、深圳等十个重点地市开展梅毒增长原因调研，发现医疗机构梅毒筛查量增加、高危人群梅毒感染率增高是我省梅毒疫情增长的主要原因。</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积极开展主动监测。组织广州市皮肤病医院、广州市番禺区中心医院、珠海市第三人民医院和兴宁市妇幼保健院参加哨点医院监测工作，共监测报告五种性病295例，在珠海和广州番禺开展梅毒病例监测与随访管理试点工作，共监测随访54例梅毒病例。在珠海、东莞、江门、清远、汕头、韶关、湛江、茂名、揭阳和佛山等14个地市，开展重点人群淋病和衣原体主动监测。其中男性性病门诊就诊者监测2504例，HIV、梅毒、淋病、沙眼衣原体检出阳性率分别为0.4%、3.0%、1.2%和3.4%；男男性行为人群监测998例，HIV、梅毒、淋球菌、衣原体检出阳性率分别为4.9%、9.3%、4.9%和9.0%；女性性工作者监测1269例，HIV、梅毒、淋病和沙眼衣原体的检出阳性率分别为0.0%、2.1%、2.0%和7.2%。在中山市开展孕产妇性病监测，完成400例监测任务，孕妇梅毒感染率为1.25%（5/400）。</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防治生殖道衣原体感染试点项目取得明显成效。在5个试点地区全面落实衣原体“3331防控策略”。聚焦衣原体诊疗与防治全链条，5个试点初步探索了各具特色的工作模式。通过试点自评、专题调研、定性访谈等方式，组织对5个试点地区进行项目中期评估，并形成中期评估报告下发各试点地区。继续在佛山南海、珠海斗门建立“广东省生殖道衣原体感染母婴队列”，已入组总人数达4199人，2024年共招募研究对象324例。初步结果显示，在未施加治疗干预的情况下，衣原体阳性的孕妇在随访期间发生胎膜早破的风险是对照组孕妇的2.26倍；筛查治疗后，衣原体阳性孕妇和对照组孕妇随访期间胎膜早破的发生风险无统计学差异，初步证实及时筛查及治疗衣原体感染是减少不良妊娠结局的有效措施。</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实施性病重点人群干预。依托性病门诊对重点人群开展进行健康教育和行为干预，累计发放HIV/梅毒自检试剂1200人份，收集并分析120人份梅毒病例血样，开展分子流行病学调查。</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实施耐药监测。全省新增2个淋球菌耐药监测哨点，形成覆盖了21个地市49个淋球菌耐药性监测哨点组成的网络，覆盖广东省100%的地市。2024年，对全省报告的1800株淋球菌进行耐药性检测，淋球菌耐药监测/报病比为9.4%，达到国际先进水平；开展全省淋球菌加强监测工作，在12个地市发现耐头孢曲松“超级淋球菌”。</w:t>
      </w:r>
      <w:r>
        <w:rPr>
          <w:rFonts w:hint="default" w:ascii="Times New Roman" w:hAnsi="Times New Roman" w:eastAsia="仿宋_GB2312" w:cs="Times New Roman"/>
          <w:b/>
          <w:bCs/>
          <w:color w:val="000000"/>
          <w:sz w:val="32"/>
          <w:szCs w:val="32"/>
          <w:highlight w:val="none"/>
          <w:lang w:val="en-US" w:eastAsia="zh-CN"/>
        </w:rPr>
        <w:t>六是</w:t>
      </w:r>
      <w:r>
        <w:rPr>
          <w:rFonts w:hint="default" w:ascii="Times New Roman" w:hAnsi="Times New Roman" w:eastAsia="仿宋_GB2312" w:cs="Times New Roman"/>
          <w:color w:val="000000"/>
          <w:sz w:val="32"/>
          <w:szCs w:val="32"/>
          <w:highlight w:val="none"/>
          <w:lang w:val="en-US" w:eastAsia="zh-CN"/>
        </w:rPr>
        <w:t>严格性病质控管理。新增27家规范化性病实验室，全省现有规范化性病实验室571家，1277家医疗机构参与梅毒能力验证。对全省1277家单位开展省市两级室间质评活动，制备并发放质控样本1100余份，对500份淋球菌检测样品进行质控，全省符合率达到95分，合格率达到90%以上。</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6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⑥</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强化监测干预，规范病例管理，消除麻风危害。</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进一步提高“广东省疑似麻风病症状监测系统”覆盖面和报告质量。及早发现疑似麻风病患者，有效控制麻风病流行。截至2024年底，全省共注册医疗机构2928家，注册医务人员7983名，通过APP上报疑似麻风症状者25023例，确诊18例。</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加强培训和督导，提高防治管理能力。召开广东省麻风病防治骨干培训班等共五期，培训全省麻风骨干学员合计454人次。全年全省按照“重点突出、分类指导”的原则，共计对肇庆、河源等7个地市或县区开展了麻风病防治工作督导。</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多方合作，积极开展畸残康复服务。全年为截肢休养员装配60条新型材料假肢，维修57条；配备电动轮椅14辆；发放防护鞋/凉鞋共1019双；发放溃疡包及现症护理包434个。在“省麻风病畸残矫治手术康复合作基地”为2名患者进行了畸残矫治手术及术后康复。</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落实政府关爱，创新方式开展麻风病宣传。省皮防中心创新宣传形式，制作并下发了15000本麻风病防治手册、3500张麻风病症状监测鼠标垫、1130本麻风病防治知识笔记本，宣传麻风病防治知识，进一步提高公众对麻风病的科学认知和关注。</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免费为全省各地市开展疑似麻风疑难皮肤病病理会诊，并对2023年全省32位麻风病首诊、确诊并按要求在大疫情网报告的医生下发早期发现报病奖励3000元/例；为2023年全省73位开展新发麻风反应、神经炎管治的医务人员进行补助发放1200元/例。</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7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⑦</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防治能力有效提升，地方病防治成果持续巩固。贯彻落实《广东省地方病防治巩固提升行动实施方案（2023—2025年）》，强化防治能力，扎实开展各项地方病防控工作，巩固提升地方病防治成果，为实施健康广东战略、保障人民群众健康提供有力支撑。</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强化质量控制。组织省、市、县级疾控中心实验室参加2024年全国碘、氟外质控考核，尿碘考核合格率为100%（123/123）、盐碘考核合格率为100%（124/124）、水碘考核合格率为100%（22/22）、水氟考核合格率为100%（52/52）。</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扎实开展监测样品地市级复核工作。按全国监测方案规定，市级抽取辖区每个县级监测样品的5%以上进行复核，含尿碘、盐碘及水氟。2024年，全省监测样品地市级复核任务量为3390份，实际复核数为3688份，任务完成率108.88%。下达任务的地市任务完成率均达到100%或以上。</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有序完成地方病监测任务。省级按预算计划采购尿杯、尿管等监测耗材，分发至全省，保障监测工作顺利开展。按时保质完成国家安排的碘缺乏病、饮水型地方性氟中毒监测工作，并主动规范开展我省适碘地区居民碘营养监测工作，三项监测任务完成率均达到100%。</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强化人才队伍建设。举办甲状腺超声检测技术等4期培训班，共培训各级专业人员200人次，提升防治人员能力水平。强化以赛促学、以赛促练，成功举办全省首届地方病防治技能竞赛，并于同年参加全国地方病防治技能竞赛获得团体一等奖（全国第1名）。</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地方病监测样品地市级复核任务完成情况见表9。</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表9  地方病监测样品地市级复核任务完成量表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48"/>
        <w:gridCol w:w="2249"/>
        <w:gridCol w:w="2249"/>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blHeader/>
          <w:jc w:val="center"/>
        </w:trPr>
        <w:tc>
          <w:tcPr>
            <w:tcW w:w="2248"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地市</w:t>
            </w:r>
          </w:p>
        </w:tc>
        <w:tc>
          <w:tcPr>
            <w:tcW w:w="2249"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复核任务数（份）</w:t>
            </w:r>
          </w:p>
        </w:tc>
        <w:tc>
          <w:tcPr>
            <w:tcW w:w="2249"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实际复核数（份）</w:t>
            </w:r>
          </w:p>
        </w:tc>
        <w:tc>
          <w:tcPr>
            <w:tcW w:w="2310"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任务完成率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广州</w:t>
            </w:r>
          </w:p>
        </w:tc>
        <w:tc>
          <w:tcPr>
            <w:tcW w:w="2249"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330</w:t>
            </w:r>
          </w:p>
        </w:tc>
        <w:tc>
          <w:tcPr>
            <w:tcW w:w="2249"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330</w:t>
            </w:r>
          </w:p>
        </w:tc>
        <w:tc>
          <w:tcPr>
            <w:tcW w:w="2310"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珠海</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汕头</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佛山</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韶关</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河源</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梅州</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254</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惠州</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汕尾</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东莞</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中山</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江门</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阳江</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湛江</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茂名</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肇庆</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清远</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241</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潮州</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揭阳</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49"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176</w:t>
            </w:r>
          </w:p>
        </w:tc>
        <w:tc>
          <w:tcPr>
            <w:tcW w:w="231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云浮</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249"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231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2248"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2249"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3390</w:t>
            </w:r>
          </w:p>
        </w:tc>
        <w:tc>
          <w:tcPr>
            <w:tcW w:w="2249"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3688</w:t>
            </w:r>
          </w:p>
        </w:tc>
        <w:tc>
          <w:tcPr>
            <w:tcW w:w="2310"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108.80%</w:t>
            </w:r>
          </w:p>
        </w:tc>
      </w:tr>
    </w:tbl>
    <w:p>
      <w:pPr>
        <w:pStyle w:val="2"/>
        <w:jc w:val="center"/>
        <w:rPr>
          <w:rFonts w:hint="default" w:ascii="Times New Roman" w:hAnsi="Times New Roman" w:cs="Times New Roman"/>
          <w:color w:val="000000"/>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8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⑧</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持续开展寄生虫病监测与防控，全省未发现本地新感染疟疾病例、血吸虫病人畜及阳性钉螺，疟疾和血吸虫病维持消除状态，人群土源性线虫感染率控制在较低水平。</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加强血吸虫病防治工作，继续在14个原血吸虫病流行县（区）开展传染源和中间宿主螺监测，</w:t>
      </w:r>
      <w:r>
        <w:rPr>
          <w:rFonts w:hint="default" w:ascii="Times New Roman" w:hAnsi="Times New Roman" w:eastAsia="仿宋_GB2312" w:cs="Times New Roman"/>
          <w:i w:val="0"/>
          <w:caps w:val="0"/>
          <w:color w:val="000000"/>
          <w:spacing w:val="0"/>
          <w:sz w:val="32"/>
          <w:szCs w:val="32"/>
          <w:highlight w:val="none"/>
          <w:shd w:val="clear" w:color="auto" w:fill="FFFFFF"/>
        </w:rPr>
        <w:t>完成 3468 人人群监测、200 份野粪检测及 250.45 万平方米螺情调查</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在清远市英德市原有螺环境发现残存钉螺孳生区域 1660 平方米，已完成规范灭螺处置</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举办数据审核与统计分析培训班，提升基层监测能力；组织血防人员赴疫区省份开展现场防控与实验室检测技术培训</w:t>
      </w:r>
      <w:r>
        <w:rPr>
          <w:rFonts w:hint="default" w:ascii="Times New Roman" w:hAnsi="Times New Roman" w:eastAsia="仿宋_GB2312" w:cs="Times New Roman"/>
          <w:color w:val="000000"/>
          <w:sz w:val="32"/>
          <w:szCs w:val="32"/>
          <w:highlight w:val="none"/>
          <w:lang w:val="en-US" w:eastAsia="zh-CN"/>
        </w:rPr>
        <w:t>，同时结合省内交叉查螺、省际联防联控、国家专项督导等多种方式强化督导检查，提高工作质量；完成双脐螺孳生分布调查等工作；积极开展宣传教育，组织全省各地开展首个“全国血吸虫病防治宣传周”活动，设计制作主题海报3张，专项媒体报道3篇，制作宣传视频1个，其中一张主题海报被国家疾控中心评为全国血防宣传周8张“优秀主题海报”之一，宣传视频获得2024年中国健康科普大赛（广东省赛区）音视频类一等奖。</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加强疟疾防控工作。持续开展疟疾病原监测和有效处置所有疟疾病例，未出现继发病例。疟疾病例24小时报卡率为100%，病例流调和疫点处置率100%。制定并下发了2024年媒介监测工作方案，分层设置监测点，基本掌握了媒介分布和消长规律。赴7个地市11个县（市、区）开展</w:t>
      </w:r>
      <w:r>
        <w:rPr>
          <w:rFonts w:hint="default" w:ascii="Times New Roman" w:hAnsi="Times New Roman" w:eastAsia="仿宋_GB2312" w:cs="Times New Roman"/>
          <w:i w:val="0"/>
          <w:caps w:val="0"/>
          <w:color w:val="000000"/>
          <w:spacing w:val="0"/>
          <w:sz w:val="32"/>
          <w:szCs w:val="32"/>
          <w:highlight w:val="none"/>
          <w:shd w:val="clear" w:color="auto" w:fill="FFFFFF"/>
        </w:rPr>
        <w:t>按蚊媒介监测</w:t>
      </w:r>
      <w:r>
        <w:rPr>
          <w:rFonts w:hint="default" w:ascii="Times New Roman" w:hAnsi="Times New Roman" w:eastAsia="仿宋_GB2312" w:cs="Times New Roman"/>
          <w:color w:val="000000"/>
          <w:sz w:val="32"/>
          <w:szCs w:val="32"/>
          <w:highlight w:val="none"/>
          <w:lang w:val="en-US" w:eastAsia="zh-CN"/>
        </w:rPr>
        <w:t>工作调研督导。全省疟原虫核酸质控考核</w:t>
      </w:r>
      <w:r>
        <w:rPr>
          <w:rFonts w:hint="default" w:ascii="Times New Roman" w:hAnsi="Times New Roman" w:eastAsia="仿宋_GB2312" w:cs="Times New Roman"/>
          <w:i w:val="0"/>
          <w:caps w:val="0"/>
          <w:color w:val="000000"/>
          <w:spacing w:val="0"/>
          <w:sz w:val="32"/>
          <w:szCs w:val="32"/>
          <w:highlight w:val="none"/>
          <w:shd w:val="clear" w:color="auto" w:fill="FFFFFF"/>
        </w:rPr>
        <w:t>覆盖率：</w:t>
      </w:r>
      <w:r>
        <w:rPr>
          <w:rFonts w:hint="default" w:ascii="Times New Roman" w:hAnsi="Times New Roman" w:eastAsia="仿宋_GB2312" w:cs="Times New Roman"/>
          <w:color w:val="000000"/>
          <w:sz w:val="32"/>
          <w:szCs w:val="32"/>
          <w:highlight w:val="none"/>
          <w:lang w:val="en-US" w:eastAsia="zh-CN"/>
        </w:rPr>
        <w:t>市级疾控100%（21/21），区（县）疾控85.7%（108/126）。强化科普宣传，设计制作的2张原创宣传海报以及1个宣传视频均获得第五届南方健康科普大赛“优秀奖”，加强省际间联防联控工作。</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加强重点寄生虫病防治工作，完成6个省级土源性</w:t>
      </w:r>
      <w:r>
        <w:rPr>
          <w:rFonts w:hint="default" w:ascii="Times New Roman" w:hAnsi="Times New Roman" w:eastAsia="仿宋_GB2312" w:cs="Times New Roman"/>
          <w:i w:val="0"/>
          <w:caps w:val="0"/>
          <w:color w:val="000000"/>
          <w:spacing w:val="0"/>
          <w:sz w:val="32"/>
          <w:szCs w:val="32"/>
          <w:highlight w:val="none"/>
          <w:shd w:val="clear" w:color="auto" w:fill="FFFFFF"/>
        </w:rPr>
        <w:t>线虫</w:t>
      </w:r>
      <w:r>
        <w:rPr>
          <w:rFonts w:hint="default" w:ascii="Times New Roman" w:hAnsi="Times New Roman" w:eastAsia="仿宋_GB2312" w:cs="Times New Roman"/>
          <w:color w:val="000000"/>
          <w:sz w:val="32"/>
          <w:szCs w:val="32"/>
          <w:highlight w:val="none"/>
          <w:lang w:val="en-US" w:eastAsia="zh-CN"/>
        </w:rPr>
        <w:t>和3个肝吸虫病监测点监测任务，继续推动广州市、深圳市、江门市儿童蛲虫病防治试点，</w:t>
      </w:r>
      <w:r>
        <w:rPr>
          <w:rFonts w:hint="default" w:ascii="Times New Roman" w:hAnsi="Times New Roman" w:eastAsia="仿宋_GB2312" w:cs="Times New Roman"/>
          <w:i w:val="0"/>
          <w:caps w:val="0"/>
          <w:color w:val="000000"/>
          <w:spacing w:val="0"/>
          <w:sz w:val="32"/>
          <w:szCs w:val="32"/>
          <w:highlight w:val="none"/>
          <w:shd w:val="clear" w:color="auto" w:fill="FFFFFF"/>
        </w:rPr>
        <w:t>强化干预措施落地</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组织召开全省寄生虫病防控会议</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w:t>
      </w:r>
      <w:r>
        <w:rPr>
          <w:rFonts w:hint="default" w:ascii="Times New Roman" w:hAnsi="Times New Roman" w:eastAsia="仿宋_GB2312" w:cs="Times New Roman"/>
          <w:color w:val="000000"/>
          <w:sz w:val="32"/>
          <w:szCs w:val="32"/>
          <w:highlight w:val="none"/>
        </w:rPr>
        <w:t>举办全省寄生虫病防治技术竞赛。在全国寄生虫病防治技术竞赛中我省取得团体二等奖和7项个人奖项的优异成绩。</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寄生虫防治项目工作任务完成情况见表10。</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表10  寄生虫防治项目任务完成情况表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6"/>
        <w:gridCol w:w="3921"/>
        <w:gridCol w:w="1421"/>
        <w:gridCol w:w="1421"/>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3921"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任务名称</w:t>
            </w:r>
          </w:p>
        </w:tc>
        <w:tc>
          <w:tcPr>
            <w:tcW w:w="1421"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任务数要求</w:t>
            </w:r>
          </w:p>
        </w:tc>
        <w:tc>
          <w:tcPr>
            <w:tcW w:w="1421"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实际完成数</w:t>
            </w:r>
          </w:p>
        </w:tc>
        <w:tc>
          <w:tcPr>
            <w:tcW w:w="1147"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921"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钉螺监测点数</w:t>
            </w:r>
          </w:p>
        </w:tc>
        <w:tc>
          <w:tcPr>
            <w:tcW w:w="1421"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421"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147"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9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钉螺疫情处置点数</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147"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39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双脐螺调查点数</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147"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39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血防基地建设</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147"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39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媒介监测省级质控县（区）数</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147"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39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疟疾媒介监测点</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147"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9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疟疾检测、治疗质量控制</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147"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39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儿童蛲虫病防治试点</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147"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46"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3921"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肝吸虫、土源性线虫监测点数</w:t>
            </w:r>
          </w:p>
        </w:tc>
        <w:tc>
          <w:tcPr>
            <w:tcW w:w="1421"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421"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147"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9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⑨</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慢性病危险因素有效控制，居民健康期望寿命提高。全省认真贯彻落实《广东省防治慢性病中长期规划（2017—2025年）》，继续加强慢性病防治工作，以实现居民健康期望寿命为目标：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建设慢性病综合防控示范区项目，截至2024年底，已建成慢性病综合防控示范区及示范区培育区59个，其中国家级示范区25个，示范区培育区34个。此外，我省指导国家级示范区和示范区培育区通过“国家示范区信息管理系统”进行2024年动态管理资料网报。积极组织优秀示范区参与慢性病综合防控优秀实践案例和体重优秀案例的申报工作，推广示范区优秀防控经验。</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在基本公卫项目办统筹下，完成全省基本公卫慢性病健康管理2023年度评价考核，撰写慢性病健康管理评价考核报告。并结合慢性病示范区建设开展慢性病管理现场督导。</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积极倡导全民健康生活方式行动，完成127个全民健康生活方式行动项目点，招募并培训健康生活方式指导员7871人。</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依托脑卒中高危人群筛查和干预项目，在珠海市、韶关市、中山市、湛江市和清远市5个地市开展针对高同型半胱氨酸高血压患者的重点慢性病干预工作，各项目点已按照《广东省高同型半胱氨酸高血压（H型高血压）干预项目实施方案》开展干预活动，并已完成终期评估。</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持续开展伤害监测及干预。新增潮州市湘桥区伤害监测点，伤害监测点覆盖全省20个地市，总监测数量达94万例，监测覆盖率100%，监测任务完成率100%。伤害监测点整体漏报率为1.59%（达到省＜10%要求）。持续在广州市、佛山市、韶关市按要求开展老年跌倒干预工作。</w:t>
      </w:r>
      <w:r>
        <w:rPr>
          <w:rFonts w:hint="default" w:ascii="Times New Roman" w:hAnsi="Times New Roman" w:eastAsia="仿宋_GB2312" w:cs="Times New Roman"/>
          <w:b/>
          <w:bCs/>
          <w:color w:val="000000"/>
          <w:sz w:val="32"/>
          <w:szCs w:val="32"/>
          <w:highlight w:val="none"/>
          <w:lang w:val="en-US" w:eastAsia="zh-CN"/>
        </w:rPr>
        <w:t>六是</w:t>
      </w:r>
      <w:r>
        <w:rPr>
          <w:rFonts w:hint="default" w:ascii="Times New Roman" w:hAnsi="Times New Roman" w:eastAsia="仿宋_GB2312" w:cs="Times New Roman"/>
          <w:color w:val="000000"/>
          <w:sz w:val="32"/>
          <w:szCs w:val="32"/>
          <w:highlight w:val="none"/>
          <w:lang w:val="en-US" w:eastAsia="zh-CN"/>
        </w:rPr>
        <w:t>高血压和糖尿病管理能力提升项目按照各项目点实施方案要求开展相关干预活动，提升基层两病管理能力。</w:t>
      </w:r>
      <w:r>
        <w:rPr>
          <w:rFonts w:hint="default" w:ascii="Times New Roman" w:hAnsi="Times New Roman" w:eastAsia="仿宋_GB2312" w:cs="Times New Roman"/>
          <w:b/>
          <w:bCs/>
          <w:color w:val="000000"/>
          <w:sz w:val="32"/>
          <w:szCs w:val="32"/>
          <w:highlight w:val="none"/>
          <w:lang w:val="en-US" w:eastAsia="zh-CN"/>
        </w:rPr>
        <w:t>七是</w:t>
      </w:r>
      <w:r>
        <w:rPr>
          <w:rFonts w:hint="default" w:ascii="Times New Roman" w:hAnsi="Times New Roman" w:eastAsia="仿宋_GB2312" w:cs="Times New Roman"/>
          <w:color w:val="000000"/>
          <w:sz w:val="32"/>
          <w:szCs w:val="32"/>
          <w:highlight w:val="none"/>
          <w:lang w:val="en-US" w:eastAsia="zh-CN"/>
        </w:rPr>
        <w:t>持续推进全省慢病综合监测工作。肿瘤随访登记工作实现县区全覆盖，提质增效，全省肿瘤登记数据县区完成所有监测点数据的审核工作，并上报国家。通过举办覆盖全省所有地市和县区的专业人员技术培训班，全面提升数据质量。慢性病及危险因素监测工作方面，根据《广东省疾病预防控制中心关于做好2024年广东省居民慢性病及危险因素监测现场调查工作的通知》（粤疾控函〔2024〕543号）要求，2024年10月起，除河源市东源县以外，汕头市龙湖区等7个省级监测点开展广东省居民慢性病及危险因素监测现场调查工作，并于2025年1月完成现场调查工作。经了解，河源市东源县未完成任务的主要原因是相关财政经费未能及时拨付到位，致使相关工作无法按照既定计划顺利推进，影响了整体进度与预期目标的达成。</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慢性病防控工作任务完成情况见表11。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表11  慢性病防控项目任务完成情况表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3382"/>
        <w:gridCol w:w="1421"/>
        <w:gridCol w:w="1421"/>
        <w:gridCol w:w="956"/>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序号</w:t>
            </w:r>
          </w:p>
        </w:tc>
        <w:tc>
          <w:tcPr>
            <w:tcW w:w="3382"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任务名称</w:t>
            </w:r>
          </w:p>
        </w:tc>
        <w:tc>
          <w:tcPr>
            <w:tcW w:w="1421"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任务数要求</w:t>
            </w:r>
          </w:p>
        </w:tc>
        <w:tc>
          <w:tcPr>
            <w:tcW w:w="1421"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实际完成数</w:t>
            </w:r>
          </w:p>
        </w:tc>
        <w:tc>
          <w:tcPr>
            <w:tcW w:w="956"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完成率</w:t>
            </w:r>
          </w:p>
        </w:tc>
        <w:tc>
          <w:tcPr>
            <w:tcW w:w="1180"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4"/>
                <w:szCs w:val="24"/>
                <w:highlight w:val="none"/>
                <w:u w:val="none"/>
              </w:rPr>
            </w:pPr>
            <w:r>
              <w:rPr>
                <w:rFonts w:hint="default" w:ascii="Times New Roman" w:hAnsi="Times New Roman" w:eastAsia="黑体" w:cs="Times New Roman"/>
                <w:b w:val="0"/>
                <w:bCs w:val="0"/>
                <w:i w:val="0"/>
                <w:iCs w:val="0"/>
                <w:color w:val="000000"/>
                <w:kern w:val="0"/>
                <w:sz w:val="24"/>
                <w:szCs w:val="24"/>
                <w:highlight w:val="none"/>
                <w:u w:val="none"/>
                <w:lang w:val="en-US" w:eastAsia="zh-CN" w:bidi="ar"/>
              </w:rPr>
              <w:t>是否达标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382"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全民健康生活方式行动</w:t>
            </w:r>
          </w:p>
        </w:tc>
        <w:tc>
          <w:tcPr>
            <w:tcW w:w="1421"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w:t>
            </w:r>
          </w:p>
        </w:tc>
        <w:tc>
          <w:tcPr>
            <w:tcW w:w="1421"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w:t>
            </w:r>
          </w:p>
        </w:tc>
        <w:tc>
          <w:tcPr>
            <w:tcW w:w="956"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80"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382"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重点慢性病干预项目</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95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8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3382"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慢病示范区建设</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27个</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27个</w:t>
            </w:r>
          </w:p>
        </w:tc>
        <w:tc>
          <w:tcPr>
            <w:tcW w:w="956"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8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3382"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伤害监测与干预项目</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24个</w:t>
            </w:r>
          </w:p>
        </w:tc>
        <w:tc>
          <w:tcPr>
            <w:tcW w:w="1421"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24个</w:t>
            </w:r>
          </w:p>
        </w:tc>
        <w:tc>
          <w:tcPr>
            <w:tcW w:w="95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8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3382"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高血压和糖尿病管理能力提升</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421"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956"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80" w:type="dxa"/>
            <w:tcBorders>
              <w:top w:val="single" w:color="999999" w:sz="4" w:space="0"/>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98"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3382"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慢病综合监测工作</w:t>
            </w:r>
          </w:p>
        </w:tc>
        <w:tc>
          <w:tcPr>
            <w:tcW w:w="1421"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67个</w:t>
            </w:r>
          </w:p>
        </w:tc>
        <w:tc>
          <w:tcPr>
            <w:tcW w:w="1421"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66个</w:t>
            </w:r>
          </w:p>
        </w:tc>
        <w:tc>
          <w:tcPr>
            <w:tcW w:w="956"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98.51%</w:t>
            </w:r>
          </w:p>
        </w:tc>
        <w:tc>
          <w:tcPr>
            <w:tcW w:w="1180" w:type="dxa"/>
            <w:tcBorders>
              <w:top w:val="single" w:color="999999" w:sz="4" w:space="0"/>
              <w:left w:val="nil"/>
              <w:bottom w:val="single" w:color="000000"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否</w:t>
            </w:r>
          </w:p>
        </w:tc>
      </w:tr>
    </w:tbl>
    <w:p>
      <w:pPr>
        <w:pStyle w:val="2"/>
        <w:rPr>
          <w:rFonts w:hint="default" w:ascii="Times New Roman" w:hAnsi="Times New Roman" w:cs="Times New Roman"/>
          <w:color w:val="000000"/>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10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⑩</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着力提高全省精神卫生服务能力水平，有效保障患者合法权益和维护公众身心健康。</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全省严重精神障碍管理治疗项目实现全面突破，各项核心指标均超额完成国家任务要求。其中，报告患病率提升至5.11‰，规范管理率达到97.76%，面访率和体检率分别提升到96.48%、84.97%，精神分裂症患者规律服药率提升至92.07%，精神分裂症患者长效针剂治疗比例为14.71%。</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在人才队伍建设方面取得显著成效。全省累计培训的精神科医师转岗人员近5400人次，2024年省精神卫生中心组织开展学员省级考核近800人，基层精神卫生服务能力得到实质性提升。心理援助热线建设成效显著，已完成全国统一心理援助热线12356的接入，创新开展从业人员初、中、高三级递进式培训体系，专业服务能力显著提升。</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省精神卫生信息平台建设项目效果显现。广东省精神卫生信息平台于2018年10月8日正式上线。目前系统和APP使用覆盖全省21个地级市和122个区县，系统用户数超过5000个，工作时间平均在线用户400。系统累计患者762091名，系统保存的随访记录3300多万条，患者病例报告记录70多万条。与国家严重精神障碍信息系统进行了对接，实现严重精神障碍患者筛查、预防、治疗、康复等业务所需的完整业务流程的信息化支撑与管理。2024年完成广东省精神卫生信息平台三级等保测评和商用密码测评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⑪职业健康治理体系进一步完善，职业病危害得到有效遏制。</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开展职业健康检查质量控制。省职业健康检查质量控制中心共组织开展175家职业健康检查机构质控工作。其中，160家具备开展备案的职业健康检查类别与项目能力，11家具备开展部分备案的职业健康检查类别与项目能力，4家不具备开展备案的职业健康检查类别与项目能力；发现6家机构涉嫌违法违规行为，涉及深圳、惠州2个地市，按规定已将有关线索移送当地卫生健康行政部门，目前核查情况均未反馈。完成2家职业健康检查机构外出职业健康检查和样本处理能力核定工作，3家职业健康检查机构染色体畸变分析及微核分析能力核定工作；组织完成2024年度职业健康检查机构检测能力室间比对考核及复测工作。办理职业健康检查机构新申请备案预审37家，增项备案预审35家，变更备案预审35家，注销备案预审2家。省职业卫生技术质量控制中心共组织192家机构参加化学有害因素检测能力室间比对工作，组织108家机构参加工作场所现场采样技能操作及实验室分析室间比对工作，组织112家机构参加噪声花瓣式盲样传递实验室间比对工作，组织72家机构参加卫生工程检测能力室间比对工作，组织103家机构参加职业病危害因素技术指标验收核查工作；对121家（省内107家，省外14家）通过职业卫生技术服务机构资质评审的职业卫生技术服务机构进行相关信息在线监控审核；对59000余份定期检测报告和3400余份现状评价报告进行数据审核和动态管理工作；抽取38家职业卫生技术服务机构共38份定期检测报告进行质量监测工作。省放射卫生技术质量控制中心派出专家协助对广州、深圳、东莞3个地市的放射卫生技术服务机构开展新标准资质认定现场集中考核工作。组织开展专业技术培训，共计210余人参加。组织全省57家机构参加个人剂量监测能力比对，21家机构参加总α总β放射性测量能力比对；对52家医疗机构和59家技术服务机构覆盖放射诊断、放射治疗、核医学等三类放射诊疗设备及其工作场所的放射诊疗设备质量控制和场所放射防护检测报告进行抽检、现场核查；组织专家牵头编制2个团体标准。</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开展职业病诊断和职业病鉴定。省职业病防治院共接收职业病诊断登记529例，出具职业病诊断证明书433例，其中诊断为职业病233例、不能诊断为职业病200例。完成省级职业病鉴定案例120例。完成共11家职业病诊断机构备案工作（2家机构新备案、9家机构变更备案）。对全省26家职业病诊断机构开展技术评估，占全省26家机构的100%。</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开展职业卫生、放射卫生专业能力提升。2024年6月举办广东省职业病诊断医师考试1次，共计1676名医师报名，计有1586名考生参加考试，共计有419名医师考核合格。举办3期广东省职业病诊断医师复训班，共计复训全省587名医师。举办2期职业健康专家库专家的培训班，培训530多人次。此外，韶关市举办职业卫生、放射卫生检测评价能力提高培训班1期。</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⑫有效预警水源性疾病发生和流行，多举措积极推动学生健康促进工作。</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继续在全省开展广东省城乡饮用水卫生监测工作，全省设置饮用水监测点7885个（以二季度计），其中农村水监测点5428个，城市水监测点2457个。全省上报监测水样数31482份，其中城市水9763份，农村水21719份。</w:t>
      </w:r>
      <w:bookmarkStart w:id="1" w:name="_GoBack"/>
      <w:bookmarkEnd w:id="1"/>
      <w:r>
        <w:rPr>
          <w:rFonts w:hint="default" w:ascii="Times New Roman" w:hAnsi="Times New Roman" w:eastAsia="仿宋_GB2312" w:cs="Times New Roman"/>
          <w:color w:val="000000"/>
          <w:sz w:val="32"/>
          <w:szCs w:val="32"/>
          <w:highlight w:val="none"/>
          <w:lang w:val="en-US" w:eastAsia="zh-CN"/>
        </w:rPr>
        <w:t>对3市4县区开展了4宗农村饮水安全工程卫生学评工作。</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持续开展学生常见病监测和干预，多举措大力推动学生健康促进工作。</w:t>
      </w:r>
      <w:r>
        <w:rPr>
          <w:rFonts w:hint="default" w:ascii="Times New Roman" w:hAnsi="Times New Roman" w:eastAsia="仿宋_GB2312" w:cs="Times New Roman"/>
          <w:b w:val="0"/>
          <w:bCs w:val="0"/>
          <w:color w:val="000000"/>
          <w:sz w:val="32"/>
          <w:szCs w:val="32"/>
          <w:highlight w:val="none"/>
          <w:lang w:val="en-US" w:eastAsia="zh-CN"/>
        </w:rPr>
        <w:t>一方面</w:t>
      </w:r>
      <w:r>
        <w:rPr>
          <w:rFonts w:hint="default" w:ascii="Times New Roman" w:hAnsi="Times New Roman" w:eastAsia="仿宋_GB2312" w:cs="Times New Roman"/>
          <w:color w:val="000000"/>
          <w:sz w:val="32"/>
          <w:szCs w:val="32"/>
          <w:highlight w:val="none"/>
          <w:lang w:val="en-US" w:eastAsia="zh-CN"/>
        </w:rPr>
        <w:t>，组织开展学生常见病和健康影响因素监测及干预工作，2024年学生常见病监测与干预范围覆盖全省21个地市122个县（市区）共131个监测点区，监测和干预的县（市区）覆盖率为100%（122/122）。学生常见病监测、学生健康影响因素监测共覆盖307所幼儿园和780所学校。持续组织开展“灵动儿童、阳光少年”为主题的学生常见病干预活动，深入开展专家校园宣教、学校卫生指南和标准普及、中小学生健康月、学校教学生活环境改善、健康父母、重点人群关爱行动等6大行动。2024年春季学期、秋季学期，在佛山、东莞分别举办学生常见病健康宣教进校园的省级示范活动，以近视、肥胖、龋齿、脊柱弯曲异常等学生常见病为重点，寓教于乐，加强科普；聚焦“近视防控宣传教育月”，与广东省教育厅联合出品推出7期近视防控科普专题推文，在“广东疾控”公众号阅读量总计超30万；举办“守护视界，点亮未来”2024年广东省中小学生近视防控知识大赛，约1.3万人参与活动，扩大了宣教影响力。发挥省级示范作用，开发了系列科普视频、图文等宣教材料，作为近视等常见病防控宣教包下发各地，并获得广东省第三届健康科普大赛优秀奖、第三届全国儿童保健科普微视频大赛三等奖、2024中国健康科普大赛广东省赛区一等奖和二等奖、2024中国健康科普大赛优秀奖、第五届南方健康科普大赛优秀奖、2024年新时代健康科普作品征集大赛入围作品等多个奖项。</w:t>
      </w:r>
      <w:r>
        <w:rPr>
          <w:rFonts w:hint="default" w:ascii="Times New Roman" w:hAnsi="Times New Roman" w:eastAsia="仿宋_GB2312" w:cs="Times New Roman"/>
          <w:b w:val="0"/>
          <w:bCs w:val="0"/>
          <w:color w:val="000000"/>
          <w:sz w:val="32"/>
          <w:szCs w:val="32"/>
          <w:highlight w:val="none"/>
          <w:lang w:val="en-US" w:eastAsia="zh-CN"/>
        </w:rPr>
        <w:t>另一方面</w:t>
      </w:r>
      <w:r>
        <w:rPr>
          <w:rFonts w:hint="default" w:ascii="Times New Roman" w:hAnsi="Times New Roman" w:eastAsia="仿宋_GB2312" w:cs="Times New Roman"/>
          <w:color w:val="000000"/>
          <w:sz w:val="32"/>
          <w:szCs w:val="32"/>
          <w:highlight w:val="none"/>
          <w:lang w:val="en-US" w:eastAsia="zh-CN"/>
        </w:rPr>
        <w:t>，做好校园多病共防工作。依托省全民健康平台“广东省儿童青少年健康监测网络系统”，加强指导各地开展学生传染病症状监测工作。及时监测、预警处置，提高学校疾病防控能力。2024年春、秋季两学期，全省近1491所中小学校和托幼机构纳入监测哨点，监测学生人数日均达260余万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⑬公共卫生骨干人才综合业务素质和工作水平提升，全省公共卫生服务能力增强。落实省委、省政府印发《关于进一步加强我省公共卫生人才队伍建设的若干措施》的精神和要求，为市县培养具有高水平的公共卫生骨干实战型人才，进一步强化基层公共卫生队伍建设和人才储备。2024年，公共卫生骨干人才项目培训任务完成率为143%（30/21），培训合格率100%，具体包括：</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广东省现场流行病学培训项目：2024年5月完成第十八期23名学员结业，第十九期招收录取学员31名（其中1人因个人原因后申请退学），实际培训学员30名，其中一年制学员16名，半年制学员14名，结业时间为2025年5月；2024年比2023年第十八期招生人数增加7名，基层疾控机构覆盖单位增至103个，比2023年增多了15个未覆盖县区级疾控机构（按“十四五”103个单位计算）；至2024年底，已累计举办19期，共培养了274名业务骨干，其中包含西藏林芝市学员13名、四川省甘孜藏族自治州学员5名，覆盖广东省21个地级市和103个区县，已完成“十四五”要求所有县区疾控中心全覆盖任务。GDFETP19期学员共完成10周核心理论课程，共234课时，内容主要包括流行病学、卫生统计学、现场调查、流行病学图表制作、常用统计软件、重点传染病监测与防控、现场案例分析、PPT制作和演讲汇报等课程。参与了“佛山市禅城区和南海区登革热疫情现场处置、黄热病疑似个案调查处置、流感嗜血杆菌导致的旅游团呼吸道感染聚集性事件的调查、流产衣原体感染肺炎病例调查、港澳旅游团军团菌肺炎聚集性事件的调查、海珠区老人公寓诺如病毒感染暴发疫情、国内首起猴痘（Ⅰb型）疫情”等多起疫情/事件调查处置，合计参加现场工作164人次，231人天次。共完成67个暴发调查、6个专题调查、30个疾病监测分析，现场调研/督导43次，发表健康教育推文32篇，授课25次。</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病原微生物实验室专业技术人员手把手培训项目：2024手把手培训班招生30人，覆盖省内7个地市、21个县区（其中濠江、龙湖、阳西、天河、龙川等5个县区为2024年新覆盖地区）和省外林芝市，每人培训时长3个月，12月底已完成培训，30名学员顺利结业。根据各地县（市、区）疾控传染病防控工作需要，开展生物安全理论与细菌、病毒各项实操检测技术等专项培训，均按要求完成培训任务。</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慢性防控能力对口建设项目：第六期慢性病防控对口能力建设项目通过单位推荐、专业评估等方式，共录取16名学员，分别来自12个地市，本期学员70%来自珠三角地区，30%来自非珠三角地区。项目中学员顺利完成了理论学习和实习基地的工作实践，专业技能得到提升后现已返回生源单位开展慢性病防控工作实践，如：相关学员参与了2024年全省成人慢性病及危险因素监测调查和中国居民慢阻肺项目现场调查与质控并撰写现场反馈报告，共计20余场次；6名学员作为广州市番禺区、珠海市、珠海市斗门区、汕头市、中山市及清远市英德市现场工作骨干主导现场工作开展。至2024年底，本项目6年累计培养80名学员，覆盖17个地市，52个县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公共卫生骨干人才项目任务完成情况详见下表12。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表12  公共卫生骨干人才项目任务完成情况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0"/>
        <w:gridCol w:w="1283"/>
        <w:gridCol w:w="1096"/>
        <w:gridCol w:w="1195"/>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20"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任务名称</w:t>
            </w:r>
          </w:p>
        </w:tc>
        <w:tc>
          <w:tcPr>
            <w:tcW w:w="1283"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任务指标</w:t>
            </w:r>
          </w:p>
        </w:tc>
        <w:tc>
          <w:tcPr>
            <w:tcW w:w="1096"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完成情况</w:t>
            </w:r>
          </w:p>
        </w:tc>
        <w:tc>
          <w:tcPr>
            <w:tcW w:w="1195"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培训任务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完成率</w:t>
            </w:r>
          </w:p>
        </w:tc>
        <w:tc>
          <w:tcPr>
            <w:tcW w:w="1000" w:type="dxa"/>
            <w:tcBorders>
              <w:top w:val="single" w:color="000000" w:sz="4" w:space="0"/>
              <w:left w:val="nil"/>
              <w:bottom w:val="single" w:color="000000" w:sz="4" w:space="0"/>
              <w:right w:val="nil"/>
            </w:tcBorders>
            <w:shd w:val="clear" w:color="auto" w:fill="CCCCCC"/>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20"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广东省现场流行病学培训项目</w:t>
            </w:r>
          </w:p>
        </w:tc>
        <w:tc>
          <w:tcPr>
            <w:tcW w:w="1283"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21人</w:t>
            </w:r>
          </w:p>
        </w:tc>
        <w:tc>
          <w:tcPr>
            <w:tcW w:w="1096"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30人</w:t>
            </w:r>
          </w:p>
        </w:tc>
        <w:tc>
          <w:tcPr>
            <w:tcW w:w="1195"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1000" w:type="dxa"/>
            <w:tcBorders>
              <w:top w:val="nil"/>
              <w:left w:val="nil"/>
              <w:bottom w:val="single" w:color="999999"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2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病原微生物实验室专业技术人员手把手培训</w:t>
            </w:r>
          </w:p>
        </w:tc>
        <w:tc>
          <w:tcPr>
            <w:tcW w:w="1283"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24人</w:t>
            </w:r>
          </w:p>
        </w:tc>
        <w:tc>
          <w:tcPr>
            <w:tcW w:w="1096"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30人</w:t>
            </w:r>
          </w:p>
        </w:tc>
        <w:tc>
          <w:tcPr>
            <w:tcW w:w="1195"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1000" w:type="dxa"/>
            <w:tcBorders>
              <w:top w:val="single" w:color="999999" w:sz="4" w:space="0"/>
              <w:left w:val="nil"/>
              <w:bottom w:val="single" w:color="999999" w:sz="4" w:space="0"/>
              <w:right w:val="nil"/>
            </w:tcBorders>
            <w:shd w:val="clear" w:color="auto" w:fill="F2F2F2"/>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4720"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慢性防控能力对口建设培训项目</w:t>
            </w:r>
          </w:p>
        </w:tc>
        <w:tc>
          <w:tcPr>
            <w:tcW w:w="1283"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10～15人</w:t>
            </w:r>
          </w:p>
        </w:tc>
        <w:tc>
          <w:tcPr>
            <w:tcW w:w="1096"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16人</w:t>
            </w:r>
          </w:p>
        </w:tc>
        <w:tc>
          <w:tcPr>
            <w:tcW w:w="1195"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1000" w:type="dxa"/>
            <w:tcBorders>
              <w:top w:val="single" w:color="999999" w:sz="4" w:space="0"/>
              <w:left w:val="nil"/>
              <w:bottom w:val="single" w:color="000000" w:sz="4" w:space="0"/>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5"/>
        <w:rPr>
          <w:rFonts w:hint="default" w:ascii="Times New Roman" w:hAnsi="Times New Roman" w:eastAsia="宋体" w:cs="Times New Roman"/>
          <w:b/>
          <w:bCs/>
          <w:color w:val="000000"/>
          <w:sz w:val="24"/>
          <w:szCs w:val="24"/>
          <w:highlight w:val="none"/>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⑭筑牢全省重点场所消毒与感染防控监测网络，重点场所感染风险降低。</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及时开展技术培训，于2024年3月组织开展对全省各地市疾控系统消毒监测技术人员的监测技术培训，共培训人数约80人，确保监测相关的技术培训到位。</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印发《广东省重点场所消毒质量监测与评价工作手册（2024年版）》（粤疾控函〔2024〕309号），细化监测任务、监测项目、监测技术方法与评价指标，指导各地市科学开展监测。</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持续开展省级消毒实验室能力建设。2024年省本级消毒实验室完成《消毒产品检测方法》新标准相关检验项目CNAS扩标扩项评审75项，专业技术人员接受国家级培训或参加业务交流10人次。</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开展重点场所消毒质量监测。2024年全省对医疗机构、托幼机构和养老机构的消毒质量监测样本量合计为60367份（含地市级及县区级），共监测医疗机构1996间，托幼机构586间，养老机构50间，100%完成监测任务量（表12）。</w:t>
      </w:r>
      <w:r>
        <w:rPr>
          <w:rFonts w:hint="default" w:ascii="Times New Roman" w:hAnsi="Times New Roman" w:eastAsia="仿宋_GB2312" w:cs="Times New Roman"/>
          <w:b/>
          <w:bCs/>
          <w:color w:val="000000"/>
          <w:sz w:val="32"/>
          <w:szCs w:val="32"/>
          <w:highlight w:val="none"/>
          <w:lang w:val="en-US" w:eastAsia="zh-CN"/>
        </w:rPr>
        <w:t>五是</w:t>
      </w:r>
      <w:r>
        <w:rPr>
          <w:rFonts w:hint="default" w:ascii="Times New Roman" w:hAnsi="Times New Roman" w:eastAsia="仿宋_GB2312" w:cs="Times New Roman"/>
          <w:color w:val="000000"/>
          <w:sz w:val="32"/>
          <w:szCs w:val="32"/>
          <w:highlight w:val="none"/>
          <w:lang w:val="en-US" w:eastAsia="zh-CN"/>
        </w:rPr>
        <w:t>持续开展医疗机构NICU新生儿肠道病毒风险监测，全省21个地市均按照方案要求每个月开展监测工作，共监测68家医疗机构，监测样本16195份，其中病区环境物表样本9353份，医护人员手3065份，患儿排泄物2045份，水样1732份。6—8月，指导地市开展风险评估和现场处置2宗，做好新生儿院内感染监测预警与防控，督促全省各医疗、疾控机构加强监测和防控措施落实。</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重点场所消毒质量监测与评价项目任务完成情况详见下表13。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表13 重点场所消毒质量监测与评价项目任务完成情况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456"/>
        <w:gridCol w:w="1296"/>
        <w:gridCol w:w="179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92"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5"/>
              <w:rPr>
                <w:rFonts w:hint="eastAsia" w:ascii="黑体" w:hAnsi="黑体" w:eastAsia="黑体" w:cs="黑体"/>
                <w:b w:val="0"/>
                <w:bCs/>
                <w:color w:val="000000"/>
                <w:kern w:val="0"/>
                <w:sz w:val="24"/>
                <w:szCs w:val="24"/>
                <w:highlight w:val="none"/>
                <w:lang w:val="en-US" w:eastAsia="zh-CN" w:bidi="ar"/>
              </w:rPr>
            </w:pPr>
            <w:r>
              <w:rPr>
                <w:rFonts w:hint="eastAsia" w:ascii="黑体" w:hAnsi="黑体" w:eastAsia="黑体" w:cs="黑体"/>
                <w:b w:val="0"/>
                <w:bCs/>
                <w:color w:val="000000"/>
                <w:kern w:val="0"/>
                <w:sz w:val="24"/>
                <w:szCs w:val="24"/>
                <w:highlight w:val="none"/>
                <w:lang w:val="en-US" w:eastAsia="zh-CN" w:bidi="ar"/>
              </w:rPr>
              <w:t>监测内容</w:t>
            </w: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5"/>
              <w:rPr>
                <w:rFonts w:hint="eastAsia" w:ascii="黑体" w:hAnsi="黑体" w:eastAsia="黑体" w:cs="黑体"/>
                <w:b w:val="0"/>
                <w:bCs/>
                <w:color w:val="000000"/>
                <w:kern w:val="0"/>
                <w:sz w:val="24"/>
                <w:szCs w:val="24"/>
                <w:highlight w:val="none"/>
                <w:lang w:bidi="ar"/>
              </w:rPr>
            </w:pPr>
            <w:r>
              <w:rPr>
                <w:rFonts w:hint="eastAsia" w:ascii="黑体" w:hAnsi="黑体" w:eastAsia="黑体" w:cs="黑体"/>
                <w:b w:val="0"/>
                <w:bCs/>
                <w:color w:val="000000"/>
                <w:kern w:val="0"/>
                <w:sz w:val="24"/>
                <w:szCs w:val="24"/>
                <w:highlight w:val="none"/>
                <w:lang w:bidi="ar"/>
              </w:rPr>
              <w:t>任务名称</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5"/>
              <w:rPr>
                <w:rFonts w:hint="eastAsia" w:ascii="黑体" w:hAnsi="黑体" w:eastAsia="黑体" w:cs="黑体"/>
                <w:b w:val="0"/>
                <w:bCs/>
                <w:color w:val="000000"/>
                <w:kern w:val="0"/>
                <w:sz w:val="24"/>
                <w:szCs w:val="24"/>
                <w:highlight w:val="none"/>
                <w:lang w:bidi="ar"/>
              </w:rPr>
            </w:pPr>
            <w:r>
              <w:rPr>
                <w:rFonts w:hint="eastAsia" w:ascii="黑体" w:hAnsi="黑体" w:eastAsia="黑体" w:cs="黑体"/>
                <w:b w:val="0"/>
                <w:bCs/>
                <w:color w:val="000000"/>
                <w:kern w:val="0"/>
                <w:sz w:val="24"/>
                <w:szCs w:val="24"/>
                <w:highlight w:val="none"/>
                <w:lang w:bidi="ar"/>
              </w:rPr>
              <w:t>任务指标</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5"/>
              <w:rPr>
                <w:rFonts w:hint="eastAsia" w:ascii="黑体" w:hAnsi="黑体" w:eastAsia="黑体" w:cs="黑体"/>
                <w:b w:val="0"/>
                <w:bCs/>
                <w:color w:val="000000"/>
                <w:kern w:val="0"/>
                <w:sz w:val="24"/>
                <w:szCs w:val="24"/>
                <w:highlight w:val="none"/>
                <w:lang w:bidi="ar"/>
              </w:rPr>
            </w:pPr>
            <w:r>
              <w:rPr>
                <w:rFonts w:hint="eastAsia" w:ascii="黑体" w:hAnsi="黑体" w:eastAsia="黑体" w:cs="黑体"/>
                <w:b w:val="0"/>
                <w:bCs/>
                <w:color w:val="000000"/>
                <w:kern w:val="0"/>
                <w:sz w:val="24"/>
                <w:szCs w:val="24"/>
                <w:highlight w:val="none"/>
                <w:lang w:val="en-US" w:eastAsia="zh-CN" w:bidi="ar"/>
              </w:rPr>
              <w:t>实际</w:t>
            </w:r>
            <w:r>
              <w:rPr>
                <w:rFonts w:hint="eastAsia" w:ascii="黑体" w:hAnsi="黑体" w:eastAsia="黑体" w:cs="黑体"/>
                <w:b w:val="0"/>
                <w:bCs/>
                <w:color w:val="000000"/>
                <w:kern w:val="0"/>
                <w:sz w:val="24"/>
                <w:szCs w:val="24"/>
                <w:highlight w:val="none"/>
                <w:lang w:bidi="ar"/>
              </w:rPr>
              <w:t>完成情况</w:t>
            </w:r>
          </w:p>
        </w:tc>
        <w:tc>
          <w:tcPr>
            <w:tcW w:w="1814"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5"/>
              <w:rPr>
                <w:rFonts w:hint="eastAsia" w:ascii="黑体" w:hAnsi="黑体" w:eastAsia="黑体" w:cs="黑体"/>
                <w:b w:val="0"/>
                <w:bCs/>
                <w:color w:val="000000"/>
                <w:kern w:val="0"/>
                <w:sz w:val="24"/>
                <w:szCs w:val="24"/>
                <w:highlight w:val="none"/>
                <w:lang w:val="en-US" w:eastAsia="zh-CN" w:bidi="ar"/>
              </w:rPr>
            </w:pPr>
            <w:r>
              <w:rPr>
                <w:rFonts w:hint="eastAsia" w:ascii="黑体" w:hAnsi="黑体" w:eastAsia="黑体" w:cs="黑体"/>
                <w:b w:val="0"/>
                <w:bCs/>
                <w:color w:val="000000"/>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92" w:type="dxa"/>
            <w:vMerge w:val="restart"/>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重点场所消</w:t>
            </w:r>
          </w:p>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毒质量监测</w:t>
            </w: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托幼机构监测样本量</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2240份</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17276份</w:t>
            </w:r>
          </w:p>
        </w:tc>
        <w:tc>
          <w:tcPr>
            <w:tcW w:w="1814" w:type="dxa"/>
            <w:vMerge w:val="restart"/>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1.任务指标数据为下达给市级疾控机构完成的省级任务。</w:t>
            </w:r>
          </w:p>
          <w:p>
            <w:pPr>
              <w:keepNext w:val="0"/>
              <w:keepLines w:val="0"/>
              <w:pageBreakBefore w:val="0"/>
              <w:widowControl/>
              <w:kinsoku/>
              <w:wordWrap/>
              <w:overflowPunct/>
              <w:topLinePunct w:val="0"/>
              <w:autoSpaceDE/>
              <w:autoSpaceDN/>
              <w:bidi w:val="0"/>
              <w:adjustRightInd/>
              <w:snapToGrid/>
              <w:spacing w:line="400" w:lineRule="exact"/>
              <w:jc w:val="both"/>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2.实际完成情况数据通过全民健康平台消毒感染监测系统收集，包含地市及所辖县区疾控机构的监测量。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托幼机构监测间数</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32间</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586间</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养老机构监测样本量</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2240份</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2960份</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val="en-US" w:eastAsia="zh-CN"/>
              </w:rPr>
              <w:t>养老机构监测间数</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32间</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50间</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医疗机构监测样本量</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6400份</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rPr>
            </w:pPr>
            <w:r>
              <w:rPr>
                <w:rFonts w:hint="default" w:ascii="Times New Roman" w:hAnsi="Times New Roman" w:eastAsia="宋体" w:cs="Times New Roman"/>
                <w:color w:val="000000"/>
                <w:kern w:val="0"/>
                <w:sz w:val="24"/>
                <w:szCs w:val="24"/>
                <w:highlight w:val="none"/>
                <w:lang w:val="en-US" w:eastAsia="zh-CN"/>
              </w:rPr>
              <w:t>40072份</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医疗机构监测间数</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val="en-US" w:eastAsia="zh-CN"/>
              </w:rPr>
              <w:t>32间</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1996年</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92" w:type="dxa"/>
            <w:vMerge w:val="restart"/>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医疗机构</w:t>
            </w:r>
          </w:p>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NICU肠道</w:t>
            </w:r>
          </w:p>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病毒风险监测</w:t>
            </w: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监测样本量</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9600份</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val="en-US" w:eastAsia="zh-CN"/>
              </w:rPr>
              <w:t>16195份</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92"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p>
        </w:tc>
        <w:tc>
          <w:tcPr>
            <w:tcW w:w="2456"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监测间数</w:t>
            </w:r>
          </w:p>
        </w:tc>
        <w:tc>
          <w:tcPr>
            <w:tcW w:w="1296" w:type="dxa"/>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lang w:val="en-US" w:eastAsia="zh-CN"/>
              </w:rPr>
            </w:pPr>
            <w:r>
              <w:rPr>
                <w:rFonts w:hint="default" w:ascii="Times New Roman" w:hAnsi="Times New Roman" w:eastAsia="宋体" w:cs="Times New Roman"/>
                <w:color w:val="000000"/>
                <w:kern w:val="0"/>
                <w:sz w:val="24"/>
                <w:szCs w:val="24"/>
                <w:highlight w:val="none"/>
                <w:lang w:val="en-US" w:eastAsia="zh-CN"/>
              </w:rPr>
              <w:t>40间</w:t>
            </w:r>
          </w:p>
        </w:tc>
        <w:tc>
          <w:tcPr>
            <w:tcW w:w="1798"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val="en-US" w:eastAsia="zh-CN"/>
              </w:rPr>
              <w:t>68间</w:t>
            </w:r>
          </w:p>
        </w:tc>
        <w:tc>
          <w:tcPr>
            <w:tcW w:w="1814" w:type="dxa"/>
            <w:vMerge w:val="continue"/>
            <w:tcBorders>
              <w:tl2br w:val="nil"/>
              <w:tr2bl w:val="nil"/>
            </w:tcBorders>
            <w:shd w:val="clear" w:color="auto" w:fill="F1F1F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5"/>
              <w:rPr>
                <w:rFonts w:hint="default" w:ascii="Times New Roman" w:hAnsi="Times New Roman" w:eastAsia="宋体" w:cs="Times New Roman"/>
                <w:color w:val="000000"/>
                <w:kern w:val="0"/>
                <w:sz w:val="24"/>
                <w:szCs w:val="24"/>
                <w:highlight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0" w:firstLineChars="0"/>
        <w:jc w:val="both"/>
        <w:textAlignment w:val="auto"/>
        <w:rPr>
          <w:rFonts w:hint="default" w:ascii="Times New Roman" w:hAnsi="Times New Roman" w:eastAsia="仿宋_GB2312" w:cs="Times New Roman"/>
          <w:b w:val="0"/>
          <w:bCs w:val="0"/>
          <w:color w:val="000000"/>
          <w:sz w:val="21"/>
          <w:szCs w:val="21"/>
          <w:highlight w:val="none"/>
          <w:lang w:val="en-US" w:eastAsia="zh-CN"/>
        </w:rPr>
      </w:pPr>
      <w:r>
        <w:rPr>
          <w:rFonts w:hint="default" w:ascii="Times New Roman" w:hAnsi="Times New Roman" w:eastAsia="仿宋_GB2312" w:cs="Times New Roman"/>
          <w:b w:val="0"/>
          <w:bCs w:val="0"/>
          <w:color w:val="000000"/>
          <w:sz w:val="21"/>
          <w:szCs w:val="21"/>
          <w:highlight w:val="none"/>
          <w:lang w:val="en-US" w:eastAsia="zh-CN"/>
        </w:rPr>
        <w:t>注：以上监测任务完成情况数据不包含珠三角地区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⑮有效防范、及时控制和减少各类突发公共卫生事件及其危害，全省卫生应急能力和水平提高。</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持续做好传染病和突发公共卫生事件监测工作，不断提升监测和防控质量。认真开展阶段性（月、季、半年和年度）和新发输入性传染病（猴痘等）风险评估工作，为事件科学处置与响应做好参谋。全年累计向省卫生健康委和省疾控局报送107期突发公共卫生事件信息快报，所有事件均派员前往现场开展处置工作或提供技术指导，确保事件得到有序有效控制。</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持续推动国家卫生应急队伍高质量发展，强化队员高质量培养、队伍高水平建设、作风形象高标准培塑，结合中心青年人才学校课程，做到“一月一集训、一季一拉练、一年一演练”，全年共组织培训1209人次，开展队伍拉练、演练共计147人次，月度培训、季度拉练、年度演练组合拳提升队伍应急处置能力，夯实应对突发事件的基石。国家队充分发挥我省“分片包干”特色经验，分4个中队分别指导全省四个片区的以聚集性不明原因肺炎应急处置为主题的区域性或地市演练近10次，累计派出队伍骨干57人次和17台次车载平台到地市联合基层队伍开展培训演练，各地累计参练超过749人。通过全链条的培训演练，打通传染病应急“最后一公里”，为科学、高效、规范处置突发公共卫生事件奠定扎实基础。国家队强化重大节假日常规值守和预警响应期间应急值守，“时刻准备着”迅速响应，规范处置“0424肇庆、韶关、清远洪涝灾害”“0616梅州特大暴雨”“0715佛山登革热”“0908徐闻摩羯超强台风”等自然灾害和突发公共卫生事件。</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扎实推进新发传染病监测和防控。及时下发《关于加强猴痘个案流调和基因测序工作的通知》，指导全省强化猴痘个案流行病学调查和猴痘病毒病原学监测工作，防范猴痘病毒新型变异株疫情的传播。全面做好检测技术储备，建立以宏基因组测序为主的“X病原”快速鉴定方法，构建涵盖45种病原体的精准基因库和序列自动化分析平台，针对WHO优先检测高风险等级病原体的快速鉴定能力储备已达100%。建立以中心应急队骨干为主的应急处置“尖刀班”，及时制定《“X疾病”应急预案》，建立明确的应急准备、启动程序、职责分工、多部所协同机制，高效做好广州报告输入黄热病阳性个案、国际出现新型Ib猴痘变异株等多个突发事件的部署和应对处置。</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继续做好卫生应急物资储备工作，确保应急事件处置保障。认真落实省级突发公共卫生事件应急物资储备工作，定期轮转相关物资，严格按照《广东省卫生健康系统突发公共卫生事件应急物资储备方案（试行）》（粤卫函〔2021〕1号）要求，因时因地因势制宜，及时填平补齐相关物资，确保卫生应急物资品目和数量“实时达标”。2024年度累计为粤东西北经济欠发达地区紧急调拨8批次价值310万元的应急物资支持各地做好灾后卫生防疫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（2）病毒性肝炎早防早治行动子项目专项资金使用绩效。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①病毒性肝炎早防早治工作扎实推进。</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成立由15个部门和单位组成的省级病毒性肝炎早防早治行动工作小组，制定了工作规范及系列配套工作方案等保障措施。召开全省病毒性肝炎早防早治行动工作启动会、推进会、调度会等，加快推进各项工作高效有序实施。开展现场调研，协调解决问题，加强工作质量评估。</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b w:val="0"/>
          <w:bCs w:val="0"/>
          <w:color w:val="000000"/>
          <w:sz w:val="32"/>
          <w:szCs w:val="32"/>
          <w:highlight w:val="none"/>
          <w:lang w:val="en-US" w:eastAsia="zh-CN"/>
        </w:rPr>
        <w:t>统筹推进人群筛查和疫苗捐赠工作，组织各地做好首剂乙肝疫苗定点捐赠协议签订工作，推动疫苗捐赠成功落地</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多渠道、多角度普及病毒性肝炎知识，省疾控中心委托南方日报集团开展多渠道立体宣传，包括公益广告、专家直播、信息流等；省宣教中心印制海报13万份，宣传折页40万份分发到项目地区助力宣传。</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kern w:val="2"/>
          <w:sz w:val="32"/>
          <w:szCs w:val="32"/>
          <w:highlight w:val="none"/>
          <w:lang w:val="en-US" w:eastAsia="zh-CN"/>
        </w:rPr>
        <w:t>完善</w:t>
      </w:r>
      <w:r>
        <w:rPr>
          <w:rFonts w:hint="default" w:ascii="Times New Roman" w:hAnsi="Times New Roman" w:eastAsia="仿宋_GB2312" w:cs="Times New Roman"/>
          <w:b w:val="0"/>
          <w:bCs w:val="0"/>
          <w:color w:val="000000"/>
          <w:sz w:val="32"/>
          <w:szCs w:val="32"/>
          <w:highlight w:val="none"/>
          <w:lang w:val="en-US" w:eastAsia="zh-CN"/>
        </w:rPr>
        <w:t>“防、筛、诊、治、管”一体化全周期健康管理模式</w:t>
      </w:r>
      <w:r>
        <w:rPr>
          <w:rFonts w:hint="default" w:ascii="Times New Roman" w:hAnsi="Times New Roman" w:eastAsia="仿宋_GB2312" w:cs="Times New Roman"/>
          <w:color w:val="000000"/>
          <w:kern w:val="2"/>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各项目地区确定筛诊治各环节的服务定点机构，推进</w:t>
      </w:r>
      <w:r>
        <w:rPr>
          <w:rFonts w:hint="default" w:ascii="Times New Roman" w:hAnsi="Times New Roman" w:eastAsia="仿宋_GB2312" w:cs="Times New Roman"/>
          <w:color w:val="000000"/>
          <w:sz w:val="32"/>
          <w:szCs w:val="32"/>
          <w:highlight w:val="none"/>
          <w:lang w:val="en-US" w:eastAsia="zh-CN"/>
        </w:rPr>
        <w:t>诊疗、随访等工作有效落实。</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②全省各级医疗机构的病毒性肝炎防治能力得到提升。</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委托省公共卫生研究院开展了两期全省骨干培训，累计培训超4300人次，强化病毒性肝炎防治人才队伍建设。</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组织南方医科大学南方医院、中山大学附属第三医院、广州医科大学附属市八医院和深圳市第三人民医院等4家高水平医院，对口帮扶57个县（市），开展病毒性肝炎防治能力技术培训与指导，进一步提升各级医疗机构服务能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③乙肝、丙肝的流行水平和疾病负担有效降低。截至2024年12月31日，57个项目县（市）累计筛查</w:t>
      </w:r>
      <w:r>
        <w:rPr>
          <w:rFonts w:hint="default" w:ascii="Times New Roman" w:hAnsi="Times New Roman" w:eastAsia="仿宋_GB2312" w:cs="Times New Roman"/>
          <w:color w:val="000000"/>
          <w:sz w:val="32"/>
          <w:highlight w:val="none"/>
        </w:rPr>
        <w:t>达</w:t>
      </w:r>
      <w:r>
        <w:rPr>
          <w:rFonts w:hint="default" w:ascii="Times New Roman" w:hAnsi="Times New Roman" w:eastAsia="仿宋_GB2312" w:cs="Times New Roman"/>
          <w:color w:val="000000"/>
          <w:sz w:val="32"/>
          <w:szCs w:val="32"/>
          <w:highlight w:val="none"/>
          <w:lang w:val="en-US" w:eastAsia="zh-CN"/>
        </w:rPr>
        <w:t>197.2</w:t>
      </w:r>
      <w:r>
        <w:rPr>
          <w:rFonts w:hint="default" w:ascii="Times New Roman" w:hAnsi="Times New Roman" w:eastAsia="仿宋_GB2312" w:cs="Times New Roman"/>
          <w:color w:val="000000"/>
          <w:sz w:val="32"/>
          <w:highlight w:val="none"/>
        </w:rPr>
        <w:t>万人</w:t>
      </w:r>
      <w:r>
        <w:rPr>
          <w:rFonts w:hint="default" w:ascii="Times New Roman" w:hAnsi="Times New Roman" w:eastAsia="仿宋_GB2312" w:cs="Times New Roman"/>
          <w:color w:val="000000"/>
          <w:sz w:val="32"/>
          <w:szCs w:val="32"/>
          <w:highlight w:val="none"/>
          <w:lang w:val="en-US" w:eastAsia="zh-CN"/>
        </w:rPr>
        <w:t>，为符合疫苗接种条件人群提供首剂次乙肝疫苗免费接种服务，填补了部分人群的免疫缺口；通过大规模筛查和规范接种，逐步降低乙肝和丙肝的传播风险，为保障人民群众的健康安全奠定坚实基础。</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4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④</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项目开展情况群众满意度高。开展病毒性肝炎早防早治工作的满意度调查，向443位20—70岁的调查服务对象发出调查问卷。结果显示，其中297人选择了“非常满意”，占比67.04%；129人选择了“满意”，占比29.12%。统计结果显示，项目整体满意度达到了96.16%，表明项目的实施效果切实满足了服务对象的期望和需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（3）疾控体系现代化建设（高水平疾控中心）项目专项资金使用绩效。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①高层次人才团队组建呈现“井喷式”增长。截至2024年12月31日，省疾控中心立足服务广东公共卫生高质量发展开展科学研究，共组建14支高层次人才团队。②博士后科研工作站和博士工作站平台建设加强。</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充分利用中心引进高层次人才和“广东特支计划”领军人才导师及项目资源，梳理形成基于项目方向的11个博士后招聘岗位需求。</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中心博管办修订完善《博士后科研工作站管理办法》及《博士后薪酬管理办法》，进一步完善博士后“引育用留”工作机制；制定《中心2024年博士后招聘面试方案》，规范中心博士后招收程序。</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积极参与博士后全国巡回招聘，截至12月已收集超过150份优秀博士简历，组织专场面试12场次；推动中心博士后工作站申请加入广东省博士博士后人才发展促进会，成为会员单位。③原创性高水平科研成果取得重大突破。省疾控中心作为牵头单位获得科研项目立项44项，其中国家自然科学基金2项，省特支计划领军人才项目2项、省特支计划青年拔尖人才项目1项；获得中国发明专利授权2项、实用新型专利授权2项、软件著作权授权2项；中心科技人员以第一作者/通讯作者身份在学术期刊上发表论文114篇，其中SCI42篇、北大核心27篇；出版专著14本，参与制定各类标准4项，获省部级科技奖励3项、省预防医学会科技奖7项；获批为“国家卫生健康委食品安全风险评估与标准研制特色实验室”。</w:t>
      </w:r>
      <w:r>
        <w:rPr>
          <w:rFonts w:hint="default" w:ascii="Times New Roman" w:hAnsi="Times New Roman" w:eastAsia="仿宋_GB2312" w:cs="Times New Roman"/>
          <w:color w:val="000000"/>
          <w:sz w:val="32"/>
          <w:szCs w:val="32"/>
          <w:highlight w:val="none"/>
          <w:lang w:val="en-US" w:eastAsia="zh-CN"/>
        </w:rPr>
        <w:fldChar w:fldCharType="begin"/>
      </w:r>
      <w:r>
        <w:rPr>
          <w:rFonts w:hint="default" w:ascii="Times New Roman" w:hAnsi="Times New Roman" w:eastAsia="仿宋_GB2312" w:cs="Times New Roman"/>
          <w:color w:val="000000"/>
          <w:sz w:val="32"/>
          <w:szCs w:val="32"/>
          <w:highlight w:val="none"/>
          <w:lang w:val="en-US" w:eastAsia="zh-CN"/>
        </w:rPr>
        <w:instrText xml:space="preserve"> = 4 \* GB3 \* MERGEFORMAT </w:instrText>
      </w:r>
      <w:r>
        <w:rPr>
          <w:rFonts w:hint="default" w:ascii="Times New Roman" w:hAnsi="Times New Roman" w:eastAsia="仿宋_GB2312" w:cs="Times New Roman"/>
          <w:color w:val="000000"/>
          <w:sz w:val="32"/>
          <w:szCs w:val="32"/>
          <w:highlight w:val="none"/>
          <w:lang w:val="en-US" w:eastAsia="zh-CN"/>
        </w:rPr>
        <w:fldChar w:fldCharType="separate"/>
      </w:r>
      <w:r>
        <w:rPr>
          <w:rFonts w:hint="default" w:ascii="Times New Roman" w:hAnsi="Times New Roman" w:eastAsia="仿宋_GB2312" w:cs="Times New Roman"/>
          <w:color w:val="000000"/>
          <w:sz w:val="32"/>
          <w:szCs w:val="32"/>
          <w:highlight w:val="none"/>
          <w:lang w:val="en-US" w:eastAsia="zh-CN"/>
        </w:rPr>
        <w:t>④</w:t>
      </w:r>
      <w:r>
        <w:rPr>
          <w:rFonts w:hint="default" w:ascii="Times New Roman" w:hAnsi="Times New Roman" w:eastAsia="仿宋_GB2312" w:cs="Times New Roman"/>
          <w:color w:val="000000"/>
          <w:sz w:val="32"/>
          <w:szCs w:val="32"/>
          <w:highlight w:val="none"/>
          <w:lang w:val="en-US" w:eastAsia="zh-CN"/>
        </w:rPr>
        <w:fldChar w:fldCharType="end"/>
      </w:r>
      <w:r>
        <w:rPr>
          <w:rFonts w:hint="default" w:ascii="Times New Roman" w:hAnsi="Times New Roman" w:eastAsia="仿宋_GB2312" w:cs="Times New Roman"/>
          <w:color w:val="000000"/>
          <w:sz w:val="32"/>
          <w:szCs w:val="32"/>
          <w:highlight w:val="none"/>
          <w:lang w:val="en-US" w:eastAsia="zh-CN"/>
        </w:rPr>
        <w:t>疾控高层次人才梯队逐步建成。结合实际工作需求和高质量发展需要，加快补充前沿、紧缺专业人才，持续优化人才队伍专业和学历结构，建立并完善梯次分明、结构科学、能持续发挥作用的人才梯队。</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（三）专项资金使用绩效存在问题。</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1.疫病防控项目资金预算执行进度滞后。</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截至2024年底，专项资金执行率仅为50.89%，其中病毒性肝炎早防早治行动专项资金执行率低至34.06%。</w:t>
      </w:r>
      <w:r>
        <w:rPr>
          <w:rFonts w:hint="default" w:ascii="Times New Roman" w:hAnsi="Times New Roman" w:eastAsia="仿宋_GB2312" w:cs="Times New Roman"/>
          <w:b/>
          <w:bCs/>
          <w:color w:val="000000"/>
          <w:sz w:val="32"/>
          <w:szCs w:val="32"/>
          <w:highlight w:val="none"/>
          <w:lang w:val="en-US" w:eastAsia="zh-CN"/>
        </w:rPr>
        <w:t>主要原因：</w:t>
      </w:r>
      <w:r>
        <w:rPr>
          <w:rFonts w:hint="default" w:ascii="Times New Roman" w:hAnsi="Times New Roman" w:eastAsia="仿宋_GB2312" w:cs="Times New Roman"/>
          <w:color w:val="000000"/>
          <w:sz w:val="32"/>
          <w:szCs w:val="32"/>
          <w:highlight w:val="none"/>
          <w:lang w:val="en-US" w:eastAsia="zh-CN"/>
        </w:rPr>
        <w:t>部分地市因财政资金未及时到位，未能如期开展项目任务。如慢性病及危险因素监测项目，河源市东源县因财政资金未及时拨付到位基层疾控机构，致使相关工作无法按计划开展，影响了项目工作任务的完成。再如职业病防治项目，汕头市卫生健康局2024年度多次向财政申请资金，因财政资金紧张，未下拨额度，故该资金未使用。受财政拨付情况影响，部分县市未及时拨付或未拨付省下达经费，影响资金支出进度。</w:t>
      </w:r>
      <w:r>
        <w:rPr>
          <w:rFonts w:hint="default" w:ascii="Times New Roman" w:hAnsi="Times New Roman" w:eastAsia="仿宋_GB2312" w:cs="Times New Roman"/>
          <w:b/>
          <w:bCs/>
          <w:color w:val="000000"/>
          <w:sz w:val="32"/>
          <w:szCs w:val="32"/>
          <w:highlight w:val="none"/>
          <w:lang w:val="en-US" w:eastAsia="zh-CN"/>
        </w:rPr>
        <w:t>改进措施：一是</w:t>
      </w:r>
      <w:r>
        <w:rPr>
          <w:rFonts w:hint="default" w:ascii="Times New Roman" w:hAnsi="Times New Roman" w:eastAsia="仿宋_GB2312" w:cs="Times New Roman"/>
          <w:color w:val="000000"/>
          <w:sz w:val="32"/>
          <w:szCs w:val="32"/>
          <w:highlight w:val="none"/>
          <w:lang w:val="en-US" w:eastAsia="zh-CN"/>
        </w:rPr>
        <w:t>依托省财政资金“双监控”系统实时抓取项目支出数据，实现对专项资金的全过程动态跟踪，及时发现资金使用中存在的问题，进行提前预警和快速响应，保证资金使用的规范与高效。</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开展线下现场调研与核查工作，深入了解项目实施情况，及时识别资金支出进度缓慢的根本原因，对发现的问题，要求项目单位100%组织核查，及时采取有效措施纠偏纠错，并提出针对性的解决方案。</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严格执行预算执行支出进度通报办法，对支出进度慢的省级预算单位和地市进行特别提醒。对多次提醒仍无效的，约谈相关省级预算单位和地市卫生健康部门领导。</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2.个别绩效目标发生偏离。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color w:val="000000"/>
          <w:sz w:val="32"/>
          <w:szCs w:val="32"/>
          <w:highlight w:val="none"/>
          <w:u w:val="none"/>
          <w:lang w:eastAsia="zh-CN"/>
        </w:rPr>
        <w:t>）疫病防控项目。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①“重点急性传染病防治项目监测哨点采集任务量（份）”指标完成率</w:t>
      </w:r>
      <w:r>
        <w:rPr>
          <w:rFonts w:hint="default" w:ascii="Times New Roman" w:hAnsi="Times New Roman" w:eastAsia="仿宋_GB2312" w:cs="Times New Roman"/>
          <w:color w:val="000000"/>
          <w:sz w:val="32"/>
          <w:szCs w:val="32"/>
          <w:highlight w:val="none"/>
          <w:u w:val="none"/>
          <w:lang w:val="en-US" w:eastAsia="zh-CN"/>
        </w:rPr>
        <w:t>超150%（164.59</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rPr>
        <w:t>主要原因：</w:t>
      </w:r>
      <w:r>
        <w:rPr>
          <w:rFonts w:hint="default" w:ascii="Times New Roman" w:hAnsi="Times New Roman" w:eastAsia="仿宋_GB2312" w:cs="Times New Roman"/>
          <w:b/>
          <w:bCs/>
          <w:color w:val="000000"/>
          <w:kern w:val="0"/>
          <w:sz w:val="32"/>
          <w:szCs w:val="32"/>
          <w:highlight w:val="none"/>
          <w:lang w:val="en-US" w:eastAsia="zh-CN" w:bidi="ar"/>
        </w:rPr>
        <w:t>一是</w:t>
      </w:r>
      <w:r>
        <w:rPr>
          <w:rFonts w:hint="default" w:ascii="Times New Roman" w:hAnsi="Times New Roman" w:eastAsia="仿宋_GB2312" w:cs="Times New Roman"/>
          <w:color w:val="000000"/>
          <w:kern w:val="0"/>
          <w:sz w:val="32"/>
          <w:szCs w:val="32"/>
          <w:highlight w:val="none"/>
          <w:lang w:bidi="ar"/>
        </w:rPr>
        <w:t>2024年我省流感、新冠哨点监测方案整合为呼吸道综合监测方案，开展呼吸道传染病多病原监测，采样量和病原体检测种类均增加，为配合做好新监测方案，自2024年6月开始陆续与哨点沟通培训，强化病例监测增加病例采样等工作，因此2024年呼吸道综合监测任务量超</w:t>
      </w:r>
      <w:r>
        <w:rPr>
          <w:rFonts w:hint="default" w:ascii="Times New Roman" w:hAnsi="Times New Roman" w:eastAsia="仿宋_GB2312" w:cs="Times New Roman"/>
          <w:color w:val="000000"/>
          <w:kern w:val="0"/>
          <w:sz w:val="32"/>
          <w:szCs w:val="32"/>
          <w:highlight w:val="none"/>
          <w:lang w:val="en-US" w:eastAsia="zh-CN" w:bidi="ar"/>
        </w:rPr>
        <w:t>年初计划</w:t>
      </w:r>
      <w:r>
        <w:rPr>
          <w:rFonts w:hint="default" w:ascii="Times New Roman" w:hAnsi="Times New Roman" w:eastAsia="仿宋_GB2312" w:cs="Times New Roman"/>
          <w:color w:val="000000"/>
          <w:kern w:val="0"/>
          <w:sz w:val="32"/>
          <w:szCs w:val="32"/>
          <w:highlight w:val="none"/>
          <w:lang w:bidi="ar"/>
        </w:rPr>
        <w:t>完成。</w:t>
      </w:r>
      <w:r>
        <w:rPr>
          <w:rFonts w:hint="default" w:ascii="Times New Roman" w:hAnsi="Times New Roman" w:eastAsia="仿宋_GB2312" w:cs="Times New Roman"/>
          <w:b/>
          <w:bCs/>
          <w:color w:val="000000"/>
          <w:kern w:val="0"/>
          <w:sz w:val="32"/>
          <w:szCs w:val="32"/>
          <w:highlight w:val="none"/>
          <w:lang w:val="en-US" w:eastAsia="zh-CN" w:bidi="ar"/>
        </w:rPr>
        <w:t>二是</w:t>
      </w:r>
      <w:r>
        <w:rPr>
          <w:rFonts w:hint="default" w:ascii="Times New Roman" w:hAnsi="Times New Roman" w:eastAsia="仿宋_GB2312" w:cs="Times New Roman"/>
          <w:color w:val="000000"/>
          <w:kern w:val="0"/>
          <w:sz w:val="32"/>
          <w:szCs w:val="32"/>
          <w:highlight w:val="none"/>
          <w:lang w:bidi="ar"/>
        </w:rPr>
        <w:t>2024年我省登革热疫情为近10年以来的最高水平，各地市加强了登革热NS1监测和蚊媒监测，2024年</w:t>
      </w:r>
      <w:r>
        <w:rPr>
          <w:rFonts w:hint="default" w:ascii="Times New Roman" w:hAnsi="Times New Roman" w:eastAsia="仿宋_GB2312" w:cs="Times New Roman"/>
          <w:color w:val="000000"/>
          <w:kern w:val="0"/>
          <w:sz w:val="32"/>
          <w:szCs w:val="32"/>
          <w:highlight w:val="none"/>
          <w:lang w:val="en-US" w:eastAsia="zh-CN" w:bidi="ar"/>
        </w:rPr>
        <w:t>登革热哨点监测</w:t>
      </w:r>
      <w:r>
        <w:rPr>
          <w:rFonts w:hint="default" w:ascii="Times New Roman" w:hAnsi="Times New Roman" w:eastAsia="仿宋_GB2312" w:cs="Times New Roman"/>
          <w:color w:val="000000"/>
          <w:kern w:val="0"/>
          <w:sz w:val="32"/>
          <w:szCs w:val="32"/>
          <w:highlight w:val="none"/>
          <w:lang w:bidi="ar"/>
        </w:rPr>
        <w:t>任务</w:t>
      </w:r>
      <w:r>
        <w:rPr>
          <w:rFonts w:hint="default" w:ascii="Times New Roman" w:hAnsi="Times New Roman" w:eastAsia="仿宋_GB2312" w:cs="Times New Roman"/>
          <w:color w:val="000000"/>
          <w:kern w:val="0"/>
          <w:sz w:val="32"/>
          <w:szCs w:val="32"/>
          <w:highlight w:val="none"/>
          <w:lang w:val="en-US" w:eastAsia="zh-CN" w:bidi="ar"/>
        </w:rPr>
        <w:t>量远超年初计划完成</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lang w:eastAsia="zh-CN"/>
        </w:rPr>
        <w:t>改进措施：</w:t>
      </w:r>
      <w:r>
        <w:rPr>
          <w:rFonts w:hint="default" w:ascii="Times New Roman" w:hAnsi="Times New Roman" w:eastAsia="仿宋_GB2312" w:cs="Times New Roman"/>
          <w:color w:val="000000"/>
          <w:sz w:val="32"/>
          <w:szCs w:val="32"/>
          <w:highlight w:val="none"/>
          <w:u w:val="none"/>
          <w:lang w:val="en-US" w:eastAsia="zh-CN"/>
        </w:rPr>
        <w:t xml:space="preserve">根据当年度重点急性传染病防治项目工作任务，进一步科学合理设置专项经费绩效指标年度完成值。优化相关业务数据报送系统，加强对项目工作任务、绩效指标完成情况数据的科学分析，促进项目实施效果和财政经费使用效益。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②“全省消毒效果评价工作（份）”指标完成率</w:t>
      </w:r>
      <w:r>
        <w:rPr>
          <w:rFonts w:hint="default" w:ascii="Times New Roman" w:hAnsi="Times New Roman" w:eastAsia="仿宋_GB2312" w:cs="Times New Roman"/>
          <w:color w:val="000000"/>
          <w:sz w:val="32"/>
          <w:szCs w:val="32"/>
          <w:highlight w:val="none"/>
          <w:u w:val="none"/>
          <w:lang w:val="en-US" w:eastAsia="zh-CN"/>
        </w:rPr>
        <w:t>超150%（450.5</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rPr>
        <w:t>主要原因：</w:t>
      </w:r>
      <w:r>
        <w:rPr>
          <w:rFonts w:hint="default" w:ascii="Times New Roman" w:hAnsi="Times New Roman" w:eastAsia="仿宋_GB2312" w:cs="Times New Roman"/>
          <w:b/>
          <w:bCs/>
          <w:color w:val="000000"/>
          <w:kern w:val="0"/>
          <w:sz w:val="32"/>
          <w:szCs w:val="32"/>
          <w:highlight w:val="none"/>
          <w:lang w:val="en-US" w:eastAsia="zh-CN" w:bidi="ar"/>
        </w:rPr>
        <w:t>一是</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该指标年初目标以省级补助经费规模测算的监测任务量14904份的90%设置，未及时根据粤卫办疾控函〔2024〕1号文件中最终下达的监测任务20480份进行更新；</w:t>
      </w:r>
      <w:r>
        <w:rPr>
          <w:rFonts w:hint="default" w:ascii="Times New Roman" w:hAnsi="Times New Roman" w:eastAsia="仿宋_GB2312" w:cs="Times New Roman"/>
          <w:b/>
          <w:bCs/>
          <w:color w:val="000000"/>
          <w:kern w:val="0"/>
          <w:sz w:val="32"/>
          <w:szCs w:val="32"/>
          <w:highlight w:val="none"/>
          <w:lang w:val="en-US" w:eastAsia="zh-CN" w:bidi="ar"/>
        </w:rPr>
        <w:t>二是</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重点场所消毒监测与</w:t>
      </w:r>
      <w:r>
        <w:rPr>
          <w:rFonts w:hint="default" w:ascii="Times New Roman" w:hAnsi="Times New Roman" w:eastAsia="仿宋_GB2312" w:cs="Times New Roman"/>
          <w:b w:val="0"/>
          <w:bCs w:val="0"/>
          <w:color w:val="000000"/>
          <w:kern w:val="0"/>
          <w:sz w:val="32"/>
          <w:szCs w:val="32"/>
          <w:highlight w:val="none"/>
          <w:lang w:val="en-US" w:eastAsia="zh-CN" w:bidi="ar"/>
        </w:rPr>
        <w:t>效果评价工作（消毒</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质量监测任务</w:t>
      </w:r>
      <w:r>
        <w:rPr>
          <w:rFonts w:hint="default"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属于省市县各级财政共同承担支出责任，各地市及县区在完成省级任务外会根据地区实际情况扩大监测量，而现有的监测数据报送系统未能按各级财政承担分类统计监测任务完成数量，只能查询监测量完成总数，导致统计出来的实际完成监测数量大幅超出预期目标</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lang w:val="en-US" w:eastAsia="zh-CN"/>
        </w:rPr>
        <w:t>改进措施：</w:t>
      </w:r>
      <w:r>
        <w:rPr>
          <w:rFonts w:hint="default" w:ascii="Times New Roman" w:hAnsi="Times New Roman" w:eastAsia="仿宋_GB2312" w:cs="Times New Roman"/>
          <w:color w:val="000000"/>
          <w:sz w:val="32"/>
          <w:szCs w:val="32"/>
          <w:highlight w:val="none"/>
          <w:u w:val="none"/>
          <w:lang w:val="en-US" w:eastAsia="zh-CN"/>
        </w:rPr>
        <w:t xml:space="preserve">根据当年度消毒效果评价项目工作任务，进一步科学合理设置专项经费绩效指标年度完成值。优化相关业务数据报送系统，加强对项目工作任务、绩效指标完成情况数据的科学分析，促进项目实施效果和财政经费使用效益。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val="en-US" w:eastAsia="zh-CN"/>
        </w:rPr>
        <w:t>③“全省消毒效果评价工作覆盖率（%）”</w:t>
      </w:r>
      <w:r>
        <w:rPr>
          <w:rFonts w:hint="default" w:ascii="Times New Roman" w:hAnsi="Times New Roman" w:eastAsia="仿宋_GB2312" w:cs="Times New Roman"/>
          <w:color w:val="000000"/>
          <w:sz w:val="32"/>
          <w:szCs w:val="32"/>
          <w:highlight w:val="none"/>
          <w:u w:val="none"/>
          <w:lang w:eastAsia="zh-CN"/>
        </w:rPr>
        <w:t>指标完成率</w:t>
      </w:r>
      <w:r>
        <w:rPr>
          <w:rFonts w:hint="default" w:ascii="Times New Roman" w:hAnsi="Times New Roman" w:eastAsia="仿宋_GB2312" w:cs="Times New Roman"/>
          <w:color w:val="000000"/>
          <w:sz w:val="32"/>
          <w:szCs w:val="32"/>
          <w:highlight w:val="none"/>
          <w:u w:val="none"/>
          <w:lang w:val="en-US" w:eastAsia="zh-CN"/>
        </w:rPr>
        <w:t>超150%｛1831.25%（586/32）、156.25%（50/32）、6237.5%（1996/32）和170%（68/40）｝</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b/>
          <w:bCs/>
          <w:color w:val="000000"/>
          <w:sz w:val="32"/>
          <w:szCs w:val="32"/>
          <w:highlight w:val="none"/>
          <w:u w:val="none"/>
          <w:lang w:eastAsia="zh-CN"/>
        </w:rPr>
        <w:t>主要原因：</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重点场所消毒效果监测</w:t>
      </w:r>
      <w:r>
        <w:rPr>
          <w:rFonts w:hint="default" w:ascii="Times New Roman" w:hAnsi="Times New Roman" w:eastAsia="仿宋_GB2312" w:cs="Times New Roman"/>
          <w:b w:val="0"/>
          <w:bCs w:val="0"/>
          <w:color w:val="000000"/>
          <w:kern w:val="0"/>
          <w:sz w:val="32"/>
          <w:szCs w:val="32"/>
          <w:highlight w:val="none"/>
          <w:lang w:val="en-US" w:eastAsia="zh-CN" w:bidi="ar"/>
        </w:rPr>
        <w:t>评价工作</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bidi="ar"/>
        </w:rPr>
        <w:t>属于省市县各级财政共同承担支出责任，各地市及县区在完成省级任务外会根据地区实际情况扩大医疗和托幼机构的监测范围，而现有的监测数据报送系统未能按各级财政承担分类统计监测机构数量，只能查询监测机构总数，导致统计出来的实际监测机构数量大幅超出预期目标</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b/>
          <w:bCs/>
          <w:color w:val="000000"/>
          <w:sz w:val="32"/>
          <w:szCs w:val="32"/>
          <w:highlight w:val="none"/>
          <w:u w:val="none"/>
          <w:lang w:val="en-US" w:eastAsia="zh-CN"/>
        </w:rPr>
        <w:t>改进措施：</w:t>
      </w:r>
      <w:r>
        <w:rPr>
          <w:rFonts w:hint="default" w:ascii="Times New Roman" w:hAnsi="Times New Roman" w:eastAsia="仿宋_GB2312" w:cs="Times New Roman"/>
          <w:color w:val="000000"/>
          <w:sz w:val="32"/>
          <w:szCs w:val="32"/>
          <w:highlight w:val="none"/>
          <w:u w:val="none"/>
          <w:lang w:val="en-US" w:eastAsia="zh-CN"/>
        </w:rPr>
        <w:t>根据当年度消毒效果评价项目工作任务，进一步科学合理设置专项经费绩效指标年度完成值。优化相关业务数据报送系统，加强对项目工作任务、绩效指标完成情况数据的科学分析，促进项目实施效果和财政经费使用效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④“重点急性传染病监测任务完成率（%）”指标完成率</w:t>
      </w:r>
      <w:r>
        <w:rPr>
          <w:rFonts w:hint="default" w:ascii="Times New Roman" w:hAnsi="Times New Roman" w:eastAsia="仿宋_GB2312" w:cs="Times New Roman"/>
          <w:color w:val="000000"/>
          <w:sz w:val="32"/>
          <w:szCs w:val="32"/>
          <w:highlight w:val="none"/>
          <w:u w:val="none"/>
          <w:lang w:val="en-US" w:eastAsia="zh-CN"/>
        </w:rPr>
        <w:t>超150%（157.54</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rPr>
        <w:t>主要原因：</w:t>
      </w:r>
      <w:r>
        <w:rPr>
          <w:rFonts w:hint="default" w:ascii="Times New Roman" w:hAnsi="Times New Roman" w:eastAsia="仿宋_GB2312" w:cs="Times New Roman"/>
          <w:color w:val="000000"/>
          <w:sz w:val="32"/>
          <w:szCs w:val="32"/>
          <w:highlight w:val="none"/>
          <w:u w:val="none"/>
          <w:lang w:val="en-US" w:eastAsia="zh-CN"/>
        </w:rPr>
        <w:t>与“</w:t>
      </w:r>
      <w:r>
        <w:rPr>
          <w:rFonts w:hint="default" w:ascii="Times New Roman" w:hAnsi="Times New Roman" w:eastAsia="仿宋_GB2312" w:cs="Times New Roman"/>
          <w:color w:val="000000"/>
          <w:sz w:val="32"/>
          <w:szCs w:val="32"/>
          <w:highlight w:val="none"/>
          <w:u w:val="none"/>
          <w:lang w:eastAsia="zh-CN"/>
        </w:rPr>
        <w:t>重点急性传染病防治项目监测哨点采集任务量</w:t>
      </w:r>
      <w:r>
        <w:rPr>
          <w:rFonts w:hint="default" w:ascii="Times New Roman" w:hAnsi="Times New Roman" w:eastAsia="仿宋_GB2312" w:cs="Times New Roman"/>
          <w:color w:val="000000"/>
          <w:sz w:val="32"/>
          <w:szCs w:val="32"/>
          <w:highlight w:val="none"/>
          <w:u w:val="none"/>
          <w:lang w:val="en-US" w:eastAsia="zh-CN"/>
        </w:rPr>
        <w:t>”指标超额完成一致。</w:t>
      </w:r>
      <w:r>
        <w:rPr>
          <w:rFonts w:hint="default" w:ascii="Times New Roman" w:hAnsi="Times New Roman" w:eastAsia="仿宋_GB2312" w:cs="Times New Roman"/>
          <w:b/>
          <w:bCs/>
          <w:color w:val="000000"/>
          <w:kern w:val="0"/>
          <w:sz w:val="32"/>
          <w:szCs w:val="32"/>
          <w:highlight w:val="none"/>
          <w:lang w:val="en-US" w:eastAsia="zh-CN" w:bidi="ar"/>
        </w:rPr>
        <w:t>一是</w:t>
      </w:r>
      <w:r>
        <w:rPr>
          <w:rFonts w:hint="default" w:ascii="Times New Roman" w:hAnsi="Times New Roman" w:eastAsia="仿宋_GB2312" w:cs="Times New Roman"/>
          <w:color w:val="000000"/>
          <w:kern w:val="0"/>
          <w:sz w:val="32"/>
          <w:szCs w:val="32"/>
          <w:highlight w:val="none"/>
          <w:lang w:bidi="ar"/>
        </w:rPr>
        <w:t>2024年我省流感、新冠哨点监测方案整合为呼吸道综合监测方案，开展呼吸道传染病多病原监测，采样量和病原体检测种类均增加，为配合做好新监测方案，自2024年6月开始陆续与哨点沟通培训，强化病例监测增加病例采样等工作，因此2024年呼吸道综合监测任务量超</w:t>
      </w:r>
      <w:r>
        <w:rPr>
          <w:rFonts w:hint="default" w:ascii="Times New Roman" w:hAnsi="Times New Roman" w:eastAsia="仿宋_GB2312" w:cs="Times New Roman"/>
          <w:color w:val="000000"/>
          <w:kern w:val="0"/>
          <w:sz w:val="32"/>
          <w:szCs w:val="32"/>
          <w:highlight w:val="none"/>
          <w:lang w:val="en-US" w:eastAsia="zh-CN" w:bidi="ar"/>
        </w:rPr>
        <w:t>年初计划</w:t>
      </w:r>
      <w:r>
        <w:rPr>
          <w:rFonts w:hint="default" w:ascii="Times New Roman" w:hAnsi="Times New Roman" w:eastAsia="仿宋_GB2312" w:cs="Times New Roman"/>
          <w:color w:val="000000"/>
          <w:kern w:val="0"/>
          <w:sz w:val="32"/>
          <w:szCs w:val="32"/>
          <w:highlight w:val="none"/>
          <w:lang w:bidi="ar"/>
        </w:rPr>
        <w:t>完成。</w:t>
      </w:r>
      <w:r>
        <w:rPr>
          <w:rFonts w:hint="default" w:ascii="Times New Roman" w:hAnsi="Times New Roman" w:eastAsia="仿宋_GB2312" w:cs="Times New Roman"/>
          <w:b/>
          <w:bCs/>
          <w:color w:val="000000"/>
          <w:kern w:val="0"/>
          <w:sz w:val="32"/>
          <w:szCs w:val="32"/>
          <w:highlight w:val="none"/>
          <w:lang w:val="en-US" w:eastAsia="zh-CN" w:bidi="ar"/>
        </w:rPr>
        <w:t>二是</w:t>
      </w:r>
      <w:r>
        <w:rPr>
          <w:rFonts w:hint="default" w:ascii="Times New Roman" w:hAnsi="Times New Roman" w:eastAsia="仿宋_GB2312" w:cs="Times New Roman"/>
          <w:color w:val="000000"/>
          <w:kern w:val="0"/>
          <w:sz w:val="32"/>
          <w:szCs w:val="32"/>
          <w:highlight w:val="none"/>
          <w:lang w:bidi="ar"/>
        </w:rPr>
        <w:t>2024年我省登革热疫情为近10年以来的最高水平，各地市加强了登革热NS1监测和蚊媒监测，2024年</w:t>
      </w:r>
      <w:r>
        <w:rPr>
          <w:rFonts w:hint="default" w:ascii="Times New Roman" w:hAnsi="Times New Roman" w:eastAsia="仿宋_GB2312" w:cs="Times New Roman"/>
          <w:color w:val="000000"/>
          <w:kern w:val="0"/>
          <w:sz w:val="32"/>
          <w:szCs w:val="32"/>
          <w:highlight w:val="none"/>
          <w:lang w:val="en-US" w:eastAsia="zh-CN" w:bidi="ar"/>
        </w:rPr>
        <w:t>登革热哨点监测</w:t>
      </w:r>
      <w:r>
        <w:rPr>
          <w:rFonts w:hint="default" w:ascii="Times New Roman" w:hAnsi="Times New Roman" w:eastAsia="仿宋_GB2312" w:cs="Times New Roman"/>
          <w:color w:val="000000"/>
          <w:kern w:val="0"/>
          <w:sz w:val="32"/>
          <w:szCs w:val="32"/>
          <w:highlight w:val="none"/>
          <w:lang w:bidi="ar"/>
        </w:rPr>
        <w:t>任务</w:t>
      </w:r>
      <w:r>
        <w:rPr>
          <w:rFonts w:hint="default" w:ascii="Times New Roman" w:hAnsi="Times New Roman" w:eastAsia="仿宋_GB2312" w:cs="Times New Roman"/>
          <w:color w:val="000000"/>
          <w:kern w:val="0"/>
          <w:sz w:val="32"/>
          <w:szCs w:val="32"/>
          <w:highlight w:val="none"/>
          <w:lang w:val="en-US" w:eastAsia="zh-CN" w:bidi="ar"/>
        </w:rPr>
        <w:t>量远超年初计划完成</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lang w:val="en-US" w:eastAsia="zh-CN"/>
        </w:rPr>
        <w:t>改进措施</w:t>
      </w:r>
      <w:r>
        <w:rPr>
          <w:rFonts w:hint="default" w:ascii="Times New Roman" w:hAnsi="Times New Roman" w:eastAsia="仿宋_GB2312" w:cs="Times New Roman"/>
          <w:b/>
          <w:bCs/>
          <w:color w:val="000000"/>
          <w:sz w:val="32"/>
          <w:szCs w:val="32"/>
          <w:highlight w:val="none"/>
          <w:u w:val="none"/>
          <w:lang w:val="en" w:eastAsia="zh-CN"/>
        </w:rPr>
        <w:t>：</w:t>
      </w:r>
      <w:r>
        <w:rPr>
          <w:rFonts w:hint="default" w:ascii="Times New Roman" w:hAnsi="Times New Roman" w:eastAsia="仿宋_GB2312" w:cs="Times New Roman"/>
          <w:color w:val="000000"/>
          <w:sz w:val="32"/>
          <w:szCs w:val="32"/>
          <w:highlight w:val="none"/>
          <w:u w:val="none"/>
          <w:lang w:val="en-US" w:eastAsia="zh-CN"/>
        </w:rPr>
        <w:t xml:space="preserve">根据当年度重点急性传染病防治项目工作任务，进一步科学合理设置专项经费绩效指标年度完成值。优化相关业务数据报送系统，加强对项目工作任务、绩效指标完成情况数据的科学分析，促进项目实施效果和财政经费使用效益。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2</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疾控体系现代化建设（高水平疾控中心）</w:t>
      </w:r>
      <w:r>
        <w:rPr>
          <w:rFonts w:hint="default" w:ascii="Times New Roman" w:hAnsi="Times New Roman" w:eastAsia="仿宋_GB2312" w:cs="Times New Roman"/>
          <w:color w:val="000000"/>
          <w:sz w:val="32"/>
          <w:szCs w:val="32"/>
          <w:highlight w:val="none"/>
          <w:u w:val="none"/>
          <w:lang w:val="en-US" w:eastAsia="zh-CN"/>
        </w:rPr>
        <w:t>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①</w:t>
      </w:r>
      <w:r>
        <w:rPr>
          <w:rFonts w:hint="default" w:ascii="Times New Roman" w:hAnsi="Times New Roman" w:eastAsia="仿宋_GB2312" w:cs="Times New Roman"/>
          <w:color w:val="000000"/>
          <w:sz w:val="32"/>
          <w:szCs w:val="32"/>
          <w:highlight w:val="none"/>
          <w:u w:val="none"/>
          <w:lang w:eastAsia="zh-CN"/>
        </w:rPr>
        <w:t>“技术骨干国际化培训人数（人次）”</w:t>
      </w:r>
      <w:r>
        <w:rPr>
          <w:rFonts w:hint="default" w:ascii="Times New Roman" w:hAnsi="Times New Roman" w:eastAsia="仿宋_GB2312" w:cs="Times New Roman"/>
          <w:color w:val="000000"/>
          <w:sz w:val="32"/>
          <w:szCs w:val="32"/>
          <w:highlight w:val="none"/>
          <w:u w:val="none"/>
          <w:lang w:val="en-US" w:eastAsia="zh-CN"/>
        </w:rPr>
        <w:t>未达标（33.33</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rPr>
        <w:t>主要原因：</w:t>
      </w:r>
      <w:r>
        <w:rPr>
          <w:rFonts w:hint="default" w:ascii="Times New Roman" w:hAnsi="Times New Roman" w:eastAsia="仿宋_GB2312" w:cs="Times New Roman"/>
          <w:color w:val="000000"/>
          <w:sz w:val="32"/>
          <w:szCs w:val="32"/>
          <w:highlight w:val="none"/>
          <w:u w:val="none"/>
          <w:lang w:val="en-US" w:eastAsia="zh-CN"/>
        </w:rPr>
        <w:t>受目前国际形势复杂多变影响，国际科研交流活动受限，符合要求的国外优质培训资源变少，科研人员签证获批困难，导致无法按计划派出骨干人才开展国际化培训。</w:t>
      </w:r>
      <w:r>
        <w:rPr>
          <w:rFonts w:hint="default" w:ascii="Times New Roman" w:hAnsi="Times New Roman" w:eastAsia="仿宋_GB2312" w:cs="Times New Roman"/>
          <w:b/>
          <w:bCs/>
          <w:color w:val="000000"/>
          <w:sz w:val="32"/>
          <w:szCs w:val="32"/>
          <w:highlight w:val="none"/>
          <w:u w:val="none"/>
          <w:lang w:val="en-US" w:eastAsia="zh-CN"/>
        </w:rPr>
        <w:t>改进措施：</w:t>
      </w:r>
      <w:r>
        <w:rPr>
          <w:rFonts w:hint="default" w:ascii="Times New Roman" w:hAnsi="Times New Roman" w:eastAsia="仿宋_GB2312" w:cs="Times New Roman"/>
          <w:color w:val="000000"/>
          <w:sz w:val="32"/>
          <w:szCs w:val="32"/>
          <w:highlight w:val="none"/>
          <w:u w:val="none"/>
          <w:lang w:val="en-US" w:eastAsia="zh-CN"/>
        </w:rPr>
        <w:t xml:space="preserve">为弥补出国（境）培训机会受限的影响，省疾控中心进一步加强与世界卫生组织的交流与合作，为相关专业技术骨干争取了更多的线上交流机会。2024年9月12日，受世卫组织西太平洋区域办事处邀请，中心作为世卫组织新发传染病监测研究与培训合作中心，选派6名技术骨干参加由该办事处举办的世卫组织合作中心线上研讨会。11月20—21日，受世界卫生组织西太平洋区域办事处全球疫情警报和响应网络（GOARN）负责人Sharon Salmon 博士邀请，中心作为GOARN合作伙伴，选派6名技术骨干积极参会。通过参会进一步加强了中心与世卫组织西太平洋区域办事处的合作联系，第一时间掌握新动态，有利于中心更好地发挥参与全球公共卫生治理的作用。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u w:val="none"/>
          <w:lang w:val="en-US" w:eastAsia="zh-CN"/>
        </w:rPr>
        <w:t>②</w:t>
      </w:r>
      <w:r>
        <w:rPr>
          <w:rFonts w:hint="default" w:ascii="Times New Roman" w:hAnsi="Times New Roman" w:eastAsia="仿宋_GB2312" w:cs="Times New Roman"/>
          <w:color w:val="000000"/>
          <w:sz w:val="32"/>
          <w:szCs w:val="32"/>
          <w:highlight w:val="none"/>
          <w:u w:val="none"/>
          <w:lang w:eastAsia="zh-CN"/>
        </w:rPr>
        <w:t>“细分方向课题申报设立数（个）”指标完成率</w:t>
      </w:r>
      <w:r>
        <w:rPr>
          <w:rFonts w:hint="default" w:ascii="Times New Roman" w:hAnsi="Times New Roman" w:eastAsia="仿宋_GB2312" w:cs="Times New Roman"/>
          <w:color w:val="000000"/>
          <w:sz w:val="32"/>
          <w:szCs w:val="32"/>
          <w:highlight w:val="none"/>
          <w:u w:val="none"/>
          <w:lang w:val="en-US" w:eastAsia="zh-CN"/>
        </w:rPr>
        <w:t>超150%（280</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b/>
          <w:bCs/>
          <w:color w:val="000000"/>
          <w:sz w:val="32"/>
          <w:szCs w:val="32"/>
          <w:highlight w:val="none"/>
          <w:u w:val="none"/>
        </w:rPr>
        <w:t>主要原因：</w:t>
      </w:r>
      <w:r>
        <w:rPr>
          <w:rFonts w:hint="default" w:ascii="Times New Roman" w:hAnsi="Times New Roman" w:eastAsia="仿宋_GB2312" w:cs="Times New Roman"/>
          <w:color w:val="000000"/>
          <w:sz w:val="32"/>
          <w:szCs w:val="32"/>
          <w:highlight w:val="none"/>
          <w:u w:val="none"/>
          <w:lang w:val="en-US" w:eastAsia="zh-CN"/>
        </w:rPr>
        <w:t>2024年度目标完成值设置过低。细分方向课题申报设立数2024年度目标完成值设置是根据2023年度目标完成情况设置的（2023年引进4个团队及入选1个省特支计划），目标设置偏保守，未充分考虑2023年度中心高层次人才引进与“广东特支计划”等高层人才培育取得良好效果前提下，中心各部所引进培训高层次人才积极性大大提升，2024年度成功引进11个高层次人才团队，3人入选第七批“广东特支计划”卫生健康领域榜单项目，相应申报设立的细分方向科研课题数达14个。</w:t>
      </w:r>
      <w:r>
        <w:rPr>
          <w:rFonts w:hint="default" w:ascii="Times New Roman" w:hAnsi="Times New Roman" w:eastAsia="仿宋_GB2312" w:cs="Times New Roman"/>
          <w:b/>
          <w:bCs/>
          <w:color w:val="000000"/>
          <w:sz w:val="32"/>
          <w:szCs w:val="32"/>
          <w:highlight w:val="none"/>
          <w:u w:val="none"/>
          <w:lang w:val="en-US" w:eastAsia="zh-CN"/>
        </w:rPr>
        <w:t>改进措施：</w:t>
      </w:r>
      <w:r>
        <w:rPr>
          <w:rFonts w:hint="default" w:ascii="Times New Roman" w:hAnsi="Times New Roman" w:eastAsia="仿宋_GB2312" w:cs="Times New Roman"/>
          <w:color w:val="000000"/>
          <w:sz w:val="32"/>
          <w:szCs w:val="32"/>
          <w:highlight w:val="none"/>
          <w:u w:val="none"/>
          <w:lang w:val="en-US" w:eastAsia="zh-CN"/>
        </w:rPr>
        <w:t>根据项目年度工作任务，提前做好人才引进、课题设立等情况摸底，科学合理设置绩效指标年度完成值。加强统筹管理，确保各项人才工作计划有序实施，促进项目实施效果和财政经费使用效益的实现。</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83595"/>
    <w:rsid w:val="4EAC6F5E"/>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annotation text"/>
    <w:basedOn w:val="1"/>
    <w:uiPriority w:val="0"/>
    <w:pPr>
      <w:jc w:val="left"/>
    </w:pPr>
    <w:rPr>
      <w:rFonts w:ascii="Times New Roman" w:hAnsi="Times New Roman" w:eastAsia="宋体" w:cs="Times New Roman"/>
      <w:szCs w:val="22"/>
      <w:lang w:bidi="ar-SA"/>
    </w:rPr>
  </w:style>
  <w:style w:type="character" w:customStyle="1" w:styleId="7">
    <w:name w:val="font11"/>
    <w:basedOn w:val="6"/>
    <w:uiPriority w:val="0"/>
    <w:rPr>
      <w:rFonts w:hint="eastAsia" w:ascii="宋体" w:hAnsi="宋体" w:eastAsia="宋体" w:cs="宋体"/>
      <w:color w:val="000000"/>
      <w:sz w:val="20"/>
      <w:szCs w:val="20"/>
      <w:u w:val="none"/>
    </w:rPr>
  </w:style>
  <w:style w:type="character" w:customStyle="1" w:styleId="8">
    <w:name w:val="font61"/>
    <w:basedOn w:val="6"/>
    <w:uiPriority w:val="0"/>
    <w:rPr>
      <w:rFonts w:hint="eastAsia" w:ascii="宋体" w:hAnsi="宋体" w:eastAsia="宋体" w:cs="宋体"/>
      <w:color w:val="000000"/>
      <w:sz w:val="18"/>
      <w:szCs w:val="18"/>
      <w:u w:val="none"/>
    </w:rPr>
  </w:style>
  <w:style w:type="character" w:customStyle="1" w:styleId="9">
    <w:name w:val="font31"/>
    <w:basedOn w:val="6"/>
    <w:uiPriority w:val="0"/>
    <w:rPr>
      <w:rFonts w:hint="eastAsia" w:ascii="仿宋" w:hAnsi="仿宋" w:eastAsia="仿宋" w:cs="仿宋"/>
      <w:color w:val="000000"/>
      <w:sz w:val="24"/>
      <w:szCs w:val="24"/>
      <w:u w:val="none"/>
    </w:rPr>
  </w:style>
  <w:style w:type="character" w:customStyle="1" w:styleId="10">
    <w:name w:val="font41"/>
    <w:basedOn w:val="6"/>
    <w:qFormat/>
    <w:uiPriority w:val="0"/>
    <w:rPr>
      <w:rFonts w:hint="eastAsia" w:ascii="宋体" w:hAnsi="宋体" w:eastAsia="宋体" w:cs="宋体"/>
      <w:b/>
      <w:bCs/>
      <w:color w:val="000000"/>
      <w:sz w:val="18"/>
      <w:szCs w:val="18"/>
      <w:u w:val="none"/>
    </w:rPr>
  </w:style>
  <w:style w:type="paragraph" w:customStyle="1" w:styleId="1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font2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2025-08-25T03:52:12Z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