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both"/>
        <w:rPr>
          <w:rFonts w:hint="eastAsia" w:ascii="黑体" w:hAnsi="黑体" w:eastAsia="黑体" w:cs="黑体"/>
          <w:i w:val="0"/>
          <w:iCs w:val="0"/>
          <w:caps w:val="0"/>
          <w:color w:val="auto"/>
          <w:spacing w:val="0"/>
          <w:sz w:val="32"/>
          <w:szCs w:val="32"/>
          <w:shd w:val="clear" w:fill="FFFFFF"/>
          <w:lang w:eastAsia="zh-CN"/>
        </w:rPr>
      </w:pPr>
      <w:bookmarkStart w:id="0" w:name="OLE_LINK1"/>
      <w:r>
        <w:rPr>
          <w:rFonts w:hint="eastAsia" w:ascii="黑体" w:hAnsi="黑体" w:eastAsia="黑体" w:cs="黑体"/>
          <w:i w:val="0"/>
          <w:iCs w:val="0"/>
          <w:caps w:val="0"/>
          <w:color w:val="auto"/>
          <w:spacing w:val="0"/>
          <w:sz w:val="32"/>
          <w:szCs w:val="32"/>
          <w:shd w:val="clear" w:fill="FFFFFF"/>
          <w:lang w:eastAsia="zh-CN"/>
        </w:rPr>
        <w:t>附件</w:t>
      </w:r>
    </w:p>
    <w:p>
      <w:pPr>
        <w:keepNext w:val="0"/>
        <w:keepLines w:val="0"/>
        <w:pageBreakBefore w:val="0"/>
        <w:wordWrap/>
        <w:overflowPunct/>
        <w:topLinePunct w:val="0"/>
        <w:bidi w:val="0"/>
        <w:spacing w:line="560" w:lineRule="exact"/>
        <w:jc w:val="both"/>
        <w:rPr>
          <w:rFonts w:hint="eastAsia" w:ascii="黑体" w:hAnsi="黑体" w:eastAsia="黑体" w:cs="黑体"/>
          <w:i w:val="0"/>
          <w:iCs w:val="0"/>
          <w:caps w:val="0"/>
          <w:color w:val="auto"/>
          <w:spacing w:val="0"/>
          <w:sz w:val="32"/>
          <w:szCs w:val="32"/>
          <w:shd w:val="clear" w:fill="FFFFFF"/>
          <w:lang w:eastAsia="zh-CN"/>
        </w:rPr>
      </w:pPr>
    </w:p>
    <w:p>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i w:val="0"/>
          <w:iCs w:val="0"/>
          <w:caps w:val="0"/>
          <w:color w:val="auto"/>
          <w:spacing w:val="0"/>
          <w:sz w:val="44"/>
          <w:szCs w:val="44"/>
          <w:shd w:val="clear" w:fill="FFFFFF"/>
        </w:rPr>
      </w:pPr>
      <w:bookmarkStart w:id="1" w:name="OLE_LINK2"/>
      <w:r>
        <w:rPr>
          <w:rFonts w:hint="eastAsia" w:ascii="方正小标宋_GBK" w:hAnsi="方正小标宋_GBK" w:eastAsia="方正小标宋_GBK" w:cs="方正小标宋_GBK"/>
          <w:i w:val="0"/>
          <w:iCs w:val="0"/>
          <w:caps w:val="0"/>
          <w:color w:val="auto"/>
          <w:spacing w:val="0"/>
          <w:sz w:val="44"/>
          <w:szCs w:val="44"/>
          <w:shd w:val="clear" w:fill="FFFFFF"/>
        </w:rPr>
        <w:t>2026年衰老与肿瘤国际研究中心</w:t>
      </w:r>
    </w:p>
    <w:p>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定向支持项目申报指南</w:t>
      </w:r>
      <w:bookmarkEnd w:id="0"/>
      <w:bookmarkEnd w:id="1"/>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衰老与肿瘤国际研究中心定向支持项目，是落实省委省政府推进健康海南建设和加快生物医药产业高质量发展的战略部署，围绕《衰老与肿瘤国际研究中心（ICAC）建设运行方案》提出的ICAC建设的目标及重点任务，开展衰老与肿瘤防治关键技术攻关，提升我省老龄化应对科技水平。该项目属于省重点研发专项项目。</w:t>
      </w:r>
    </w:p>
    <w:p>
      <w:pPr>
        <w:keepNext w:val="0"/>
        <w:keepLines w:val="0"/>
        <w:pageBreakBefore w:val="0"/>
        <w:numPr>
          <w:ilvl w:val="0"/>
          <w:numId w:val="1"/>
        </w:numPr>
        <w:wordWrap/>
        <w:overflowPunct/>
        <w:topLinePunct w:val="0"/>
        <w:bidi w:val="0"/>
        <w:spacing w:line="56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项目支持方向</w:t>
      </w:r>
    </w:p>
    <w:p>
      <w:pPr>
        <w:keepNext w:val="0"/>
        <w:keepLines w:val="0"/>
        <w:pageBreakBefore w:val="0"/>
        <w:numPr>
          <w:ilvl w:val="0"/>
          <w:numId w:val="0"/>
        </w:numPr>
        <w:wordWrap/>
        <w:overflowPunct/>
        <w:topLinePunct w:val="0"/>
        <w:bidi w:val="0"/>
        <w:spacing w:line="560" w:lineRule="exact"/>
        <w:ind w:firstLine="642" w:firstLineChars="200"/>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1.广谱克隆造血干预</w:t>
      </w:r>
    </w:p>
    <w:p>
      <w:pPr>
        <w:keepNext w:val="0"/>
        <w:keepLines w:val="0"/>
        <w:pageBreakBefore w:val="0"/>
        <w:wordWrap/>
        <w:overflowPunct/>
        <w:topLinePunct w:val="0"/>
        <w:bidi w:val="0"/>
        <w:spacing w:line="560" w:lineRule="exact"/>
        <w:ind w:firstLine="642"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开发一种安全、有效、广谱的克隆造血抑制药物，开展临床试验验证其疗效，阐明其通过调控衰老微环境抑制克隆增生的机制。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临床试验：</w:t>
      </w:r>
      <w:r>
        <w:rPr>
          <w:rFonts w:hint="eastAsia" w:ascii="仿宋_GB2312" w:hAnsi="仿宋_GB2312" w:eastAsia="仿宋_GB2312" w:cs="仿宋_GB2312"/>
          <w:snapToGrid w:val="0"/>
          <w:color w:val="auto"/>
          <w:sz w:val="32"/>
          <w:szCs w:val="32"/>
        </w:rPr>
        <w:t>纳入</w:t>
      </w:r>
      <w:r>
        <w:rPr>
          <w:rFonts w:hint="eastAsia" w:ascii="仿宋_GB2312" w:hAnsi="仿宋_GB2312" w:eastAsia="仿宋_GB2312" w:cs="仿宋_GB2312"/>
          <w:color w:val="auto"/>
          <w:sz w:val="32"/>
          <w:szCs w:val="32"/>
        </w:rPr>
        <w:t>≥200例（干预组与安慰剂组各一半）（VAF≥1%），开展双盲对照药物干预临床研究，评估克隆造血抑制药物对克隆大小（VAF改变）、表型年龄及炎症因子的影响，验证药物抑制克隆造血的安全性及有效性，明确其对多基因突变类型克隆造血的广谱抑制效应。</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伴随机制研究：结合临床样本与动物模型，解析药物通过改善衰老微环境（如抑制慢性炎症）广谱抑制克隆造血的机制。</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default" w:ascii="FZFangSong-Z02S" w:hAnsi="FZFangSong-Z02S" w:eastAsia="FZFangSong-Z02S" w:cs="FZFangSong-Z02S"/>
          <w:color w:val="000000"/>
          <w:sz w:val="31"/>
          <w:szCs w:val="31"/>
        </w:rPr>
      </w:pPr>
      <w:r>
        <w:rPr>
          <w:rFonts w:hint="eastAsia" w:ascii="仿宋_GB2312" w:hAnsi="仿宋_GB2312" w:eastAsia="仿宋_GB2312" w:cs="仿宋_GB2312"/>
          <w:b/>
          <w:bCs/>
          <w:color w:val="auto"/>
          <w:kern w:val="2"/>
          <w:sz w:val="32"/>
          <w:szCs w:val="32"/>
          <w:lang w:val="en-US" w:eastAsia="zh-CN" w:bidi="ar-SA"/>
        </w:rPr>
        <w:t>考核指标：</w:t>
      </w:r>
      <w:r>
        <w:rPr>
          <w:rFonts w:ascii="FZFangSong-Z02S" w:hAnsi="FZFangSong-Z02S" w:eastAsia="FZFangSong-Z02S" w:cs="FZFangSong-Z02S"/>
          <w:color w:val="000000"/>
          <w:sz w:val="31"/>
          <w:szCs w:val="31"/>
        </w:rPr>
        <w:t>通过临床试验及伴随临床试验研究获得</w:t>
      </w:r>
      <w:r>
        <w:rPr>
          <w:rFonts w:hint="default" w:ascii="FZFangSong-Z02S" w:hAnsi="FZFangSong-Z02S" w:eastAsia="FZFangSong-Z02S" w:cs="FZFangSong-Z02S"/>
          <w:color w:val="000000"/>
          <w:sz w:val="31"/>
          <w:szCs w:val="31"/>
        </w:rPr>
        <w:t>一种安全、有效、广谱的克隆造血抑制药物，招募经靶向测序检测为</w:t>
      </w:r>
      <w:r>
        <w:rPr>
          <w:rFonts w:ascii="FZFangSong-Z02S" w:hAnsi="FZFangSong-Z02S" w:eastAsia="FZFangSong-Z02S" w:cs="FZFangSong-Z02S"/>
          <w:color w:val="000000"/>
          <w:sz w:val="31"/>
          <w:szCs w:val="31"/>
        </w:rPr>
        <w:t>克隆造</w:t>
      </w:r>
      <w:r>
        <w:rPr>
          <w:rFonts w:hint="default" w:ascii="FZFangSong-Z02S" w:hAnsi="FZFangSong-Z02S" w:eastAsia="FZFangSong-Z02S" w:cs="FZFangSong-Z02S"/>
          <w:color w:val="000000"/>
          <w:sz w:val="31"/>
          <w:szCs w:val="31"/>
        </w:rPr>
        <w:t>血突变携带受试者≥200例；针对突变克隆大小降低的干预有效率&gt;50%；严重不良反应率&lt;1%；建立克隆造血动物模型，通过动物模型及临床样本组学研究，揭示该药物调控衰老微环境及免疫的机制；发表高水平论文不少于3篇；申请专利不少于2项；培养青年PI</w:t>
      </w:r>
      <w:r>
        <w:rPr>
          <w:rFonts w:hint="eastAsia" w:ascii="FZFangSong-Z02S" w:hAnsi="FZFangSong-Z02S" w:eastAsia="FZFangSong-Z02S" w:cs="FZFangSong-Z02S"/>
          <w:color w:val="000000"/>
          <w:sz w:val="31"/>
          <w:szCs w:val="31"/>
          <w:lang w:val="en-US" w:eastAsia="zh-CN"/>
        </w:rPr>
        <w:t xml:space="preserve"> </w:t>
      </w:r>
      <w:r>
        <w:rPr>
          <w:rFonts w:hint="default" w:ascii="FZFangSong-Z02S" w:hAnsi="FZFangSong-Z02S" w:eastAsia="FZFangSong-Z02S" w:cs="FZFangSong-Z02S"/>
          <w:color w:val="000000"/>
          <w:sz w:val="31"/>
          <w:szCs w:val="31"/>
        </w:rPr>
        <w:t>2-3名、研究生7-9</w:t>
      </w:r>
      <w:r>
        <w:rPr>
          <w:rFonts w:hint="eastAsia" w:ascii="FZFangSong-Z02S" w:hAnsi="FZFangSong-Z02S" w:eastAsia="FZFangSong-Z02S" w:cs="FZFangSong-Z02S"/>
          <w:color w:val="000000"/>
          <w:sz w:val="31"/>
          <w:szCs w:val="31"/>
          <w:lang w:eastAsia="zh-CN"/>
        </w:rPr>
        <w:t>名</w:t>
      </w:r>
      <w:r>
        <w:rPr>
          <w:rFonts w:hint="default" w:ascii="FZFangSong-Z02S" w:hAnsi="FZFangSong-Z02S" w:eastAsia="FZFangSong-Z02S" w:cs="FZFangSong-Z02S"/>
          <w:color w:val="000000"/>
          <w:sz w:val="31"/>
          <w:szCs w:val="31"/>
        </w:rPr>
        <w:t>，形成跨学科研究团队。</w:t>
      </w:r>
    </w:p>
    <w:p>
      <w:pPr>
        <w:keepNext w:val="0"/>
        <w:keepLines w:val="0"/>
        <w:pageBreakBefore w:val="0"/>
        <w:numPr>
          <w:ilvl w:val="0"/>
          <w:numId w:val="1"/>
        </w:numPr>
        <w:wordWrap/>
        <w:overflowPunct/>
        <w:topLinePunct w:val="0"/>
        <w:bidi w:val="0"/>
        <w:spacing w:line="560" w:lineRule="exact"/>
        <w:ind w:left="0"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申报要求</w:t>
      </w:r>
    </w:p>
    <w:p>
      <w:pPr>
        <w:pStyle w:val="5"/>
        <w:keepNext w:val="0"/>
        <w:keepLines w:val="0"/>
        <w:pageBreakBefore w:val="0"/>
        <w:widowControl/>
        <w:suppressLineNumbers w:val="0"/>
        <w:wordWrap/>
        <w:overflowPunct/>
        <w:topLinePunct w:val="0"/>
        <w:bidi w:val="0"/>
        <w:spacing w:line="560" w:lineRule="exact"/>
        <w:ind w:firstLine="620" w:firstLineChars="200"/>
      </w:pPr>
      <w:r>
        <w:rPr>
          <w:rFonts w:ascii="仿宋_GB2312" w:eastAsia="仿宋_GB2312" w:cs="仿宋_GB2312"/>
          <w:color w:val="000000"/>
          <w:sz w:val="31"/>
          <w:szCs w:val="31"/>
        </w:rPr>
        <w:t>（一）申报单位：海南医科大学</w:t>
      </w:r>
    </w:p>
    <w:p>
      <w:pPr>
        <w:pStyle w:val="5"/>
        <w:keepNext w:val="0"/>
        <w:keepLines w:val="0"/>
        <w:pageBreakBefore w:val="0"/>
        <w:widowControl/>
        <w:suppressLineNumbers w:val="0"/>
        <w:wordWrap/>
        <w:overflowPunct/>
        <w:topLinePunct w:val="0"/>
        <w:bidi w:val="0"/>
        <w:spacing w:line="560" w:lineRule="exact"/>
        <w:ind w:firstLine="620" w:firstLineChars="200"/>
      </w:pPr>
      <w:r>
        <w:rPr>
          <w:rFonts w:ascii="仿宋_GB2312" w:eastAsia="仿宋_GB2312" w:cs="仿宋_GB2312"/>
          <w:color w:val="000000"/>
          <w:sz w:val="31"/>
          <w:szCs w:val="31"/>
        </w:rPr>
        <w:t>（二）</w:t>
      </w:r>
      <w:r>
        <w:rPr>
          <w:rFonts w:hint="eastAsia" w:ascii="仿宋_GB2312" w:eastAsia="仿宋_GB2312" w:cs="仿宋_GB2312"/>
          <w:color w:val="000000"/>
          <w:sz w:val="31"/>
          <w:szCs w:val="31"/>
        </w:rPr>
        <w:t>限报要求：</w:t>
      </w:r>
    </w:p>
    <w:p>
      <w:pPr>
        <w:pStyle w:val="5"/>
        <w:keepNext w:val="0"/>
        <w:keepLines w:val="0"/>
        <w:pageBreakBefore w:val="0"/>
        <w:widowControl/>
        <w:suppressLineNumbers w:val="0"/>
        <w:wordWrap/>
        <w:overflowPunct/>
        <w:topLinePunct w:val="0"/>
        <w:bidi w:val="0"/>
        <w:spacing w:line="560" w:lineRule="exact"/>
        <w:ind w:firstLine="620" w:firstLineChars="200"/>
      </w:pPr>
      <w:r>
        <w:rPr>
          <w:rFonts w:hint="eastAsia" w:ascii="仿宋_GB2312" w:eastAsia="仿宋_GB2312" w:cs="仿宋_GB2312"/>
          <w:color w:val="000000"/>
          <w:sz w:val="31"/>
          <w:szCs w:val="31"/>
        </w:rPr>
        <w:t>1.作为项目负责人，同一年度可申报省级科技专项研发类项目数量与在研省级科技专项研发类项目数量之和不得超过2项；同一年度申报某类别省级科技专项研发类项目不得超过1项；项目负责人同一年度立项不超过2项。</w:t>
      </w:r>
    </w:p>
    <w:p>
      <w:pPr>
        <w:pStyle w:val="5"/>
        <w:keepNext w:val="0"/>
        <w:keepLines w:val="0"/>
        <w:pageBreakBefore w:val="0"/>
        <w:widowControl/>
        <w:suppressLineNumbers w:val="0"/>
        <w:wordWrap/>
        <w:overflowPunct/>
        <w:topLinePunct w:val="0"/>
        <w:bidi w:val="0"/>
        <w:spacing w:line="560" w:lineRule="exact"/>
        <w:ind w:firstLine="620" w:firstLineChars="200"/>
        <w:rPr>
          <w:rFonts w:hint="eastAsia" w:ascii="仿宋_GB2312" w:eastAsia="仿宋_GB2312" w:cs="仿宋_GB2312"/>
          <w:color w:val="000000"/>
          <w:sz w:val="31"/>
          <w:szCs w:val="31"/>
        </w:rPr>
      </w:pPr>
      <w:r>
        <w:rPr>
          <w:rFonts w:hint="eastAsia" w:ascii="仿宋_GB2312" w:eastAsia="仿宋_GB2312" w:cs="仿宋_GB2312"/>
          <w:color w:val="000000"/>
          <w:sz w:val="31"/>
          <w:szCs w:val="31"/>
        </w:rPr>
        <w:t>2.项目执行期（包括延期后执行期）结束的项目，项目负责人在海南省科技业务综合管理信息系统已成功提交绩效验收评价申请材料，且通过单位审核，在当期申报阶段，可视为非在研项目；在后续立项评审过程中，该项目绩效评价验收结果为“不通过”的，停止项目立项流程。</w:t>
      </w:r>
      <w:r>
        <w:br w:type="textWrapping"/>
      </w:r>
      <w:r>
        <w:t>  </w:t>
      </w:r>
      <w:r>
        <w:rPr>
          <w:rFonts w:hint="eastAsia" w:ascii="仿宋_GB2312" w:eastAsia="仿宋_GB2312" w:cs="仿宋_GB2312"/>
          <w:color w:val="000000"/>
          <w:sz w:val="31"/>
          <w:szCs w:val="31"/>
        </w:rPr>
        <w:t>3.绩效评价验收结果为“不通过”的项目，取消项目承担单位（专指企业承担单位）或负责人申报资格时间从发文之日起算。</w:t>
      </w:r>
    </w:p>
    <w:p>
      <w:pPr>
        <w:pStyle w:val="5"/>
        <w:keepNext w:val="0"/>
        <w:keepLines w:val="0"/>
        <w:pageBreakBefore w:val="0"/>
        <w:widowControl/>
        <w:suppressLineNumbers w:val="0"/>
        <w:wordWrap/>
        <w:overflowPunct/>
        <w:topLinePunct w:val="0"/>
        <w:bidi w:val="0"/>
        <w:spacing w:line="560" w:lineRule="exact"/>
        <w:ind w:firstLine="620" w:firstLineChars="200"/>
      </w:pPr>
      <w:r>
        <w:rPr>
          <w:rFonts w:hint="eastAsia" w:ascii="仿宋_GB2312" w:eastAsia="仿宋_GB2312" w:cs="仿宋_GB2312"/>
          <w:color w:val="000000"/>
          <w:sz w:val="31"/>
          <w:szCs w:val="31"/>
        </w:rPr>
        <w:t>4.项目研究内容重复率20%以上视为雷同项目，不予立项。</w:t>
      </w:r>
    </w:p>
    <w:p>
      <w:pPr>
        <w:pStyle w:val="5"/>
        <w:keepNext w:val="0"/>
        <w:keepLines w:val="0"/>
        <w:pageBreakBefore w:val="0"/>
        <w:widowControl/>
        <w:suppressLineNumbers w:val="0"/>
        <w:wordWrap/>
        <w:overflowPunct/>
        <w:topLinePunct w:val="0"/>
        <w:bidi w:val="0"/>
        <w:spacing w:line="560" w:lineRule="exact"/>
        <w:ind w:firstLine="310" w:firstLineChars="100"/>
      </w:pPr>
      <w:r>
        <w:rPr>
          <w:rFonts w:hint="eastAsia" w:ascii="仿宋_GB2312" w:eastAsia="仿宋_GB2312" w:cs="仿宋_GB2312"/>
          <w:color w:val="000000"/>
          <w:sz w:val="31"/>
          <w:szCs w:val="31"/>
        </w:rPr>
        <w:t>项目查重范围：</w:t>
      </w:r>
    </w:p>
    <w:p>
      <w:pPr>
        <w:pStyle w:val="5"/>
        <w:keepNext w:val="0"/>
        <w:keepLines w:val="0"/>
        <w:pageBreakBefore w:val="0"/>
        <w:widowControl/>
        <w:numPr>
          <w:ilvl w:val="0"/>
          <w:numId w:val="0"/>
        </w:numPr>
        <w:suppressLineNumbers w:val="0"/>
        <w:wordWrap/>
        <w:overflowPunct/>
        <w:topLinePunct w:val="0"/>
        <w:bidi w:val="0"/>
        <w:spacing w:line="560" w:lineRule="exact"/>
        <w:ind w:firstLine="620" w:firstLineChars="200"/>
        <w:rPr>
          <w:rFonts w:hint="eastAsia" w:ascii="仿宋_GB2312" w:eastAsia="仿宋_GB2312" w:cs="仿宋_GB2312"/>
          <w:color w:val="000000"/>
          <w:sz w:val="31"/>
          <w:szCs w:val="31"/>
        </w:rPr>
      </w:pPr>
      <w:r>
        <w:rPr>
          <w:rFonts w:hint="eastAsia" w:ascii="仿宋_GB2312" w:eastAsia="仿宋_GB2312" w:cs="仿宋_GB2312"/>
          <w:color w:val="000000"/>
          <w:sz w:val="31"/>
          <w:szCs w:val="31"/>
          <w:lang w:val="en-US" w:eastAsia="zh-CN"/>
        </w:rPr>
        <w:t>1.</w:t>
      </w:r>
      <w:r>
        <w:rPr>
          <w:rFonts w:hint="eastAsia" w:ascii="仿宋_GB2312" w:eastAsia="仿宋_GB2312" w:cs="仿宋_GB2312"/>
          <w:color w:val="000000"/>
          <w:sz w:val="31"/>
          <w:szCs w:val="31"/>
        </w:rPr>
        <w:t>省级科技专项研发类项目。包括：省重点研发项目 （包括公开征集、定向征集、联合征集、揭榜挂帅、应急攻关等项目）、院士创新平台科研项目、自然科学基金项目、软科学项目、省临床医学研究中心项目、国际科技合作研发项目、省科技人才创新项目BCD档及留学生项目、“南海新星”科技创新人才平台项目、省卫生健康科技创新联合项目等省科技厅立项的项目。</w:t>
      </w:r>
    </w:p>
    <w:p>
      <w:pPr>
        <w:pStyle w:val="5"/>
        <w:keepNext w:val="0"/>
        <w:keepLines w:val="0"/>
        <w:pageBreakBefore w:val="0"/>
        <w:widowControl/>
        <w:numPr>
          <w:ilvl w:val="0"/>
          <w:numId w:val="0"/>
        </w:numPr>
        <w:suppressLineNumbers w:val="0"/>
        <w:wordWrap/>
        <w:overflowPunct/>
        <w:topLinePunct w:val="0"/>
        <w:bidi w:val="0"/>
        <w:spacing w:line="560" w:lineRule="exact"/>
        <w:ind w:firstLine="620" w:firstLineChars="200"/>
      </w:pPr>
      <w:r>
        <w:rPr>
          <w:rFonts w:hint="eastAsia" w:ascii="仿宋_GB2312" w:eastAsia="仿宋_GB2312" w:cs="仿宋_GB2312"/>
          <w:color w:val="000000"/>
          <w:sz w:val="31"/>
          <w:szCs w:val="31"/>
        </w:rPr>
        <w:t>2.省财政经费支持的需省科技厅备案查重的科研项目。</w:t>
      </w:r>
    </w:p>
    <w:p>
      <w:pPr>
        <w:pStyle w:val="5"/>
        <w:keepNext w:val="0"/>
        <w:keepLines w:val="0"/>
        <w:pageBreakBefore w:val="0"/>
        <w:widowControl/>
        <w:suppressLineNumbers w:val="0"/>
        <w:wordWrap/>
        <w:overflowPunct/>
        <w:topLinePunct w:val="0"/>
        <w:bidi w:val="0"/>
        <w:spacing w:line="560" w:lineRule="exact"/>
        <w:ind w:firstLine="620" w:firstLineChars="200"/>
        <w:rPr>
          <w:rFonts w:hint="eastAsia" w:ascii="仿宋_GB2312" w:eastAsia="仿宋_GB2312" w:cs="仿宋_GB2312"/>
          <w:color w:val="000000"/>
          <w:sz w:val="31"/>
          <w:szCs w:val="31"/>
          <w:lang w:eastAsia="zh-CN"/>
        </w:rPr>
      </w:pPr>
      <w:r>
        <w:rPr>
          <w:rFonts w:hint="eastAsia" w:ascii="仿宋_GB2312" w:eastAsia="仿宋_GB2312" w:cs="仿宋_GB2312"/>
          <w:color w:val="000000"/>
          <w:sz w:val="31"/>
          <w:szCs w:val="31"/>
        </w:rPr>
        <w:t>（三）项目须遵循生物安全、科研伦理及人类遗传资源管理等相关法规。涉及人的生命医学研究应执行《涉及人的生命科学和医学研究伦理审查办法》等规定,获得伦理审查批件，并于立项后完成医学研究登记备案信息系统登记备案方可启动。涉及人类遗传资源的研究应执行《中华人民共和国人类遗传资源管理条例》等法规。涉及生物技术的研究应遵守《生物技术研究开发安全管理办法》等规章。涉及病原微生物的研究须遵守《病原微生物实验室安全管理条例》等法规,提供相应生物安全实验室备案证明。涉及实验动物和动物实验的，应遵守国家实验动物管理的法律、法规、技术标准及有关规定，使用合格实验动物，在合格设施内进行动物实验，保证实验过程合法，实验结果真实、有效，并通过实验动物福利和伦理审查,提供动物伦理审查同意申报证明材料</w:t>
      </w:r>
      <w:r>
        <w:rPr>
          <w:rFonts w:hint="eastAsia" w:ascii="仿宋_GB2312" w:eastAsia="仿宋_GB2312" w:cs="仿宋_GB2312"/>
          <w:color w:val="000000"/>
          <w:sz w:val="31"/>
          <w:szCs w:val="31"/>
          <w:lang w:eastAsia="zh-CN"/>
        </w:rPr>
        <w:t>。</w:t>
      </w:r>
    </w:p>
    <w:p>
      <w:pPr>
        <w:keepNext w:val="0"/>
        <w:keepLines w:val="0"/>
        <w:pageBreakBefore w:val="0"/>
        <w:numPr>
          <w:ilvl w:val="0"/>
          <w:numId w:val="0"/>
        </w:numPr>
        <w:wordWrap/>
        <w:overflowPunct/>
        <w:topLinePunct w:val="0"/>
        <w:bidi w:val="0"/>
        <w:spacing w:line="560" w:lineRule="exact"/>
        <w:ind w:left="420" w:leftChars="200" w:firstLine="217" w:firstLineChars="68"/>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三、征集方式及实施年限</w:t>
      </w:r>
    </w:p>
    <w:p>
      <w:pPr>
        <w:pStyle w:val="5"/>
        <w:keepNext w:val="0"/>
        <w:keepLines w:val="0"/>
        <w:pageBreakBefore w:val="0"/>
        <w:widowControl/>
        <w:suppressLineNumbers w:val="0"/>
        <w:wordWrap/>
        <w:overflowPunct/>
        <w:topLinePunct w:val="0"/>
        <w:bidi w:val="0"/>
        <w:spacing w:line="560" w:lineRule="exact"/>
        <w:ind w:firstLine="620" w:firstLineChars="200"/>
      </w:pPr>
      <w:r>
        <w:rPr>
          <w:rFonts w:hint="eastAsia" w:ascii="仿宋_GB2312" w:eastAsia="仿宋_GB2312" w:cs="仿宋_GB2312"/>
          <w:color w:val="000000"/>
          <w:sz w:val="31"/>
          <w:szCs w:val="31"/>
        </w:rPr>
        <w:t>定向征集。实施年限为2年或3年，从立项之日起算。</w:t>
      </w:r>
    </w:p>
    <w:p>
      <w:pPr>
        <w:pStyle w:val="5"/>
        <w:keepNext w:val="0"/>
        <w:keepLines w:val="0"/>
        <w:pageBreakBefore w:val="0"/>
        <w:widowControl/>
        <w:suppressLineNumbers w:val="0"/>
        <w:wordWrap/>
        <w:overflowPunct/>
        <w:topLinePunct w:val="0"/>
        <w:bidi w:val="0"/>
        <w:spacing w:line="560" w:lineRule="exact"/>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kern w:val="2"/>
          <w:sz w:val="32"/>
          <w:szCs w:val="32"/>
          <w:lang w:val="en-US" w:eastAsia="zh-CN" w:bidi="ar-SA"/>
        </w:rPr>
        <w:t xml:space="preserve"> 四、资助额度及方式</w:t>
      </w:r>
    </w:p>
    <w:p>
      <w:pPr>
        <w:pStyle w:val="5"/>
        <w:keepNext w:val="0"/>
        <w:keepLines w:val="0"/>
        <w:pageBreakBefore w:val="0"/>
        <w:widowControl/>
        <w:suppressLineNumbers w:val="0"/>
        <w:wordWrap/>
        <w:overflowPunct/>
        <w:topLinePunct w:val="0"/>
        <w:bidi w:val="0"/>
        <w:spacing w:line="560" w:lineRule="exact"/>
        <w:ind w:firstLine="620" w:firstLineChars="200"/>
        <w:rPr>
          <w:rFonts w:hint="eastAsia" w:ascii="仿宋_GB2312" w:eastAsia="仿宋_GB2312" w:cs="仿宋_GB2312"/>
          <w:color w:val="000000"/>
          <w:sz w:val="31"/>
          <w:szCs w:val="31"/>
        </w:rPr>
      </w:pPr>
      <w:r>
        <w:rPr>
          <w:rFonts w:hint="eastAsia" w:ascii="仿宋_GB2312" w:eastAsia="仿宋_GB2312" w:cs="仿宋_GB2312"/>
          <w:color w:val="000000"/>
          <w:sz w:val="31"/>
          <w:szCs w:val="31"/>
        </w:rPr>
        <w:t>项目支持</w:t>
      </w:r>
      <w:r>
        <w:rPr>
          <w:rFonts w:hint="eastAsia" w:ascii="仿宋_GB2312" w:eastAsia="仿宋_GB2312" w:cs="仿宋_GB2312"/>
          <w:color w:val="000000"/>
          <w:sz w:val="31"/>
          <w:szCs w:val="31"/>
          <w:lang w:eastAsia="zh-CN"/>
        </w:rPr>
        <w:t>省</w:t>
      </w:r>
      <w:r>
        <w:rPr>
          <w:rFonts w:hint="eastAsia" w:ascii="仿宋_GB2312" w:eastAsia="仿宋_GB2312" w:cs="仿宋_GB2312"/>
          <w:color w:val="000000"/>
          <w:sz w:val="31"/>
          <w:szCs w:val="31"/>
        </w:rPr>
        <w:t>财政经费</w:t>
      </w:r>
      <w:r>
        <w:rPr>
          <w:rFonts w:hint="eastAsia" w:ascii="仿宋_GB2312" w:eastAsia="仿宋_GB2312" w:cs="仿宋_GB2312"/>
          <w:color w:val="000000"/>
          <w:sz w:val="31"/>
          <w:szCs w:val="31"/>
          <w:lang w:eastAsia="zh-CN"/>
        </w:rPr>
        <w:t>不超过</w:t>
      </w:r>
      <w:r>
        <w:rPr>
          <w:rFonts w:hint="eastAsia" w:ascii="仿宋_GB2312" w:eastAsia="仿宋_GB2312" w:cs="仿宋_GB2312"/>
          <w:color w:val="000000"/>
          <w:sz w:val="31"/>
          <w:szCs w:val="31"/>
        </w:rPr>
        <w:t>500万元</w:t>
      </w:r>
      <w:r>
        <w:rPr>
          <w:rFonts w:hint="eastAsia" w:ascii="仿宋_GB2312" w:eastAsia="仿宋_GB2312" w:cs="仿宋_GB2312"/>
          <w:color w:val="000000"/>
          <w:sz w:val="31"/>
          <w:szCs w:val="31"/>
          <w:lang w:eastAsia="zh-CN"/>
        </w:rPr>
        <w:t>人民币</w:t>
      </w:r>
      <w:r>
        <w:rPr>
          <w:rFonts w:hint="eastAsia" w:ascii="仿宋_GB2312" w:eastAsia="仿宋_GB2312" w:cs="仿宋_GB2312"/>
          <w:color w:val="000000"/>
          <w:sz w:val="31"/>
          <w:szCs w:val="31"/>
        </w:rPr>
        <w:t>。</w:t>
      </w:r>
    </w:p>
    <w:p>
      <w:pPr>
        <w:pStyle w:val="5"/>
        <w:keepNext w:val="0"/>
        <w:keepLines w:val="0"/>
        <w:pageBreakBefore w:val="0"/>
        <w:widowControl/>
        <w:suppressLineNumbers w:val="0"/>
        <w:wordWrap/>
        <w:overflowPunct/>
        <w:topLinePunct w:val="0"/>
        <w:bidi w:val="0"/>
        <w:spacing w:line="560" w:lineRule="exact"/>
        <w:ind w:firstLine="620" w:firstLineChars="200"/>
        <w:rPr>
          <w:rFonts w:hint="eastAsia" w:ascii="仿宋_GB2312" w:eastAsia="仿宋_GB2312" w:cs="仿宋_GB2312"/>
          <w:color w:val="000000"/>
          <w:sz w:val="31"/>
          <w:szCs w:val="31"/>
        </w:rPr>
      </w:pPr>
      <w:r>
        <w:rPr>
          <w:rFonts w:hint="eastAsia" w:ascii="仿宋_GB2312" w:eastAsia="仿宋_GB2312" w:cs="仿宋_GB2312"/>
          <w:color w:val="000000"/>
          <w:sz w:val="31"/>
          <w:szCs w:val="31"/>
        </w:rPr>
        <w:t>采取前补助方式，经费</w:t>
      </w:r>
      <w:r>
        <w:rPr>
          <w:rFonts w:hint="eastAsia" w:ascii="仿宋_GB2312" w:eastAsia="仿宋_GB2312" w:cs="仿宋_GB2312"/>
          <w:color w:val="000000"/>
          <w:sz w:val="31"/>
          <w:szCs w:val="31"/>
          <w:lang w:eastAsia="zh-CN"/>
        </w:rPr>
        <w:t>根据项目申报的年度资金支出计划，分年度</w:t>
      </w:r>
      <w:bookmarkStart w:id="2" w:name="_GoBack"/>
      <w:bookmarkEnd w:id="2"/>
      <w:r>
        <w:rPr>
          <w:rFonts w:hint="eastAsia" w:ascii="仿宋_GB2312" w:eastAsia="仿宋_GB2312" w:cs="仿宋_GB2312"/>
          <w:color w:val="000000"/>
          <w:sz w:val="31"/>
          <w:szCs w:val="31"/>
          <w:lang w:eastAsia="zh-CN"/>
        </w:rPr>
        <w:t>拨</w:t>
      </w:r>
      <w:r>
        <w:rPr>
          <w:rFonts w:hint="eastAsia" w:ascii="仿宋_GB2312" w:eastAsia="仿宋_GB2312" w:cs="仿宋_GB2312"/>
          <w:color w:val="000000"/>
          <w:sz w:val="31"/>
          <w:szCs w:val="31"/>
        </w:rPr>
        <w:t>付项目承担单位。</w:t>
      </w:r>
      <w:r>
        <w:rPr>
          <w:rFonts w:hint="eastAsia" w:ascii="仿宋_GB2312" w:eastAsia="仿宋_GB2312" w:cs="仿宋_GB2312"/>
          <w:color w:val="000000"/>
          <w:sz w:val="31"/>
          <w:szCs w:val="31"/>
          <w:lang w:eastAsia="zh-CN"/>
        </w:rPr>
        <w:t>承担</w:t>
      </w:r>
      <w:r>
        <w:rPr>
          <w:rFonts w:hint="eastAsia" w:ascii="仿宋_GB2312" w:eastAsia="仿宋_GB2312" w:cs="仿宋_GB2312"/>
          <w:color w:val="000000"/>
          <w:sz w:val="31"/>
          <w:szCs w:val="31"/>
        </w:rPr>
        <w:t>单位按不低于省财政资助金额的</w:t>
      </w:r>
      <w:r>
        <w:rPr>
          <w:rFonts w:hint="eastAsia" w:ascii="仿宋_GB2312" w:eastAsia="仿宋_GB2312" w:cs="仿宋_GB2312"/>
          <w:color w:val="000000"/>
          <w:sz w:val="31"/>
          <w:szCs w:val="31"/>
          <w:lang w:val="en-US" w:eastAsia="zh-CN"/>
        </w:rPr>
        <w:t>1:1配套。</w:t>
      </w:r>
      <w:r>
        <w:rPr>
          <w:rFonts w:hint="eastAsia" w:ascii="仿宋_GB2312" w:eastAsia="仿宋_GB2312" w:cs="仿宋_GB2312"/>
          <w:color w:val="000000"/>
          <w:sz w:val="31"/>
          <w:szCs w:val="31"/>
        </w:rPr>
        <w:t>(如项目有企业参加，配套资金可由合作企业出资)。对于项目承担单位的配套资金，不得使用货币</w:t>
      </w:r>
      <w:r>
        <w:rPr>
          <w:rFonts w:hint="eastAsia" w:ascii="仿宋_GB2312" w:eastAsia="仿宋_GB2312" w:cs="仿宋_GB2312"/>
          <w:color w:val="000000"/>
          <w:sz w:val="31"/>
          <w:szCs w:val="31"/>
          <w:lang w:eastAsia="zh-CN"/>
        </w:rPr>
        <w:t>资金之外的</w:t>
      </w:r>
      <w:r>
        <w:rPr>
          <w:rFonts w:hint="eastAsia" w:ascii="仿宋_GB2312" w:eastAsia="仿宋_GB2312" w:cs="仿宋_GB2312"/>
          <w:color w:val="000000"/>
          <w:sz w:val="31"/>
          <w:szCs w:val="31"/>
        </w:rPr>
        <w:t>资产作为配套资金来源。非公益一类事业单位(如企业单业单位等)用于项目组成员的人力成本可计为配套资</w:t>
      </w:r>
      <w:r>
        <w:rPr>
          <w:rFonts w:hint="eastAsia" w:ascii="仿宋_GB2312" w:eastAsia="仿宋_GB2312" w:cs="仿宋_GB2312"/>
          <w:color w:val="000000"/>
          <w:sz w:val="31"/>
          <w:szCs w:val="31"/>
          <w:lang w:eastAsia="zh-CN"/>
        </w:rPr>
        <w:t>金。项目执行</w:t>
      </w:r>
      <w:r>
        <w:rPr>
          <w:rFonts w:hint="eastAsia" w:ascii="仿宋_GB2312" w:eastAsia="仿宋_GB2312" w:cs="仿宋_GB2312"/>
          <w:color w:val="000000"/>
          <w:sz w:val="31"/>
          <w:szCs w:val="31"/>
        </w:rPr>
        <w:t>期内(含追溯期)项目承担单位横向科研项目经费，可</w:t>
      </w:r>
      <w:r>
        <w:rPr>
          <w:rFonts w:hint="eastAsia" w:ascii="仿宋_GB2312" w:eastAsia="仿宋_GB2312" w:cs="仿宋_GB2312"/>
          <w:color w:val="000000"/>
          <w:sz w:val="31"/>
          <w:szCs w:val="31"/>
          <w:lang w:eastAsia="zh-CN"/>
        </w:rPr>
        <w:t>作为</w:t>
      </w:r>
      <w:r>
        <w:rPr>
          <w:rFonts w:hint="eastAsia" w:ascii="仿宋_GB2312" w:eastAsia="仿宋_GB2312" w:cs="仿宋_GB2312"/>
          <w:color w:val="000000"/>
          <w:sz w:val="31"/>
          <w:szCs w:val="31"/>
        </w:rPr>
        <w:t>配套资金。鼓励项目承担单位先行投入项目研发</w:t>
      </w:r>
      <w:r>
        <w:rPr>
          <w:rFonts w:hint="eastAsia" w:ascii="仿宋_GB2312" w:eastAsia="仿宋_GB2312" w:cs="仿宋_GB2312"/>
          <w:color w:val="000000"/>
          <w:sz w:val="31"/>
          <w:szCs w:val="31"/>
          <w:lang w:eastAsia="zh-CN"/>
        </w:rPr>
        <w:t>，从立项之</w:t>
      </w:r>
      <w:r>
        <w:rPr>
          <w:rFonts w:hint="eastAsia" w:ascii="仿宋_GB2312" w:eastAsia="仿宋_GB2312" w:cs="仿宋_GB2312"/>
          <w:color w:val="000000"/>
          <w:sz w:val="31"/>
          <w:szCs w:val="31"/>
        </w:rPr>
        <w:t>日起追溯期最长不超过6个月。</w:t>
      </w:r>
    </w:p>
    <w:p>
      <w:pPr>
        <w:pStyle w:val="5"/>
        <w:keepNext w:val="0"/>
        <w:keepLines w:val="0"/>
        <w:pageBreakBefore w:val="0"/>
        <w:widowControl/>
        <w:suppressLineNumbers w:val="0"/>
        <w:wordWrap/>
        <w:overflowPunct/>
        <w:topLinePunct w:val="0"/>
        <w:bidi w:val="0"/>
        <w:spacing w:line="560" w:lineRule="exact"/>
        <w:ind w:firstLine="620" w:firstLineChars="200"/>
        <w:rPr>
          <w:rFonts w:hint="default"/>
          <w:lang w:val="en-US" w:eastAsia="zh-CN"/>
        </w:rPr>
      </w:pPr>
      <w:r>
        <w:rPr>
          <w:rFonts w:hint="eastAsia" w:ascii="仿宋_GB2312" w:eastAsia="仿宋_GB2312" w:cs="仿宋_GB2312"/>
          <w:color w:val="000000"/>
          <w:sz w:val="31"/>
          <w:szCs w:val="31"/>
        </w:rPr>
        <w:t>预算经费应纳入单位财务统一管理，对省财政资</w:t>
      </w:r>
      <w:r>
        <w:rPr>
          <w:rFonts w:hint="eastAsia" w:ascii="仿宋_GB2312" w:eastAsia="仿宋_GB2312" w:cs="仿宋_GB2312"/>
          <w:color w:val="000000"/>
          <w:sz w:val="31"/>
          <w:szCs w:val="31"/>
          <w:lang w:eastAsia="zh-CN"/>
        </w:rPr>
        <w:t>金和项目承</w:t>
      </w:r>
      <w:r>
        <w:rPr>
          <w:rFonts w:hint="eastAsia" w:ascii="仿宋_GB2312" w:eastAsia="仿宋_GB2312" w:cs="仿宋_GB2312"/>
          <w:color w:val="000000"/>
          <w:sz w:val="31"/>
          <w:szCs w:val="31"/>
        </w:rPr>
        <w:t>担单位其他来源资金分别单独核算，确保专款专用。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FZFangSong-Z02S">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B6C68"/>
    <w:multiLevelType w:val="singleLevel"/>
    <w:tmpl w:val="BEEB6C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2JiODdmODVlMGVhMWYyZTQ0NWExNmQ0OWFmMTUifQ=="/>
  </w:docVars>
  <w:rsids>
    <w:rsidRoot w:val="6BEF1139"/>
    <w:rsid w:val="062D7E70"/>
    <w:rsid w:val="1DFFE163"/>
    <w:rsid w:val="288050BC"/>
    <w:rsid w:val="2D254C1E"/>
    <w:rsid w:val="54E00A4E"/>
    <w:rsid w:val="6272871A"/>
    <w:rsid w:val="6BEF1139"/>
    <w:rsid w:val="76FF9F6B"/>
    <w:rsid w:val="BBB71B69"/>
    <w:rsid w:val="DFD7DAEE"/>
    <w:rsid w:val="EE7E2020"/>
    <w:rsid w:val="FAA7DDA9"/>
    <w:rsid w:val="FE6E7D31"/>
    <w:rsid w:val="FEB6E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Table Text"/>
    <w:basedOn w:val="1"/>
    <w:semiHidden/>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663</Words>
  <Characters>707</Characters>
  <Lines>0</Lines>
  <Paragraphs>0</Paragraphs>
  <TotalTime>32</TotalTime>
  <ScaleCrop>false</ScaleCrop>
  <LinksUpToDate>false</LinksUpToDate>
  <CharactersWithSpaces>823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2025-08-08T16:48:00Z</dcterms:created>
  <dc:creator>韩珊琦</dc:creator>
  <cp:lastModifiedBy>陈绍华</cp:lastModifiedBy>
  <dcterms:modified xsi:type="dcterms:W3CDTF">2025-08-20T15:50:31Z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3D3267673E0B4F9CBA642CEEC4AC3D05_13</vt:lpwstr>
  </property>
  <property fmtid="{D5CDD505-2E9C-101B-9397-08002B2CF9AE}" pid="4" name="KSOTemplateDocerSaveRecord">
    <vt:lpwstr>eyJoZGlkIjoiYzY2ZDY3YWFhZGJkMzE4YzBhNTY3MWE3MWExZTA2ODAiLCJ1c2VySWQiOiIxNzI1MTgxOTg0In0=</vt:lpwstr>
  </property>
</Properties>
</file>