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33E2">
      <w:pPr>
        <w:spacing w:before="37"/>
      </w:pPr>
    </w:p>
    <w:p w14:paraId="40B258BA">
      <w:pPr>
        <w:sectPr>
          <w:footerReference r:id="rId5" w:type="default"/>
          <w:pgSz w:w="11906" w:h="16839"/>
          <w:pgMar w:top="1431" w:right="1417" w:bottom="928" w:left="1319" w:header="0" w:footer="766" w:gutter="0"/>
          <w:cols w:equalWidth="0" w:num="1">
            <w:col w:w="9169"/>
          </w:cols>
        </w:sectPr>
      </w:pPr>
    </w:p>
    <w:p w14:paraId="410812AB">
      <w:pPr>
        <w:spacing w:before="56" w:line="219" w:lineRule="auto"/>
        <w:ind w:left="31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轮叶獐牙菜</w:t>
      </w:r>
    </w:p>
    <w:p w14:paraId="73C0F788">
      <w:pPr>
        <w:pStyle w:val="2"/>
        <w:spacing w:line="343" w:lineRule="auto"/>
      </w:pPr>
    </w:p>
    <w:p w14:paraId="634F37D6">
      <w:pPr>
        <w:spacing w:before="57" w:line="200" w:lineRule="auto"/>
        <w:ind w:left="325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Lunyezhangyacai</w:t>
      </w:r>
    </w:p>
    <w:p w14:paraId="51E1B1F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75D156E">
      <w:pPr>
        <w:spacing w:before="128" w:line="316" w:lineRule="auto"/>
        <w:ind w:left="32" w:right="2476" w:hanging="32"/>
        <w:rPr>
          <w:rFonts w:ascii="宋体" w:hAnsi="宋体" w:eastAsia="宋体" w:cs="宋体"/>
          <w:sz w:val="28"/>
          <w:szCs w:val="28"/>
        </w:rPr>
      </w:pPr>
      <w:r>
        <w:rPr>
          <w:rFonts w:ascii="Microsoft Himalaya" w:hAnsi="Microsoft Himalaya" w:eastAsia="Microsoft Himalaya" w:cs="Microsoft Himalaya"/>
          <w:b/>
          <w:bCs/>
          <w:spacing w:val="-8"/>
          <w:sz w:val="28"/>
          <w:szCs w:val="28"/>
        </w:rPr>
        <w:t>དཔའ་</w:t>
      </w:r>
      <w:r>
        <w:rPr>
          <w:rFonts w:hint="cs" w:ascii="Microsoft Himalaya" w:hAnsi="Microsoft Himalaya" w:eastAsia="Microsoft Himalaya" w:cs="Microsoft Himalaya"/>
          <w:b/>
          <w:bCs/>
          <w:spacing w:val="-8"/>
          <w:sz w:val="28"/>
          <w:szCs w:val="28"/>
          <w:cs/>
          <w:lang w:bidi="bo-CN"/>
        </w:rPr>
        <w:t>བོ་སེ</w:t>
      </w:r>
      <w:r>
        <w:rPr>
          <w:rFonts w:ascii="Microsoft Himalaya" w:hAnsi="Microsoft Himalaya" w:eastAsia="Microsoft Himalaya" w:cs="Microsoft Himalaya"/>
          <w:b/>
          <w:bCs/>
          <w:spacing w:val="-8"/>
          <w:sz w:val="28"/>
          <w:szCs w:val="28"/>
        </w:rPr>
        <w:t>ར་</w:t>
      </w:r>
      <w:r>
        <w:rPr>
          <w:rFonts w:hint="cs" w:ascii="Microsoft Himalaya" w:hAnsi="Microsoft Himalaya" w:eastAsia="Microsoft Himalaya" w:cs="Microsoft Himalaya"/>
          <w:b/>
          <w:bCs/>
          <w:spacing w:val="-8"/>
          <w:sz w:val="28"/>
          <w:szCs w:val="28"/>
          <w:cs/>
          <w:lang w:bidi="bo-CN"/>
        </w:rPr>
        <w:t>པོ</w:t>
      </w:r>
      <w:r>
        <w:rPr>
          <w:rFonts w:ascii="Microsoft Himalaya" w:hAnsi="Microsoft Himalaya" w:eastAsia="Microsoft Himalaya" w:cs="Microsoft Himalaya"/>
          <w:b/>
          <w:bCs/>
          <w:spacing w:val="-8"/>
          <w:sz w:val="28"/>
          <w:szCs w:val="28"/>
        </w:rPr>
        <w:t>།</w:t>
      </w:r>
      <w:r>
        <w:rPr>
          <w:rFonts w:ascii="Microsoft Himalaya" w:hAnsi="Microsoft Himalaya" w:eastAsia="Microsoft Himalaya" w:cs="Microsoft Himalaya"/>
          <w:spacing w:val="1"/>
          <w:sz w:val="28"/>
          <w:szCs w:val="28"/>
        </w:rPr>
        <w:t xml:space="preserve">    </w:t>
      </w:r>
      <w:r>
        <w:rPr>
          <w:rFonts w:ascii="宋体" w:hAnsi="宋体" w:eastAsia="宋体" w:cs="宋体"/>
          <w:b/>
          <w:bCs/>
          <w:spacing w:val="-13"/>
          <w:sz w:val="28"/>
          <w:szCs w:val="28"/>
        </w:rPr>
        <w:t>巴莴色保</w:t>
      </w:r>
    </w:p>
    <w:p w14:paraId="0F4D47DC">
      <w:pPr>
        <w:spacing w:line="316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417" w:bottom="928" w:left="1319" w:header="0" w:footer="766" w:gutter="0"/>
          <w:cols w:equalWidth="0" w:num="2">
            <w:col w:w="5478" w:space="100"/>
            <w:col w:w="3592"/>
          </w:cols>
        </w:sectPr>
      </w:pPr>
    </w:p>
    <w:p w14:paraId="1F8168F7">
      <w:pPr>
        <w:pStyle w:val="2"/>
        <w:spacing w:line="252" w:lineRule="auto"/>
      </w:pPr>
    </w:p>
    <w:p w14:paraId="76F50E31">
      <w:pPr>
        <w:spacing w:before="69" w:line="188" w:lineRule="auto"/>
        <w:ind w:left="29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SWERTIAVERTICILLIFOLIA RADIX</w:t>
      </w:r>
    </w:p>
    <w:p w14:paraId="18931421">
      <w:pPr>
        <w:spacing w:before="171" w:line="332" w:lineRule="auto"/>
        <w:ind w:left="109" w:right="64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本品为龙胆科獐牙菜属植物轮叶獐牙菜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Swertia verticillifolia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T.N.Hoet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S.W.Liu.</w:t>
      </w:r>
      <w:r>
        <w:rPr>
          <w:rFonts w:ascii="Times New Roman" w:hAnsi="Times New Roman" w:eastAsia="Times New Roman" w:cs="Times New Roman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燥根。秋季采挖，洗净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阴干或晒干。</w:t>
      </w:r>
    </w:p>
    <w:p w14:paraId="165E6E64">
      <w:pPr>
        <w:spacing w:before="113" w:line="351" w:lineRule="auto"/>
        <w:ind w:left="109" w:firstLine="47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【性状】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本品根圆锥状，头部膨大，多横</w:t>
      </w:r>
      <w:r>
        <w:rPr>
          <w:rFonts w:ascii="宋体" w:hAnsi="宋体" w:eastAsia="宋体" w:cs="宋体"/>
          <w:spacing w:val="1"/>
          <w:sz w:val="24"/>
          <w:szCs w:val="24"/>
        </w:rPr>
        <w:t>皱纹，顶端有茎、叶的残基或凹陷。表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面棕黄色或棕褐色，具有散落的分枝，具纵皱纹。易折断，断面黄色</w:t>
      </w:r>
      <w:r>
        <w:rPr>
          <w:rFonts w:ascii="宋体" w:hAnsi="宋体" w:eastAsia="宋体" w:cs="宋体"/>
          <w:spacing w:val="4"/>
          <w:sz w:val="24"/>
          <w:szCs w:val="24"/>
        </w:rPr>
        <w:t>，形成层明显。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气特异，味苦。</w:t>
      </w:r>
    </w:p>
    <w:p w14:paraId="47028EE4">
      <w:pPr>
        <w:spacing w:before="34" w:line="346" w:lineRule="auto"/>
        <w:ind w:right="67"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【鉴别】</w:t>
      </w:r>
      <w:r>
        <w:rPr>
          <w:rFonts w:ascii="宋体" w:hAnsi="宋体" w:eastAsia="宋体" w:cs="宋体"/>
          <w:sz w:val="24"/>
          <w:szCs w:val="24"/>
        </w:rPr>
        <w:t xml:space="preserve"> （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）本品粉末黄色至棕黄色。纤维众多，黄</w:t>
      </w:r>
      <w:r>
        <w:rPr>
          <w:rFonts w:ascii="宋体" w:hAnsi="宋体" w:eastAsia="宋体" w:cs="宋体"/>
          <w:spacing w:val="-1"/>
          <w:sz w:val="24"/>
          <w:szCs w:val="24"/>
        </w:rPr>
        <w:t>棕色，单个散在或成束，多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具纹孔，直径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7~25μm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。导管以螺纹为主，直径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10~23μm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 w14:paraId="36214493">
      <w:pPr>
        <w:spacing w:before="37" w:line="349" w:lineRule="auto"/>
        <w:ind w:left="108" w:right="81" w:firstLine="3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宋体" w:hAnsi="宋体" w:eastAsia="宋体" w:cs="宋体"/>
          <w:spacing w:val="-3"/>
          <w:sz w:val="24"/>
          <w:szCs w:val="24"/>
        </w:rPr>
        <w:t>）取本品粉末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0.5g</w:t>
      </w:r>
      <w:r>
        <w:rPr>
          <w:rFonts w:ascii="Times New Roman" w:hAnsi="Times New Roman" w:eastAsia="Times New Roman" w:cs="Times New Roman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，加甲醇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20ml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，超声处理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30 </w:t>
      </w:r>
      <w:r>
        <w:rPr>
          <w:rFonts w:ascii="宋体" w:hAnsi="宋体" w:eastAsia="宋体" w:cs="宋体"/>
          <w:spacing w:val="-3"/>
          <w:sz w:val="24"/>
          <w:szCs w:val="24"/>
        </w:rPr>
        <w:t>分钟，放冷，滤过，滤液作为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供试品溶液。另取獐牙菜苦苷对照品，加甲醇制成每</w:t>
      </w:r>
      <w:r>
        <w:rPr>
          <w:rFonts w:ascii="宋体" w:hAnsi="宋体" w:eastAsia="宋体" w:cs="宋体"/>
          <w:spacing w:val="-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1ml </w:t>
      </w:r>
      <w:r>
        <w:rPr>
          <w:rFonts w:ascii="宋体" w:hAnsi="宋体" w:eastAsia="宋体" w:cs="宋体"/>
          <w:spacing w:val="-3"/>
          <w:sz w:val="24"/>
          <w:szCs w:val="24"/>
        </w:rPr>
        <w:t>含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1mg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的溶液，作为对照品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溶液。照薄层色谱法（《中国药典》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2020 </w:t>
      </w:r>
      <w:r>
        <w:rPr>
          <w:rFonts w:ascii="宋体" w:hAnsi="宋体" w:eastAsia="宋体" w:cs="宋体"/>
          <w:spacing w:val="1"/>
          <w:sz w:val="24"/>
          <w:szCs w:val="24"/>
        </w:rPr>
        <w:t>年版通则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0502</w:t>
      </w:r>
      <w:r>
        <w:rPr>
          <w:rFonts w:ascii="宋体" w:hAnsi="宋体" w:eastAsia="宋体" w:cs="宋体"/>
          <w:spacing w:val="1"/>
          <w:sz w:val="24"/>
          <w:szCs w:val="24"/>
        </w:rPr>
        <w:t>）试验，吸取供试</w:t>
      </w:r>
      <w:r>
        <w:rPr>
          <w:rFonts w:ascii="宋体" w:hAnsi="宋体" w:eastAsia="宋体" w:cs="宋体"/>
          <w:sz w:val="24"/>
          <w:szCs w:val="24"/>
        </w:rPr>
        <w:t xml:space="preserve">品溶液，对 </w:t>
      </w:r>
      <w:r>
        <w:rPr>
          <w:rFonts w:ascii="宋体" w:hAnsi="宋体" w:eastAsia="宋体" w:cs="宋体"/>
          <w:spacing w:val="-2"/>
          <w:sz w:val="24"/>
          <w:szCs w:val="24"/>
        </w:rPr>
        <w:t>照品溶液各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5μl</w:t>
      </w:r>
      <w:r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，分别点于同一硅胶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GF</w:t>
      </w:r>
      <w:r>
        <w:rPr>
          <w:rFonts w:ascii="Times New Roman" w:hAnsi="Times New Roman" w:eastAsia="Times New Roman" w:cs="Times New Roman"/>
          <w:spacing w:val="-2"/>
          <w:position w:val="-1"/>
          <w:sz w:val="15"/>
          <w:szCs w:val="15"/>
        </w:rPr>
        <w:t>254</w:t>
      </w:r>
      <w:r>
        <w:rPr>
          <w:rFonts w:ascii="Times New Roman" w:hAnsi="Times New Roman" w:eastAsia="Times New Roman" w:cs="Times New Roman"/>
          <w:spacing w:val="14"/>
          <w:w w:val="101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薄层板上，以乙酸乙酯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宋体" w:hAnsi="宋体" w:eastAsia="宋体" w:cs="宋体"/>
          <w:spacing w:val="-2"/>
          <w:sz w:val="24"/>
          <w:szCs w:val="24"/>
        </w:rPr>
        <w:t>甲醇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宋体" w:hAnsi="宋体" w:eastAsia="宋体" w:cs="宋体"/>
          <w:spacing w:val="-2"/>
          <w:sz w:val="24"/>
          <w:szCs w:val="24"/>
        </w:rPr>
        <w:t>甲酸</w:t>
      </w:r>
    </w:p>
    <w:p w14:paraId="6B037F99">
      <w:pPr>
        <w:spacing w:before="57" w:line="347" w:lineRule="auto"/>
        <w:ind w:left="106" w:right="124" w:hanging="1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宋体" w:hAnsi="宋体" w:eastAsia="宋体" w:cs="宋体"/>
          <w:spacing w:val="-1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4.5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）为展开剂，展开，取出，</w:t>
      </w:r>
      <w:r>
        <w:rPr>
          <w:rFonts w:ascii="宋体" w:hAnsi="宋体" w:eastAsia="宋体" w:cs="宋体"/>
          <w:spacing w:val="-2"/>
          <w:sz w:val="24"/>
          <w:szCs w:val="24"/>
        </w:rPr>
        <w:t>晾干，置紫外光灯（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254 nm</w:t>
      </w:r>
      <w:r>
        <w:rPr>
          <w:rFonts w:ascii="宋体" w:hAnsi="宋体" w:eastAsia="宋体" w:cs="宋体"/>
          <w:spacing w:val="-2"/>
          <w:sz w:val="24"/>
          <w:szCs w:val="24"/>
        </w:rPr>
        <w:t>）下检视。供试品色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谱中，在与对照品色谱相应的位置上，显相同颜色的斑点。</w:t>
      </w:r>
    </w:p>
    <w:p w14:paraId="3F201B37">
      <w:pPr>
        <w:spacing w:before="33" w:line="347" w:lineRule="auto"/>
        <w:ind w:left="594" w:right="579" w:hanging="12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【检查】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水分</w:t>
      </w:r>
      <w:r>
        <w:rPr>
          <w:rFonts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不得过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12.0% </w:t>
      </w:r>
      <w:r>
        <w:rPr>
          <w:rFonts w:ascii="宋体" w:hAnsi="宋体" w:eastAsia="宋体" w:cs="宋体"/>
          <w:spacing w:val="-3"/>
          <w:sz w:val="24"/>
          <w:szCs w:val="24"/>
        </w:rPr>
        <w:t>（《中国药典》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2020 </w:t>
      </w:r>
      <w:r>
        <w:rPr>
          <w:rFonts w:ascii="宋体" w:hAnsi="宋体" w:eastAsia="宋体" w:cs="宋体"/>
          <w:spacing w:val="-3"/>
          <w:sz w:val="24"/>
          <w:szCs w:val="24"/>
        </w:rPr>
        <w:t>年版通则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0832 </w:t>
      </w:r>
      <w:r>
        <w:rPr>
          <w:rFonts w:ascii="宋体" w:hAnsi="宋体" w:eastAsia="宋体" w:cs="宋体"/>
          <w:spacing w:val="-3"/>
          <w:sz w:val="24"/>
          <w:szCs w:val="24"/>
        </w:rPr>
        <w:t>第二法）。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总</w:t>
      </w:r>
    </w:p>
    <w:p w14:paraId="5F3FD691">
      <w:pPr>
        <w:spacing w:before="33" w:line="347" w:lineRule="auto"/>
        <w:ind w:right="579"/>
        <w:rPr>
          <w:rFonts w:ascii="宋体" w:hAnsi="宋体" w:eastAsia="宋体" w:cs="宋体"/>
          <w:sz w:val="24"/>
          <w:szCs w:val="24"/>
        </w:rPr>
      </w:pPr>
      <w:bookmarkStart w:id="1" w:name="_GoBack"/>
      <w:bookmarkEnd w:id="1"/>
      <w:r>
        <w:rPr>
          <w:rFonts w:ascii="宋体" w:hAnsi="宋体" w:eastAsia="宋体" w:cs="宋体"/>
          <w:spacing w:val="-1"/>
          <w:sz w:val="24"/>
          <w:szCs w:val="24"/>
        </w:rPr>
        <w:t>灰分 不得过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5.0% </w:t>
      </w:r>
      <w:r>
        <w:rPr>
          <w:rFonts w:ascii="宋体" w:hAnsi="宋体" w:eastAsia="宋体" w:cs="宋体"/>
          <w:spacing w:val="-1"/>
          <w:sz w:val="24"/>
          <w:szCs w:val="24"/>
        </w:rPr>
        <w:t>（《中国药典》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20 </w:t>
      </w:r>
      <w:r>
        <w:rPr>
          <w:rFonts w:ascii="宋体" w:hAnsi="宋体" w:eastAsia="宋体" w:cs="宋体"/>
          <w:spacing w:val="-2"/>
          <w:sz w:val="24"/>
          <w:szCs w:val="24"/>
        </w:rPr>
        <w:t>年版通则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2302</w:t>
      </w:r>
      <w:r>
        <w:rPr>
          <w:rFonts w:ascii="宋体" w:hAnsi="宋体" w:eastAsia="宋体" w:cs="宋体"/>
          <w:spacing w:val="-2"/>
          <w:sz w:val="24"/>
          <w:szCs w:val="24"/>
        </w:rPr>
        <w:t>）。</w:t>
      </w:r>
    </w:p>
    <w:p w14:paraId="03510D62">
      <w:pPr>
        <w:spacing w:before="35" w:line="346" w:lineRule="auto"/>
        <w:ind w:left="109" w:right="199" w:firstLine="47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【浸出物】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照醇溶性浸出物测定法（《中国药典》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2020 </w:t>
      </w:r>
      <w:r>
        <w:rPr>
          <w:rFonts w:ascii="宋体" w:hAnsi="宋体" w:eastAsia="宋体" w:cs="宋体"/>
          <w:spacing w:val="1"/>
          <w:sz w:val="24"/>
          <w:szCs w:val="24"/>
        </w:rPr>
        <w:t>年版通则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201</w:t>
      </w:r>
      <w:r>
        <w:rPr>
          <w:rFonts w:ascii="宋体" w:hAnsi="宋体" w:eastAsia="宋体" w:cs="宋体"/>
          <w:sz w:val="24"/>
          <w:szCs w:val="24"/>
        </w:rPr>
        <w:t xml:space="preserve">）热浸法 </w:t>
      </w:r>
      <w:r>
        <w:rPr>
          <w:rFonts w:ascii="宋体" w:hAnsi="宋体" w:eastAsia="宋体" w:cs="宋体"/>
          <w:spacing w:val="-1"/>
          <w:sz w:val="24"/>
          <w:szCs w:val="24"/>
        </w:rPr>
        <w:t>测定，用乙醇作溶剂，不得少于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42.0%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 w14:paraId="0FA7ADCF">
      <w:pPr>
        <w:spacing w:before="36" w:line="219" w:lineRule="auto"/>
        <w:ind w:left="5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【含量测定】</w:t>
      </w:r>
      <w:r>
        <w:rPr>
          <w:rFonts w:ascii="宋体" w:hAnsi="宋体" w:eastAsia="宋体" w:cs="宋体"/>
          <w:spacing w:val="-1"/>
          <w:sz w:val="24"/>
          <w:szCs w:val="24"/>
        </w:rPr>
        <w:t>照高效液相色谱法（《中国药典》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2020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年版通则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0512</w:t>
      </w:r>
      <w:r>
        <w:rPr>
          <w:rFonts w:ascii="宋体" w:hAnsi="宋体" w:eastAsia="宋体" w:cs="宋体"/>
          <w:spacing w:val="-1"/>
          <w:sz w:val="24"/>
          <w:szCs w:val="24"/>
        </w:rPr>
        <w:t>）测定。</w:t>
      </w:r>
    </w:p>
    <w:p w14:paraId="4565A39D">
      <w:pPr>
        <w:spacing w:before="183" w:line="351" w:lineRule="auto"/>
        <w:ind w:left="100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色谱条件与系统适应性试验</w:t>
      </w:r>
      <w:r>
        <w:rPr>
          <w:rFonts w:ascii="宋体" w:hAnsi="宋体" w:eastAsia="宋体" w:cs="宋体"/>
          <w:spacing w:val="5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以十八烷基硅烷键合硅胶为填充剂；</w:t>
      </w:r>
      <w:r>
        <w:rPr>
          <w:rFonts w:ascii="宋体" w:hAnsi="宋体" w:eastAsia="宋体" w:cs="宋体"/>
          <w:spacing w:val="-7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以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0.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1%</w:t>
      </w:r>
      <w:r>
        <w:rPr>
          <w:rFonts w:ascii="宋体" w:hAnsi="宋体" w:eastAsia="宋体" w:cs="宋体"/>
          <w:spacing w:val="1"/>
          <w:sz w:val="24"/>
          <w:szCs w:val="24"/>
        </w:rPr>
        <w:t>磷酸溶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液为流动相</w:t>
      </w:r>
      <w:r>
        <w:rPr>
          <w:rFonts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，以乙腈为流动相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，按下表中的规定进行梯度洗脱；检测波长为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>238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nm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。理论塔板数按獐牙菜苦苷峰计算应不低于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8000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 w14:paraId="0EEB2666">
      <w:pPr>
        <w:spacing w:before="50" w:line="228" w:lineRule="auto"/>
        <w:ind w:left="39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表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3"/>
          <w:sz w:val="20"/>
          <w:szCs w:val="20"/>
        </w:rPr>
        <w:t>梯度洗脱表</w:t>
      </w:r>
    </w:p>
    <w:p w14:paraId="19380760">
      <w:pPr>
        <w:spacing w:line="92" w:lineRule="exact"/>
      </w:pPr>
    </w:p>
    <w:tbl>
      <w:tblPr>
        <w:tblStyle w:val="7"/>
        <w:tblW w:w="5477" w:type="dxa"/>
        <w:tblInd w:w="92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994"/>
        <w:gridCol w:w="1672"/>
      </w:tblGrid>
      <w:tr w14:paraId="62F1BF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57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594580">
            <w:pPr>
              <w:pStyle w:val="6"/>
              <w:spacing w:before="31" w:line="212" w:lineRule="auto"/>
              <w:ind w:left="451"/>
            </w:pPr>
            <w:r>
              <w:rPr>
                <w:rFonts w:ascii="宋体" w:hAnsi="宋体" w:eastAsia="宋体" w:cs="宋体"/>
                <w:spacing w:val="-3"/>
              </w:rPr>
              <w:t>时间</w:t>
            </w:r>
            <w:r>
              <w:rPr>
                <w:spacing w:val="-3"/>
              </w:rPr>
              <w:t>(</w:t>
            </w:r>
            <w:r>
              <w:rPr>
                <w:rFonts w:ascii="宋体" w:hAnsi="宋体" w:eastAsia="宋体" w:cs="宋体"/>
                <w:spacing w:val="-3"/>
              </w:rPr>
              <w:t>分钟</w:t>
            </w:r>
            <w:r>
              <w:rPr>
                <w:spacing w:val="-3"/>
              </w:rPr>
              <w:t>)</w:t>
            </w:r>
          </w:p>
        </w:tc>
        <w:tc>
          <w:tcPr>
            <w:tcW w:w="1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8550B9">
            <w:pPr>
              <w:pStyle w:val="6"/>
              <w:spacing w:before="31" w:line="220" w:lineRule="auto"/>
              <w:ind w:left="54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流动相</w:t>
            </w:r>
            <w:r>
              <w:rPr>
                <w:rFonts w:ascii="宋体" w:hAnsi="宋体" w:eastAsia="宋体" w:cs="宋体"/>
                <w:spacing w:val="-4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%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45F87F">
            <w:pPr>
              <w:pStyle w:val="6"/>
              <w:spacing w:before="31" w:line="220" w:lineRule="auto"/>
              <w:ind w:left="3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流动相</w:t>
            </w:r>
            <w:r>
              <w:rPr>
                <w:rFonts w:ascii="宋体" w:hAnsi="宋体" w:eastAsia="宋体" w:cs="宋体"/>
                <w:spacing w:val="-42"/>
              </w:rPr>
              <w:t xml:space="preserve"> </w:t>
            </w:r>
            <w:r>
              <w:rPr>
                <w:spacing w:val="-2"/>
              </w:rPr>
              <w:t>B</w:t>
            </w:r>
            <w:r>
              <w:rPr>
                <w:rFonts w:ascii="宋体" w:hAnsi="宋体" w:eastAsia="宋体" w:cs="宋体"/>
                <w:spacing w:val="-2"/>
              </w:rPr>
              <w:t>（</w:t>
            </w:r>
            <w:r>
              <w:rPr>
                <w:spacing w:val="-2"/>
              </w:rPr>
              <w:t>%</w:t>
            </w:r>
            <w:r>
              <w:rPr>
                <w:rFonts w:ascii="宋体" w:hAnsi="宋体" w:eastAsia="宋体" w:cs="宋体"/>
                <w:spacing w:val="-2"/>
              </w:rPr>
              <w:t>）</w:t>
            </w:r>
          </w:p>
        </w:tc>
      </w:tr>
      <w:tr w14:paraId="2E68DE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B86059">
            <w:pPr>
              <w:pStyle w:val="6"/>
              <w:spacing w:before="64" w:line="188" w:lineRule="auto"/>
              <w:ind w:left="442"/>
            </w:pPr>
            <w:r>
              <w:rPr>
                <w:spacing w:val="-7"/>
              </w:rPr>
              <w:t>0~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12</w:t>
            </w:r>
          </w:p>
        </w:tc>
        <w:tc>
          <w:tcPr>
            <w:tcW w:w="1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930CF6">
            <w:pPr>
              <w:pStyle w:val="6"/>
              <w:spacing w:before="59" w:line="180" w:lineRule="auto"/>
              <w:ind w:left="544"/>
            </w:pPr>
            <w:r>
              <w:rPr>
                <w:spacing w:val="-2"/>
              </w:rPr>
              <w:t>90</w:t>
            </w:r>
            <w:r>
              <w:rPr>
                <w:rFonts w:ascii="宋体" w:hAnsi="宋体" w:eastAsia="宋体" w:cs="宋体"/>
                <w:spacing w:val="-2"/>
              </w:rPr>
              <w:t>→</w:t>
            </w:r>
            <w:r>
              <w:rPr>
                <w:spacing w:val="-2"/>
              </w:rPr>
              <w:t>84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5B94DA">
            <w:pPr>
              <w:pStyle w:val="6"/>
              <w:spacing w:before="59" w:line="180" w:lineRule="auto"/>
              <w:ind w:left="347"/>
            </w:pPr>
            <w:r>
              <w:rPr>
                <w:spacing w:val="-12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</w:rPr>
              <w:t>→</w:t>
            </w:r>
            <w:r>
              <w:rPr>
                <w:rFonts w:ascii="宋体" w:hAnsi="宋体" w:eastAsia="宋体" w:cs="宋体"/>
                <w:spacing w:val="-69"/>
              </w:rPr>
              <w:t xml:space="preserve"> </w:t>
            </w:r>
            <w:r>
              <w:rPr>
                <w:spacing w:val="-12"/>
              </w:rPr>
              <w:t>16</w:t>
            </w:r>
          </w:p>
        </w:tc>
      </w:tr>
      <w:tr w14:paraId="5888F3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40F4E0">
            <w:pPr>
              <w:pStyle w:val="6"/>
              <w:spacing w:before="49" w:line="188" w:lineRule="auto"/>
              <w:ind w:left="456"/>
            </w:pPr>
            <w:r>
              <w:rPr>
                <w:spacing w:val="-7"/>
              </w:rPr>
              <w:t>12~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12.5</w:t>
            </w:r>
          </w:p>
        </w:tc>
        <w:tc>
          <w:tcPr>
            <w:tcW w:w="1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C352D7">
            <w:pPr>
              <w:pStyle w:val="6"/>
              <w:spacing w:before="49" w:line="188" w:lineRule="auto"/>
              <w:ind w:left="548"/>
            </w:pPr>
            <w:r>
              <w:rPr>
                <w:spacing w:val="-3"/>
              </w:rPr>
              <w:t>84→5</w:t>
            </w:r>
          </w:p>
        </w:tc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6AA4A">
            <w:pPr>
              <w:pStyle w:val="6"/>
              <w:spacing w:before="49" w:line="188" w:lineRule="auto"/>
              <w:ind w:left="347"/>
            </w:pPr>
            <w:r>
              <w:rPr>
                <w:spacing w:val="-4"/>
              </w:rPr>
              <w:t>16→95</w:t>
            </w:r>
          </w:p>
        </w:tc>
      </w:tr>
    </w:tbl>
    <w:p w14:paraId="05DC6BB7">
      <w:pPr>
        <w:pStyle w:val="2"/>
        <w:spacing w:line="14" w:lineRule="auto"/>
        <w:rPr>
          <w:sz w:val="2"/>
        </w:rPr>
      </w:pPr>
    </w:p>
    <w:p w14:paraId="3DFAEDA8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431" w:right="1417" w:bottom="928" w:left="1319" w:header="0" w:footer="766" w:gutter="0"/>
          <w:cols w:equalWidth="0" w:num="1">
            <w:col w:w="9169"/>
          </w:cols>
        </w:sectPr>
      </w:pPr>
    </w:p>
    <w:tbl>
      <w:tblPr>
        <w:tblStyle w:val="7"/>
        <w:tblW w:w="5477" w:type="dxa"/>
        <w:tblInd w:w="81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712"/>
        <w:gridCol w:w="2011"/>
      </w:tblGrid>
      <w:tr w14:paraId="7E1F35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5FEDD7">
            <w:pPr>
              <w:pStyle w:val="6"/>
              <w:spacing w:before="50" w:line="188" w:lineRule="auto"/>
              <w:ind w:left="456"/>
            </w:pPr>
            <w:r>
              <w:rPr>
                <w:spacing w:val="-5"/>
              </w:rPr>
              <w:t>12.5~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16.5</w:t>
            </w: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E5BB0B">
            <w:pPr>
              <w:pStyle w:val="6"/>
              <w:spacing w:before="53" w:line="185" w:lineRule="auto"/>
              <w:ind w:left="603"/>
            </w:pPr>
            <w:r>
              <w:t>5</w:t>
            </w: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D3A77B">
            <w:pPr>
              <w:pStyle w:val="6"/>
              <w:spacing w:before="50" w:line="188" w:lineRule="auto"/>
              <w:ind w:left="672"/>
            </w:pPr>
            <w:r>
              <w:rPr>
                <w:spacing w:val="-4"/>
              </w:rPr>
              <w:t>95</w:t>
            </w:r>
          </w:p>
        </w:tc>
      </w:tr>
      <w:tr w14:paraId="385A38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3D356C">
            <w:pPr>
              <w:pStyle w:val="6"/>
              <w:spacing w:before="46" w:line="188" w:lineRule="auto"/>
              <w:ind w:left="456"/>
            </w:pPr>
            <w:r>
              <w:rPr>
                <w:spacing w:val="-7"/>
              </w:rPr>
              <w:t>16.5~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17</w:t>
            </w: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E6D5E3">
            <w:pPr>
              <w:pStyle w:val="6"/>
              <w:spacing w:before="46" w:line="188" w:lineRule="auto"/>
              <w:ind w:left="603"/>
            </w:pPr>
            <w:r>
              <w:rPr>
                <w:spacing w:val="-3"/>
              </w:rPr>
              <w:t>5→90</w:t>
            </w: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59C304">
            <w:pPr>
              <w:pStyle w:val="6"/>
              <w:spacing w:before="46" w:line="188" w:lineRule="auto"/>
              <w:ind w:left="672"/>
            </w:pPr>
            <w:r>
              <w:rPr>
                <w:spacing w:val="-6"/>
              </w:rPr>
              <w:t>95→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10</w:t>
            </w:r>
          </w:p>
        </w:tc>
      </w:tr>
      <w:tr w14:paraId="24DB51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3E4B29">
            <w:pPr>
              <w:pStyle w:val="6"/>
              <w:spacing w:before="47" w:line="188" w:lineRule="auto"/>
              <w:ind w:left="456"/>
            </w:pPr>
            <w:r>
              <w:rPr>
                <w:spacing w:val="-5"/>
              </w:rPr>
              <w:t>17~21</w:t>
            </w: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369870">
            <w:pPr>
              <w:pStyle w:val="6"/>
              <w:spacing w:before="47" w:line="188" w:lineRule="auto"/>
              <w:ind w:left="601"/>
            </w:pPr>
            <w:r>
              <w:rPr>
                <w:spacing w:val="-4"/>
              </w:rPr>
              <w:t>90</w:t>
            </w: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6B2EB4">
            <w:pPr>
              <w:pStyle w:val="6"/>
              <w:spacing w:before="47" w:line="188" w:lineRule="auto"/>
              <w:ind w:left="686"/>
            </w:pPr>
            <w:r>
              <w:rPr>
                <w:spacing w:val="-10"/>
              </w:rPr>
              <w:t>10</w:t>
            </w:r>
          </w:p>
        </w:tc>
      </w:tr>
    </w:tbl>
    <w:p w14:paraId="49F6F31D">
      <w:pPr>
        <w:spacing w:before="115" w:line="345" w:lineRule="auto"/>
        <w:ind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对照品溶液的制备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取獐牙菜苦苷对照品适量，精密称定，加甲醇制成每</w:t>
      </w:r>
      <w:r>
        <w:rPr>
          <w:rFonts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ml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含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獐牙菜苦苷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0.2mg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的溶液，即得。</w:t>
      </w:r>
    </w:p>
    <w:p w14:paraId="6E69AB98">
      <w:pPr>
        <w:spacing w:before="38" w:line="348" w:lineRule="auto"/>
        <w:ind w:left="2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3"/>
          <w:sz w:val="24"/>
          <w:szCs w:val="24"/>
        </w:rPr>
        <w:t>供试品溶液的制备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取本品粉末（过二号筛）约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0.02g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，精密称定，置具塞</w:t>
      </w:r>
      <w:r>
        <w:rPr>
          <w:rFonts w:ascii="宋体" w:hAnsi="宋体" w:eastAsia="宋体" w:cs="宋体"/>
          <w:spacing w:val="2"/>
          <w:sz w:val="24"/>
          <w:szCs w:val="24"/>
        </w:rPr>
        <w:t>锥形瓶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中，精密加入甲醇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z w:val="24"/>
          <w:szCs w:val="24"/>
        </w:rPr>
        <w:t>ml</w:t>
      </w:r>
      <w:r>
        <w:rPr>
          <w:rFonts w:ascii="Times New Roman" w:hAnsi="Times New Roman" w:eastAsia="Times New Roman" w:cs="Times New Roman"/>
          <w:spacing w:val="-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，密塞，称定重量，超声处理（功率</w:t>
      </w:r>
      <w:r>
        <w:rPr>
          <w:rFonts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180w</w:t>
      </w:r>
      <w:r>
        <w:rPr>
          <w:rFonts w:ascii="Times New Roman" w:hAnsi="Times New Roman" w:eastAsia="Times New Roman" w:cs="Times New Roman"/>
          <w:spacing w:val="-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，频率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53</w:t>
      </w:r>
      <w:r>
        <w:rPr>
          <w:rFonts w:ascii="Times New Roman" w:hAnsi="Times New Roman" w:eastAsia="Times New Roman" w:cs="Times New Roman"/>
          <w:sz w:val="24"/>
          <w:szCs w:val="24"/>
        </w:rPr>
        <w:t>KHz</w:t>
      </w:r>
      <w:r>
        <w:rPr>
          <w:rFonts w:ascii="宋体" w:hAnsi="宋体" w:eastAsia="宋体" w:cs="宋体"/>
          <w:spacing w:val="1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分钟，放冷，再称定重量，用甲醇补足减失的重量，</w:t>
      </w:r>
      <w:r>
        <w:rPr>
          <w:rFonts w:ascii="宋体" w:hAnsi="宋体" w:eastAsia="宋体" w:cs="宋体"/>
          <w:spacing w:val="-1"/>
          <w:sz w:val="24"/>
          <w:szCs w:val="24"/>
        </w:rPr>
        <w:t>摇匀，滤过，取续滤液，即得。</w:t>
      </w:r>
    </w:p>
    <w:p w14:paraId="6C53F1C5">
      <w:pPr>
        <w:spacing w:before="46" w:line="337" w:lineRule="auto"/>
        <w:ind w:left="5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测定法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分别精密吸取对照品溶液与供试品溶液各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>10μl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，注入液相色谱仪，测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定，即得。</w:t>
      </w:r>
    </w:p>
    <w:p w14:paraId="4755F16A">
      <w:pPr>
        <w:spacing w:before="60" w:line="219" w:lineRule="auto"/>
        <w:ind w:left="48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本品按干燥品计算，含獐牙菜苦苷（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position w:val="-1"/>
          <w:sz w:val="15"/>
          <w:szCs w:val="15"/>
        </w:rPr>
        <w:t>16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position w:val="-1"/>
          <w:sz w:val="15"/>
          <w:szCs w:val="15"/>
        </w:rPr>
        <w:t>22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1"/>
          <w:position w:val="-1"/>
          <w:sz w:val="15"/>
          <w:szCs w:val="15"/>
        </w:rPr>
        <w:t>10</w:t>
      </w:r>
      <w:r>
        <w:rPr>
          <w:rFonts w:ascii="宋体" w:hAnsi="宋体" w:eastAsia="宋体" w:cs="宋体"/>
          <w:spacing w:val="-1"/>
          <w:sz w:val="24"/>
          <w:szCs w:val="24"/>
        </w:rPr>
        <w:t>）不得少于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8.0 %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 w14:paraId="2CFBC81A">
      <w:pPr>
        <w:spacing w:before="60" w:line="219" w:lineRule="auto"/>
        <w:ind w:firstLine="478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【性味】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味苦，性凉；化后味苦。</w:t>
      </w:r>
    </w:p>
    <w:p w14:paraId="57D08DB9">
      <w:pPr>
        <w:spacing w:before="183" w:line="219" w:lineRule="auto"/>
        <w:ind w:firstLine="478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【功能与主治】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清热解毒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pacing w:val="-1"/>
          <w:sz w:val="24"/>
          <w:szCs w:val="24"/>
        </w:rPr>
        <w:t>用于各类中毒症。</w:t>
      </w:r>
    </w:p>
    <w:p w14:paraId="272F4D7C">
      <w:pPr>
        <w:spacing w:before="219"/>
        <w:ind w:left="2553"/>
        <w:rPr>
          <w:rFonts w:ascii="Microsoft Himalaya" w:hAnsi="Microsoft Himalaya" w:eastAsia="Microsoft Himalaya" w:cs="Microsoft Himalaya"/>
          <w:sz w:val="31"/>
          <w:szCs w:val="31"/>
        </w:rPr>
      </w:pPr>
      <w:bookmarkStart w:id="0" w:name="bookmark4"/>
      <w:bookmarkEnd w:id="0"/>
      <w:r>
        <w:rPr>
          <w:rFonts w:ascii="Microsoft Himalaya" w:hAnsi="Microsoft Himalaya" w:eastAsia="Microsoft Himalaya" w:cs="Microsoft Himalaya"/>
          <w:b/>
          <w:bCs/>
          <w:spacing w:val="14"/>
          <w:w w:val="132"/>
          <w:sz w:val="31"/>
          <w:szCs w:val="31"/>
        </w:rPr>
        <w:t>དུ</w:t>
      </w:r>
      <w:r>
        <w:rPr>
          <w:rFonts w:hint="cs" w:ascii="Microsoft Himalaya" w:hAnsi="Microsoft Himalaya" w:eastAsia="Microsoft Himalaya" w:cs="Microsoft Himalaya"/>
          <w:b/>
          <w:bCs/>
          <w:spacing w:val="14"/>
          <w:w w:val="132"/>
          <w:sz w:val="31"/>
          <w:szCs w:val="31"/>
          <w:cs/>
          <w:lang w:bidi="bo-CN"/>
        </w:rPr>
        <w:t>ག་ཚད་སེལ་ཞིང་དུག་རིགས་འཇོམ</w:t>
      </w:r>
      <w:r>
        <w:rPr>
          <w:rFonts w:ascii="Microsoft Himalaya" w:hAnsi="Microsoft Himalaya" w:eastAsia="Microsoft Himalaya" w:cs="Microsoft Himalaya"/>
          <w:b/>
          <w:bCs/>
          <w:spacing w:val="14"/>
          <w:w w:val="132"/>
          <w:sz w:val="31"/>
          <w:szCs w:val="31"/>
        </w:rPr>
        <w:t>ས།</w:t>
      </w:r>
    </w:p>
    <w:p w14:paraId="220DDC3B">
      <w:pPr>
        <w:spacing w:before="270" w:line="346" w:lineRule="auto"/>
        <w:ind w:left="473" w:leftChars="225" w:right="5062" w:righ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6" w:type="default"/>
          <w:pgSz w:w="11906" w:h="16839"/>
          <w:pgMar w:top="1418" w:right="1417" w:bottom="928" w:left="1427" w:header="0" w:footer="766" w:gutter="0"/>
          <w:cols w:space="720" w:num="1"/>
        </w:sect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【用法与用量】</w:t>
      </w:r>
      <w:r>
        <w:rPr>
          <w:rFonts w:ascii="宋体" w:hAnsi="宋体" w:eastAsia="宋体" w:cs="宋体"/>
          <w:spacing w:val="-4"/>
          <w:sz w:val="24"/>
          <w:szCs w:val="24"/>
        </w:rPr>
        <w:t>配方用或遵医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嘱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【贮藏】</w:t>
      </w:r>
      <w:r>
        <w:rPr>
          <w:rFonts w:ascii="宋体" w:hAnsi="宋体" w:eastAsia="宋体" w:cs="宋体"/>
          <w:spacing w:val="-1"/>
          <w:sz w:val="24"/>
          <w:szCs w:val="24"/>
        </w:rPr>
        <w:t>置阴凉干燥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处。</w:t>
      </w:r>
    </w:p>
    <w:p w14:paraId="34BB7D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3A5A2">
    <w:pPr>
      <w:spacing w:line="176" w:lineRule="auto"/>
      <w:ind w:left="46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8B116">
    <w:pPr>
      <w:spacing w:line="176" w:lineRule="auto"/>
      <w:ind w:left="4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Tg0MWJkYzA3ZWY1YTJmYTVjZWJlYTgxMzg5Y2QifQ=="/>
  </w:docVars>
  <w:rsids>
    <w:rsidRoot w:val="56755D5C"/>
    <w:rsid w:val="16210F44"/>
    <w:rsid w:val="1FB30E90"/>
    <w:rsid w:val="567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1186</Characters>
  <Lines>0</Lines>
  <Paragraphs>0</Paragraphs>
  <TotalTime>3</TotalTime>
  <ScaleCrop>false</ScaleCrop>
  <LinksUpToDate>false</LinksUpToDate>
  <CharactersWithSpaces>1309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2024-09-04T08:57:00Z</dcterms:created>
  <dc:creator>ཟུང་འཇུག</dc:creator>
  <cp:lastModifiedBy>ཟུང་འཇུག</cp:lastModifiedBy>
  <dcterms:modified xsi:type="dcterms:W3CDTF">2024-09-04T09:07:16Z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1FB72C0CF5A44CB9ADAB83F809312351_11</vt:lpwstr>
  </property>
</Properties>
</file>