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864BC">
      <w:pPr>
        <w:spacing w:line="540" w:lineRule="exact"/>
        <w:jc w:val="center"/>
        <w:rPr>
          <w:rFonts w:eastAsia="方正小标宋_GBK"/>
          <w:sz w:val="40"/>
          <w:szCs w:val="40"/>
        </w:rPr>
      </w:pPr>
    </w:p>
    <w:p w14:paraId="20877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44"/>
          <w:szCs w:val="44"/>
          <w:highlight w:val="none"/>
          <w:lang w:val="en-US" w:eastAsia="zh-CN" w:bidi="ar"/>
        </w:rPr>
      </w:pPr>
      <w:r>
        <w:rPr>
          <w:rFonts w:hint="default" w:ascii="Times New Roman" w:hAnsi="Times New Roman" w:eastAsia="方正黑体_GBK" w:cs="Times New Roman"/>
          <w:bCs/>
          <w:kern w:val="0"/>
          <w:sz w:val="32"/>
          <w:szCs w:val="32"/>
          <w:highlight w:val="none"/>
          <w:lang w:val="en-US" w:eastAsia="zh-CN" w:bidi="ar"/>
        </w:rPr>
        <w:t>附件1</w:t>
      </w:r>
    </w:p>
    <w:p w14:paraId="71FED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center"/>
        <w:textAlignment w:val="auto"/>
        <w:rPr>
          <w:rFonts w:hint="default" w:ascii="Times New Roman" w:hAnsi="Times New Roman" w:eastAsia="方正小标宋_GBK" w:cs="Times New Roman"/>
          <w:bCs/>
          <w:kern w:val="0"/>
          <w:sz w:val="44"/>
          <w:szCs w:val="44"/>
          <w:highlight w:val="none"/>
          <w:lang w:val="en-US" w:eastAsia="zh-CN" w:bidi="ar"/>
        </w:rPr>
      </w:pPr>
      <w:r>
        <w:rPr>
          <w:rFonts w:hint="default" w:ascii="Times New Roman" w:hAnsi="Times New Roman" w:eastAsia="方正小标宋_GBK" w:cs="Times New Roman"/>
          <w:bCs/>
          <w:kern w:val="0"/>
          <w:sz w:val="44"/>
          <w:szCs w:val="44"/>
          <w:highlight w:val="none"/>
          <w:lang w:val="en-US" w:eastAsia="zh-CN" w:bidi="ar"/>
        </w:rPr>
        <w:t>重庆市医疗保障定点医疗机构基金监管信用评价指标体系</w:t>
      </w:r>
    </w:p>
    <w:tbl>
      <w:tblPr>
        <w:tblStyle w:val="8"/>
        <w:tblpPr w:leftFromText="180" w:rightFromText="180" w:vertAnchor="text" w:horzAnchor="page" w:tblpXSpec="center" w:tblpY="576"/>
        <w:tblOverlap w:val="never"/>
        <w:tblW w:w="13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273"/>
        <w:gridCol w:w="910"/>
        <w:gridCol w:w="990"/>
        <w:gridCol w:w="850"/>
        <w:gridCol w:w="3881"/>
        <w:gridCol w:w="4610"/>
      </w:tblGrid>
      <w:tr w14:paraId="716F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6FA9BD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序号</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14:paraId="343ED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一级</w:t>
            </w:r>
          </w:p>
          <w:p w14:paraId="6A65A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1F7FC3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二级</w:t>
            </w:r>
          </w:p>
          <w:p w14:paraId="5D3DDC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B5A42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三级</w:t>
            </w:r>
          </w:p>
          <w:p w14:paraId="30C44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2BBE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分值</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2C618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指标释义</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48D3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评分规则</w:t>
            </w:r>
          </w:p>
        </w:tc>
      </w:tr>
      <w:tr w14:paraId="2306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0E1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A2580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协议管理</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6CF8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基础管理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11A00C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变更</w:t>
            </w:r>
          </w:p>
          <w:p w14:paraId="4CABB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申请</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BB20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46C4DF9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医疗机构名称、法定代表人、主要负责人或实际控制人、注册地址、银行账户、诊疗科目、机构规模、机构性质、等级和类别等重大信息变更时，及时向属地医保部门提供相关材料备案，申请变更。</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2BDCF4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规定时间内完成变更备案或当年无变更信息，得满分；</w:t>
            </w:r>
          </w:p>
          <w:p w14:paraId="015A127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变更后未按照相关规定进行变更备案，发现一次扣1分，扣完为止。</w:t>
            </w:r>
          </w:p>
        </w:tc>
      </w:tr>
      <w:tr w14:paraId="7D92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E31E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E10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CCE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77C690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w:t>
            </w:r>
          </w:p>
          <w:p w14:paraId="67A69D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监管</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D822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3D97F2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配合属地医保部门或委托第三方的监督检查，并准确、完整提供医疗服务有关的材料和数据。</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2421E9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配合监督检查提供真实、完整、准确的资料，得满分；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提供资料不及时、不完整、不准确或无法按照规定提供医保监管信息资料，发现一次扣1分，扣完为止。</w:t>
            </w:r>
          </w:p>
        </w:tc>
      </w:tr>
      <w:tr w14:paraId="1173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339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55297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3B1BE6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系统管理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7588A2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系统</w:t>
            </w:r>
          </w:p>
          <w:p w14:paraId="572DF4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对接</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ACCB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2BA26D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医保相关信息按照标准全面、准确、及时、传输至医保信息系统，实现与医保结算系统、监管系统有效对接。</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339C8F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按照规定与医保信息系统进行对接，全面、准确、及时、传输信息并应用，得满分；                                                          </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未按信息编码规则上传数据的，上传信息数据不全面、缺项的，上传信息数据不准确、不规范的，上传信息数据未按时限要求的，发现一次扣1分，扣完为止。</w:t>
            </w:r>
          </w:p>
        </w:tc>
      </w:tr>
      <w:tr w14:paraId="1C26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8BF1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1A984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D10D9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056EC4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w:t>
            </w:r>
          </w:p>
          <w:p w14:paraId="3B896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账表</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40EF7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28F53CF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执行医疗机构财务制度和会计制度，设立完整财务账套，包括总账、现金账、银行账、明细账等；业务往来记录完整，真实反映财务状况。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5149163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按照规定执行医疗机构财务制度和会计制度，按规定保管财务账目、记账凭证、药品和医疗器械出入库记录、盘点表等涉及基金使用的相关资料，得满分；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已建立财务台账，但财务资料不完整的，发现一次扣0.5分，扣完为止；</w:t>
            </w:r>
          </w:p>
          <w:p w14:paraId="026EA1E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未按规定保管财务账目、记账凭证、药品和医疗器械出入库记录、盘点表等涉及基金使用的相关资料，不得分。</w:t>
            </w:r>
          </w:p>
        </w:tc>
      </w:tr>
      <w:tr w14:paraId="46D5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97C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68FDA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40AF7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4ED69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进销存</w:t>
            </w:r>
          </w:p>
          <w:p w14:paraId="030FA5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306C0E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25819F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建立药品及医用材料真实、完整、准确的购销存台账；保存真实完整的购进和使用记录。</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E0444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按规定建立进销存台账或者使用相关信息系统对药品、耗材和医疗器械的进销存信息进行记录，得满分；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建立进销存台账，但药品、耗材和医疗器械信息不完整、不准确，发现一次，扣0.5分，扣完为止；</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未按规定建立进销存台账对药品、耗材和医疗器械的进销存信息进行记录，不得分。</w:t>
            </w:r>
          </w:p>
        </w:tc>
      </w:tr>
      <w:tr w14:paraId="62B3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5FA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CC924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3F86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医疗管理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DEEAA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身份</w:t>
            </w:r>
          </w:p>
          <w:p w14:paraId="39339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识别</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D65B9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027EA3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核验参保人员医疗保障有效凭证，做到人证相符。</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14BFA83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全年未发生冒名就医问题的，得满分；</w:t>
            </w:r>
          </w:p>
          <w:p w14:paraId="427B962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发现冒名就医的，每发现一次扣1分，扣完为止。</w:t>
            </w:r>
          </w:p>
        </w:tc>
      </w:tr>
      <w:tr w14:paraId="4A39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A3DE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CE5DA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8359B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4CA3C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收费</w:t>
            </w:r>
          </w:p>
          <w:p w14:paraId="09B5F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标准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6B441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2538D2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按医疗服务项目和价格收费标准及其说明等规定进行收费，并将收费标准公布在醒目位置。</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5FA8D1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遵守物价政策及物价标准，并执行医疗物价公示制度的得满分；                                                                                                      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违反物价政策及物价标准，以及不按收费标准收费的，每发现一次扣1分，扣完为止。</w:t>
            </w:r>
          </w:p>
        </w:tc>
      </w:tr>
      <w:tr w14:paraId="4041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CEC8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946B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医保监管</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B29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基金</w:t>
            </w:r>
          </w:p>
          <w:p w14:paraId="3F17F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7FC33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14:paraId="38560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结算</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3A069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0999CF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进行医保费用直接结算，提供收费票据（票据需要注明医保基金支付金额）、费用明细和相关资料。</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D6840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不规范开具医保专用票据的或未提供医疗费用查询服务和费用清单的，每发现一次扣0.5分，扣完为止。</w:t>
            </w:r>
          </w:p>
        </w:tc>
      </w:tr>
      <w:tr w14:paraId="4566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E14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9</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7F56DD">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auto"/>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25BD17">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auto"/>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5D415D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追溯码</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4494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4E69B8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全流程记录药品、医用耗材的追溯码信息，并实现相关信息数据可追溯。</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591F2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r>
              <w:rPr>
                <w:rFonts w:hint="eastAsia" w:ascii="Times New Roman" w:hAnsi="Times New Roman" w:eastAsia="方正仿宋_GBK" w:cs="Times New Roman"/>
                <w:i w:val="0"/>
                <w:iCs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color w:val="auto"/>
                <w:kern w:val="0"/>
                <w:sz w:val="24"/>
                <w:szCs w:val="24"/>
                <w:highlight w:val="none"/>
                <w:u w:val="none"/>
                <w:lang w:val="en-US" w:eastAsia="zh-CN" w:bidi="ar"/>
              </w:rPr>
              <w:t>按规定全流程记录追溯码信息的，得满分；</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2</w:t>
            </w:r>
            <w:r>
              <w:rPr>
                <w:rFonts w:hint="eastAsia" w:ascii="Times New Roman" w:hAnsi="Times New Roman" w:eastAsia="方正仿宋_GBK" w:cs="Times New Roman"/>
                <w:i w:val="0"/>
                <w:iCs w:val="0"/>
                <w:color w:val="auto"/>
                <w:kern w:val="0"/>
                <w:sz w:val="24"/>
                <w:szCs w:val="24"/>
                <w:highlight w:val="none"/>
                <w:u w:val="none"/>
                <w:lang w:val="en-US" w:eastAsia="zh-CN" w:bidi="ar"/>
              </w:rPr>
              <w:t>．</w:t>
            </w:r>
            <w:r>
              <w:rPr>
                <w:rFonts w:hint="default" w:ascii="Times New Roman" w:hAnsi="Times New Roman" w:eastAsia="方正仿宋_GBK" w:cs="Times New Roman"/>
                <w:i w:val="0"/>
                <w:iCs w:val="0"/>
                <w:color w:val="auto"/>
                <w:kern w:val="0"/>
                <w:sz w:val="24"/>
                <w:szCs w:val="24"/>
                <w:highlight w:val="none"/>
                <w:u w:val="none"/>
                <w:lang w:val="en-US" w:eastAsia="zh-CN" w:bidi="ar"/>
              </w:rPr>
              <w:t>未按规定记录追溯码信息的，每发现一次扣1分，扣完为止。</w:t>
            </w:r>
          </w:p>
        </w:tc>
      </w:tr>
      <w:tr w14:paraId="499C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2F13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0FCCA3">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DC22D2">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43004D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执行总额预算</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AC4E5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3F62D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年度总额控制预算执行情况。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475E7D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当期总额控制支出发生额/当期总额控制支出预算额*100%（均为总额控制年终清算口径）。年度总额预算目标的80%－105%为标杆，不扣分。当执行总额目标大于105%时，每偏离1%扣0.2分。扣完为止。</w:t>
            </w:r>
          </w:p>
        </w:tc>
      </w:tr>
      <w:tr w14:paraId="2F73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9752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EEBF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基金绩效</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F4A3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14:paraId="476CB7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控制</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B9511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特病月人均费用增幅</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0C2B2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10825B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衡量该院特病患者费用负担情况。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497C95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本年特病月人均费用</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上年特病月人均费用）/上年特病月人均费用*100%；</w:t>
            </w:r>
          </w:p>
          <w:p w14:paraId="3B3185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低于等于0得满分，大于0小于等于0.1得4分，大于0.1小于等于0.2得2分，大于0.2不得分。无2年完整数据的按得分系数0.5计分。</w:t>
            </w:r>
          </w:p>
        </w:tc>
      </w:tr>
      <w:tr w14:paraId="6DE5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438183">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3F3116">
            <w:pPr>
              <w:keepNext w:val="0"/>
              <w:keepLines w:val="0"/>
              <w:pageBreakBefore w:val="0"/>
              <w:widowControl/>
              <w:kinsoku/>
              <w:wordWrap/>
              <w:overflowPunct/>
              <w:topLinePunct w:val="0"/>
              <w:autoSpaceDE/>
              <w:autoSpaceDN/>
              <w:bidi w:val="0"/>
              <w:adjustRightInd/>
              <w:snapToGrid w:val="0"/>
              <w:spacing w:line="36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53519A">
            <w:pPr>
              <w:keepNext w:val="0"/>
              <w:keepLines w:val="0"/>
              <w:pageBreakBefore w:val="0"/>
              <w:widowControl/>
              <w:kinsoku/>
              <w:wordWrap/>
              <w:overflowPunct/>
              <w:topLinePunct w:val="0"/>
              <w:autoSpaceDE/>
              <w:autoSpaceDN/>
              <w:bidi w:val="0"/>
              <w:adjustRightInd/>
              <w:snapToGrid w:val="0"/>
              <w:spacing w:line="36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578BE36">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住院率增幅</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E970BB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2E7BD3FD">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衡量该院为参保人员提供的住院医疗服务量，防止医疗机构门诊住院化。</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153F2AD4">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本期住院率-上期住院率（住院率=住院出院人次/门急诊人次×100％）</w:t>
            </w:r>
          </w:p>
          <w:p w14:paraId="37AD6290">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在对比范围内，按实际值从小到大排列，本辖区内同级医院的中位数为标杆值，不扣分。</w:t>
            </w:r>
          </w:p>
          <w:p w14:paraId="5267E134">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其他数值时，每偏离0.1%扣1分。</w:t>
            </w:r>
          </w:p>
        </w:tc>
      </w:tr>
      <w:tr w14:paraId="4EC7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110C2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13</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3418C5">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47333E">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D4C6F0B">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住院次均费用增幅</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D4151B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42BF35B6">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衡量该住院患者费用负担情况。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6B0FBA73">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本年次均住院费用</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上年次均住院费用）/上年次均住院费用*100%；</w:t>
            </w:r>
          </w:p>
          <w:p w14:paraId="5501CEF6">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低于等于0得满分，大于0小于等于0.1得4分，大于0.1小于等于0.2得2分，大于0.2不得分。</w:t>
            </w:r>
          </w:p>
          <w:p w14:paraId="12F9714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无2年完整数据的按得分系数0.5计分。</w:t>
            </w:r>
          </w:p>
        </w:tc>
      </w:tr>
      <w:tr w14:paraId="70EB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EE73DE">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D7C7F6">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979C34">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3711E871">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住院自费率增长</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93171E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3BDF5781">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衡量该住院患者自费费用负担情况。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1F995A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与前一年相比，每上升0.1个百分点（按四舍五入取整）扣0.5分。扣完为止。</w:t>
            </w:r>
          </w:p>
        </w:tc>
      </w:tr>
      <w:tr w14:paraId="42CD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8BF97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44F84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自律管理</w:t>
            </w: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537F626F">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组织管理与制度建设</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7B8BA9F5">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制度及培训</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2159D25">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77FB3DC">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center"/>
              <w:rPr>
                <w:rFonts w:hint="default" w:ascii="Times New Roman" w:hAnsi="Times New Roman" w:eastAsia="仿宋_GB2312" w:cs="Times New Roman"/>
                <w:sz w:val="32"/>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建立健全定点医疗机构医保管理、费用管控、风险防范、监督检查、考核奖惩等制度，同时组织开展医疗保障基金相关制度、政策和管理要求等业务培训。</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1AE66200">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建立相关管理制度且每半年至少1次对本机构职工进行医保相关法律法规、政策培训，并有培训记录，得满分；</w:t>
            </w:r>
          </w:p>
          <w:p w14:paraId="107BACC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仿宋_GB2312" w:cs="Times New Roman"/>
                <w:sz w:val="32"/>
                <w:szCs w:val="24"/>
                <w:highlight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2.未建立相关制度或不按时对本机构职工进行医保相关法律法规、政策培训的，每发现一次扣1分，扣完为止。</w:t>
            </w:r>
          </w:p>
        </w:tc>
      </w:tr>
      <w:tr w14:paraId="0C88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8EF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16</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56D113">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C526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管理行为</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2B1539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w:t>
            </w:r>
          </w:p>
          <w:p w14:paraId="43E32F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自纠</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F4BF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7C1EEE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定期检查定点医疗机构医保基金使用情况，及时纠正医疗保障基金使用不规范的行为。</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2DDEF8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开展自查自纠，及时报告存在的问题，并主动全额退回违规医保基金的，得满分；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自查自纠不彻底、不全面，未主动全额退回违规医保基金的，每发现一次扣1分，扣完为止。                                                                                             </w:t>
            </w:r>
          </w:p>
        </w:tc>
      </w:tr>
      <w:tr w14:paraId="4DD8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706C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17</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EFD19C">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611EEB">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D88DB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自查自纠费用占比</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076E5E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224F80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评价定点医疗机构医保违规行为自查自纠是否彻底、全面。</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71C221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计算公式：评价年度内自查自纠退回金额/查实的违规金额；</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得分按照分值*自查自纠费用占比计分。</w:t>
            </w:r>
          </w:p>
        </w:tc>
      </w:tr>
      <w:tr w14:paraId="4F98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262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18</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218A99">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8320EF">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3DF3605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举报投诉</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A9FC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742167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网上、信函、电话等投诉查办情况。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4E95E5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涉及本机构的网上、信函、电话投诉等，经查证属实的，1 次扣1分，扣完为止。</w:t>
            </w:r>
          </w:p>
        </w:tc>
      </w:tr>
      <w:tr w14:paraId="0C96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95A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589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违法违规违约</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729B7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一般处理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64CEF6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约谈</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F984F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753AA1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因发生违规行为被医保部门进行约谈。</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360FDE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被医保部门约谈1次扣1分，扣完为止。</w:t>
            </w:r>
          </w:p>
        </w:tc>
      </w:tr>
      <w:tr w14:paraId="59E6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A6A0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20</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C42074">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527B7C">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5F42D2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限期</w:t>
            </w:r>
          </w:p>
          <w:p w14:paraId="13335E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整改</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0B5D1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01222F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因发生违规行为被医保部门要求限期整改。</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217D94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被责令限期整改1次，扣1.5分，扣完为止。</w:t>
            </w:r>
          </w:p>
        </w:tc>
      </w:tr>
      <w:tr w14:paraId="4D25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5AA2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D6666C">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1BDCA6">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3A7ABB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通报</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8A91F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5102AE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因发生违规行为被医保部门进行通报。</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2043E45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每被医保部门通报1例扣1分，扣完为止。</w:t>
            </w:r>
          </w:p>
        </w:tc>
      </w:tr>
      <w:tr w14:paraId="5551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FF58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DB2DA1">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0111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协议处理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12C5C2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p w14:paraId="73CB65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47556B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756C617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color w:val="000000"/>
                <w:kern w:val="0"/>
                <w:sz w:val="24"/>
                <w:szCs w:val="24"/>
                <w:highlight w:val="none"/>
                <w:u w:val="none"/>
                <w:lang w:val="en-US" w:eastAsia="zh-CN" w:bidi="ar"/>
              </w:rPr>
              <w:t>被医保部门给予协议处理情况</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2AC840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color w:val="000000"/>
                <w:kern w:val="0"/>
                <w:sz w:val="24"/>
                <w:szCs w:val="24"/>
                <w:highlight w:val="none"/>
                <w:u w:val="none"/>
                <w:lang w:val="en-US" w:eastAsia="zh-CN" w:bidi="ar"/>
              </w:rPr>
              <w:t>每被医保经办机构给予协议处理一次，扣1</w:t>
            </w:r>
            <w:r>
              <w:rPr>
                <w:rFonts w:hint="eastAsia" w:ascii="Times New Roman" w:hAnsi="Times New Roman" w:eastAsia="方正仿宋_GBK" w:cs="Times New Roman"/>
                <w:color w:val="000000"/>
                <w:kern w:val="0"/>
                <w:sz w:val="24"/>
                <w:szCs w:val="24"/>
                <w:highlight w:val="none"/>
                <w:u w:val="none"/>
                <w:lang w:val="en-US" w:eastAsia="zh-CN" w:bidi="ar"/>
              </w:rPr>
              <w:t>分</w:t>
            </w:r>
            <w:r>
              <w:rPr>
                <w:rFonts w:hint="default" w:ascii="Times New Roman" w:hAnsi="Times New Roman" w:eastAsia="方正仿宋_GBK" w:cs="Times New Roman"/>
                <w:color w:val="000000"/>
                <w:kern w:val="0"/>
                <w:sz w:val="24"/>
                <w:szCs w:val="24"/>
                <w:highlight w:val="none"/>
                <w:u w:val="none"/>
                <w:lang w:val="en-US" w:eastAsia="zh-CN" w:bidi="ar"/>
              </w:rPr>
              <w:t>。</w:t>
            </w:r>
          </w:p>
        </w:tc>
      </w:tr>
      <w:tr w14:paraId="5424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AB61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23</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9D0FAA">
            <w:pPr>
              <w:keepNext w:val="0"/>
              <w:keepLines w:val="0"/>
              <w:pageBreakBefore w:val="0"/>
              <w:widowControl/>
              <w:kinsoku/>
              <w:wordWrap/>
              <w:overflowPunct/>
              <w:topLinePunct w:val="0"/>
              <w:autoSpaceDE/>
              <w:autoSpaceDN/>
              <w:bidi w:val="0"/>
              <w:adjustRightInd/>
              <w:snapToGrid/>
              <w:spacing w:line="440" w:lineRule="exact"/>
              <w:jc w:val="both"/>
              <w:rPr>
                <w:rFonts w:hint="default" w:ascii="Times New Roman" w:hAnsi="Times New Roman" w:eastAsia="方正仿宋_GBK" w:cs="Times New Roman"/>
                <w:i w:val="0"/>
                <w:iCs w:val="0"/>
                <w:color w:val="000000"/>
                <w:sz w:val="24"/>
                <w:szCs w:val="24"/>
                <w:highlight w:val="none"/>
                <w:u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8F77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bidi="ar"/>
              </w:rPr>
            </w:pP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164D0D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中止</w:t>
            </w:r>
          </w:p>
          <w:p w14:paraId="1284BB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119999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0F63B79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因发生违规行为被医保部门中止协议。</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124F537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暂停医保服务协议月数累计≤3个月扣2分；＞3个月且≤6个月扣4分；＞6个月扣6分。</w:t>
            </w:r>
          </w:p>
        </w:tc>
      </w:tr>
      <w:tr w14:paraId="4081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D85E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748CCF">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0ED529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行政处罚</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73E6C8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w:t>
            </w:r>
          </w:p>
          <w:p w14:paraId="3C349C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处罚</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F5D12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6F0FC66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被医保部门给予行政处罚情况。</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76A43E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每被医保行政部门给予行政处罚一次，扣2分。</w:t>
            </w:r>
          </w:p>
        </w:tc>
      </w:tr>
      <w:tr w14:paraId="0DA0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C207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25</w:t>
            </w:r>
          </w:p>
        </w:tc>
        <w:tc>
          <w:tcPr>
            <w:tcW w:w="127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CA2899">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iCs w:val="0"/>
                <w:color w:val="000000"/>
                <w:sz w:val="24"/>
                <w:szCs w:val="24"/>
                <w:highlight w:val="none"/>
                <w:u w:val="none"/>
              </w:rPr>
            </w:pPr>
          </w:p>
        </w:tc>
        <w:tc>
          <w:tcPr>
            <w:tcW w:w="910" w:type="dxa"/>
            <w:tcBorders>
              <w:top w:val="single" w:color="auto" w:sz="4" w:space="0"/>
              <w:left w:val="single" w:color="auto" w:sz="4" w:space="0"/>
              <w:bottom w:val="single" w:color="auto" w:sz="4" w:space="0"/>
              <w:right w:val="single" w:color="auto" w:sz="4" w:space="0"/>
            </w:tcBorders>
            <w:shd w:val="clear" w:color="auto" w:fill="FFFFFF"/>
            <w:vAlign w:val="center"/>
          </w:tcPr>
          <w:p w14:paraId="012C87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费用处理</w:t>
            </w:r>
          </w:p>
        </w:tc>
        <w:tc>
          <w:tcPr>
            <w:tcW w:w="990" w:type="dxa"/>
            <w:tcBorders>
              <w:top w:val="single" w:color="auto" w:sz="4" w:space="0"/>
              <w:left w:val="single" w:color="auto" w:sz="4" w:space="0"/>
              <w:bottom w:val="single" w:color="auto" w:sz="4" w:space="0"/>
              <w:right w:val="single" w:color="auto" w:sz="4" w:space="0"/>
            </w:tcBorders>
            <w:shd w:val="clear" w:color="auto" w:fill="FFFFFF"/>
            <w:vAlign w:val="center"/>
          </w:tcPr>
          <w:p w14:paraId="5959E04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追回、拒付费用占比</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778BAE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3881" w:type="dxa"/>
            <w:tcBorders>
              <w:top w:val="single" w:color="auto" w:sz="4" w:space="0"/>
              <w:left w:val="single" w:color="auto" w:sz="4" w:space="0"/>
              <w:bottom w:val="single" w:color="auto" w:sz="4" w:space="0"/>
              <w:right w:val="single" w:color="auto" w:sz="4" w:space="0"/>
            </w:tcBorders>
            <w:shd w:val="clear" w:color="auto" w:fill="FFFFFF"/>
            <w:vAlign w:val="center"/>
          </w:tcPr>
          <w:p w14:paraId="0369FE5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对定点医疗机构医保违规行为的处理方式，对已支付的本金追回，对未支付的本金不再支付。</w:t>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536411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计算公式：追回、拒付费用/医保总额费用；</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低优指标，指标为0得满分，[0-2%]得5分，每增加1%扣1分，扣完为止。</w:t>
            </w:r>
          </w:p>
        </w:tc>
      </w:tr>
      <w:tr w14:paraId="07CB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3F1F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6</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14:paraId="3C5952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奖励加分</w:t>
            </w:r>
          </w:p>
        </w:tc>
        <w:tc>
          <w:tcPr>
            <w:tcW w:w="9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2479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24AC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F7AE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8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D35763">
            <w:pPr>
              <w:keepNext w:val="0"/>
              <w:keepLines w:val="0"/>
              <w:pageBreakBefore w:val="0"/>
              <w:widowControl/>
              <w:suppressLineNumbers w:val="0"/>
              <w:tabs>
                <w:tab w:val="left" w:pos="4107"/>
              </w:tabs>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举报欺诈骗保有重大贡献的；开展或对医疗保障管理创新性工作的提出意见建议被医保部门采纳的；受到市级以上医保部门表扬嘉奖并取得一定成果的；其他情况经医保部门考察核实情况属实并经上会研究一致同意通过的。</w:t>
            </w:r>
            <w:r>
              <w:rPr>
                <w:rFonts w:hint="default" w:ascii="Times New Roman" w:hAnsi="Times New Roman" w:eastAsia="方正仿宋_GBK" w:cs="Times New Roman"/>
                <w:i w:val="0"/>
                <w:iCs w:val="0"/>
                <w:color w:val="000000"/>
                <w:kern w:val="0"/>
                <w:sz w:val="24"/>
                <w:szCs w:val="24"/>
                <w:highlight w:val="none"/>
                <w:u w:val="none"/>
                <w:lang w:val="en-US" w:eastAsia="zh-CN" w:bidi="ar"/>
              </w:rPr>
              <w:tab/>
            </w:r>
          </w:p>
        </w:tc>
        <w:tc>
          <w:tcPr>
            <w:tcW w:w="4610" w:type="dxa"/>
            <w:tcBorders>
              <w:top w:val="single" w:color="auto" w:sz="4" w:space="0"/>
              <w:left w:val="single" w:color="auto" w:sz="4" w:space="0"/>
              <w:bottom w:val="single" w:color="auto" w:sz="4" w:space="0"/>
              <w:right w:val="single" w:color="auto" w:sz="4" w:space="0"/>
            </w:tcBorders>
            <w:shd w:val="clear" w:color="auto" w:fill="FFFFFF"/>
            <w:vAlign w:val="center"/>
          </w:tcPr>
          <w:p w14:paraId="04C218D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本项目为附加项，每次加1-2分，累计不超过5分。</w:t>
            </w:r>
          </w:p>
        </w:tc>
      </w:tr>
    </w:tbl>
    <w:p w14:paraId="4AB3C9AD">
      <w:pPr>
        <w:rPr>
          <w:vanish/>
          <w:sz w:val="21"/>
        </w:rPr>
      </w:pPr>
      <w:bookmarkStart w:id="0" w:name="_GoBack"/>
      <w:bookmarkEnd w:id="0"/>
    </w:p>
    <w:sectPr>
      <w:headerReference r:id="rId3" w:type="default"/>
      <w:footerReference r:id="rId4" w:type="default"/>
      <w:pgSz w:w="16838" w:h="11906" w:orient="landscape"/>
      <w:pgMar w:top="1848" w:right="1474" w:bottom="1962"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A50F">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B5DF9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14:paraId="50B5DF9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0F35">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14:paraId="5F176D24">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highlight w:val="yellow"/>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2473CE8"/>
    <w:rsid w:val="0373439E"/>
    <w:rsid w:val="05E13F99"/>
    <w:rsid w:val="06107982"/>
    <w:rsid w:val="069B5865"/>
    <w:rsid w:val="08FE7C34"/>
    <w:rsid w:val="09013BBB"/>
    <w:rsid w:val="09C724A7"/>
    <w:rsid w:val="0B195B80"/>
    <w:rsid w:val="0CAE57ED"/>
    <w:rsid w:val="12151845"/>
    <w:rsid w:val="121E57D3"/>
    <w:rsid w:val="16D81DB6"/>
    <w:rsid w:val="174775C1"/>
    <w:rsid w:val="19F26BB1"/>
    <w:rsid w:val="1A70030D"/>
    <w:rsid w:val="1A7754F8"/>
    <w:rsid w:val="1B0753E2"/>
    <w:rsid w:val="1B4E30E0"/>
    <w:rsid w:val="1C03787B"/>
    <w:rsid w:val="1F66431E"/>
    <w:rsid w:val="1F6B6086"/>
    <w:rsid w:val="1FF2314D"/>
    <w:rsid w:val="21827243"/>
    <w:rsid w:val="218311BE"/>
    <w:rsid w:val="250948EB"/>
    <w:rsid w:val="261C1009"/>
    <w:rsid w:val="26FE3319"/>
    <w:rsid w:val="27116A61"/>
    <w:rsid w:val="27851AC3"/>
    <w:rsid w:val="2B1D7252"/>
    <w:rsid w:val="2B372E74"/>
    <w:rsid w:val="2BC52E85"/>
    <w:rsid w:val="2BD5531C"/>
    <w:rsid w:val="2C0679BF"/>
    <w:rsid w:val="2C7F7FAF"/>
    <w:rsid w:val="2DEC6BE5"/>
    <w:rsid w:val="2E593E6B"/>
    <w:rsid w:val="2FBD190A"/>
    <w:rsid w:val="314372AE"/>
    <w:rsid w:val="31667E06"/>
    <w:rsid w:val="324E1D58"/>
    <w:rsid w:val="32DA5548"/>
    <w:rsid w:val="335B486B"/>
    <w:rsid w:val="369E4EAA"/>
    <w:rsid w:val="3AB15203"/>
    <w:rsid w:val="3CC11305"/>
    <w:rsid w:val="3E8C7CCF"/>
    <w:rsid w:val="3FBA347C"/>
    <w:rsid w:val="405A52A3"/>
    <w:rsid w:val="408C7DD5"/>
    <w:rsid w:val="40CB1594"/>
    <w:rsid w:val="4233268C"/>
    <w:rsid w:val="43350544"/>
    <w:rsid w:val="44897362"/>
    <w:rsid w:val="44BE37CF"/>
    <w:rsid w:val="45A537EA"/>
    <w:rsid w:val="464D005F"/>
    <w:rsid w:val="4A280732"/>
    <w:rsid w:val="4A9F2515"/>
    <w:rsid w:val="4D3B4FB8"/>
    <w:rsid w:val="4D932037"/>
    <w:rsid w:val="4E5F467B"/>
    <w:rsid w:val="53AD1103"/>
    <w:rsid w:val="54E36229"/>
    <w:rsid w:val="554B02CC"/>
    <w:rsid w:val="580C22FF"/>
    <w:rsid w:val="58725B91"/>
    <w:rsid w:val="589B50B4"/>
    <w:rsid w:val="59312802"/>
    <w:rsid w:val="5BEE4C02"/>
    <w:rsid w:val="5BFF151F"/>
    <w:rsid w:val="5EDC003E"/>
    <w:rsid w:val="5F78236B"/>
    <w:rsid w:val="602461BE"/>
    <w:rsid w:val="6314426C"/>
    <w:rsid w:val="699A3F3C"/>
    <w:rsid w:val="6CE3152F"/>
    <w:rsid w:val="6CF5407A"/>
    <w:rsid w:val="6FAC2205"/>
    <w:rsid w:val="7874644F"/>
    <w:rsid w:val="791E0F5E"/>
    <w:rsid w:val="7B1A16F5"/>
    <w:rsid w:val="7C312D81"/>
    <w:rsid w:val="7CCA0390"/>
    <w:rsid w:val="7D630010"/>
    <w:rsid w:val="7EE028D5"/>
    <w:rsid w:val="7F47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Pages>
  <Words>2793</Words>
  <Characters>2882</Characters>
  <Lines>6</Lines>
  <Paragraphs>1</Paragraphs>
  <TotalTime>7</TotalTime>
  <ScaleCrop>false</ScaleCrop>
  <LinksUpToDate>false</LinksUpToDate>
  <CharactersWithSpaces>3137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阳阳</cp:lastModifiedBy>
  <cp:lastPrinted>2023-03-10T07:08:00Z</cp:lastPrinted>
  <dcterms:modified xsi:type="dcterms:W3CDTF">2025-08-18T07:51:52Z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091FC692A10E49DF907AF19DCFA98AB9_13</vt:lpwstr>
  </property>
  <property fmtid="{D5CDD505-2E9C-101B-9397-08002B2CF9AE}" pid="4" name="KSOTemplateDocerSaveRecord">
    <vt:lpwstr>eyJoZGlkIjoiMTgyY2Y5Y2UxZjkwY2NiYzg1MTM4ZmQzOTFhYWJhY2IiLCJ1c2VySWQiOiI5OTIzMDQxMTAifQ==</vt:lpwstr>
  </property>
</Properties>
</file>