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县域卫生健康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综合改革培训基地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/>
        </w:rPr>
        <w:t>(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为贯彻落实国家和省委、省政府关于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县域卫生健康综合改革的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部署要求，深入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推进全省县域卫生健康综合改革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，结合我省实际，制订本办法。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第一章　认定范围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第一条　本办法所称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县域卫生健康综合改革培训基地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，是指经由省卫生健康委员会部门（以下简称省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卫健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部门）认定，以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县域卫生健康综合改革培训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为重要培训内容，具有较为健全的培训体系、培训工作成绩突出、效果显著的培训机构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职业技能实训基地。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第二条　申报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县域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综合改革培训基地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由县级卫生健康部门提起申请，市级卫生健康部门审核推荐，省卫生健康委遴选确定。培训基地挂靠单位应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  <w:t>在本省行政区域内注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  <w:t>册并具有独立法人资格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  <w:t>依法缴纳社会保险费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  <w:t>近三年内未发生因拖欠工资等原因引发的群体性事件或突发事件，无不良征信和违法行为记录；拥有开展职业教育或培训的师资、场所、实训基地和相应设施设备，并符合国家建设和安全标准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  <w:t>具备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国家授予行业技能培训资质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  <w:t>申报县域卫生健康综合改革培训基地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应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  <w:t>符合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1.卫生健康领域条件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（1）获得国家级卫生健康领域试点（试验区）称号的市（州）或县（市、区）；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（2）组建紧密型医共体且达到《贵州省紧密型县域医共体建设评判标准(试行)》认定标准、并进入实质运行的县(市、区)；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（3）改革成效显著，获得过国家级卫生健康领域改革奖励、表彰或激励通报；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4）医疗卫生服务体系健全，所在的县域医疗资源具有示范作用，可作为综合医改示范作用现场教学点。县级龙头医院达三级及以上水平、拥有2家及以上县域医疗次中心、基层医疗卫生机构100%达到“优质服务基层行”基本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2.培训机构条件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具有国家授予行业技能培训资质，遵守国家职业培训法律法规，熟悉国家职业教育方针，拥有医疗行业特色培训资源或具有3年以上培训经验的单位或企业；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具备相对独立的培训场地，面积一般不低于500平方米，具有实训室、理论教室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住宿、食堂等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必要设施，符合安全、消防、环保等标准。同期培训能力不低于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00人；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师资队伍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雄厚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拥有含党的建设、深化医药卫生体制改革、基层卫生综合改革、基层医防融合、现代医院管理、卫生健康事业发展等方向的师资力量；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4）课程设置科学合理，申报基地教学资源丰富，需拥有反映红色文化和红医文化的医疗卫生类革命场馆。可开展党建、政治、医疗卫生等专题的理论和现场培训，配套课程不少于30门，其医疗卫生行业类专题课程不少于10门，现场教学路线不少于4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管理制度健全，内部管理规范，培训质量较高，社会信誉较好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第二章　认定程序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第三条　申报。符合基本条件和专业条件的单位可提出申请。有关申报材料如下：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（一）县域卫生健康综合改革培训基地申报书；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（二）基地师资情况表；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（三）单位统一社会信用代码证；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（四）单位法人身份证复印件；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（五）无不良征信（系统核查）和违法行为承诺书；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（六）申报单位文字材料（加盖单位公章）。内容包括单位简介、开展培训工作的特色、成绩和亮点（1500字以内）。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第四条　审核。卫健部门收到申报材料后，在15个工作日内进行审核。对申报资料不齐全或者不符合规定形式的，一次性告知申报单位需补正的材料内容，无正当理由超过15个工作日未补正的，视为放弃申报，卫健部门将申报资料退回申报单位。对超过受理时限申报的，卫健部门不予受理，申报单位可按规定参加下一次的申报。对不符合认定条件的，告知其不符合的原因，并将申报资料退回申报单位。对符合条件的，由地级以上市卫健部门开展实地核查和评审，并在《申报书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加具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审核意见，上报省卫健部门。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第五条  设立市（州）基地评审和管理小组。在市（州）卫生健康局设立县域卫生健康综合改革培训基地评审和管理小组（以下简称“基地评审和管理小组”），由市（州）卫生健康局分管领导任基地评审和管理小组组长，相关处室负责人担任组员，具体工作由市（州）卫健局组织实施。主要职责：组织评审县域卫生健康综合改革培训基地；指导、监督行业内人员培训的组织实施；基地的管理和协调、落实工作执行中的其它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第六条　认定。卫健部门收到申报材料后，市（州）基地评审和管理小组按公平公正公开，以及优中选优的原则进行评审。对拟认定为县域卫生健康综合改革培训基地的，报省卫健部门审核备案，省卫生健康部门审核备案后复核要求的，在省卫健部门门户网站或省级媒体公示5个工作日。公示无异议的，省卫健部门行文公布，并授予县域卫生健康综合改革培训基地铭牌。公示过程中如产生异议，经核实确不符合相关条件的，提出整改意见，退回市（州）卫健部门。经核实异议不成立的，省卫健部门按规定行文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第七条　违规申报责任。对审核和评审过程中发现提交虚假申报材料的单位，自发现之日起2年内取消其申报资格。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第三章　资格管理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条　复检机制。凡上年度认定为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县域卫生健康综合改革培训基地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的，在基地被认定后的第二个年度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开始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每年度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）卫健部门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进行复评检验。检验合格的，提请省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卫健部门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加具本年度年检合格意见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条　退出机制。经认定的基地实行动态管理，评审结束后发现基地存在虚报数据或伪造有关材料取得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县域卫生健康综合改革培训基地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资格的，由市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（州）卫健部门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提请省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卫健部门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取消其资格。对涉及违法违纪的人员，一律依照有关规定严肃处理，涉嫌犯罪的，依法移送司法机关追究法律责任。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复评检验时发现基地原参评时符合条件，但后续已不符合本办法相关规定时，由市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（州）卫健部门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提请省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卫健部门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取消其后续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县域卫生健康综合改革培训基地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章　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第十一条　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8"/>
          <w:szCs w:val="28"/>
          <w:lang w:eastAsia="zh-CN"/>
        </w:rPr>
        <w:t>市（州）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卫健部门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可参考以上基本条件和程序，结合当地实际制定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8"/>
          <w:szCs w:val="28"/>
          <w:lang w:eastAsia="zh-CN"/>
        </w:rPr>
        <w:t>本级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卫生健康县域综合改革培训基地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认定管理的具体实施细则。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第十二条　本办法自202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日起实施，由省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卫健部门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负责解释。相关法律政策依据变化或有效期届满根据实施情况依法评价修订。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sectPr>
      <w:footerReference r:id="rId3" w:type="default"/>
      <w:pgSz w:w="11906" w:h="16838"/>
      <w:pgMar w:top="1587" w:right="1417" w:bottom="1474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ODM2ZmIwNjczZjJjYTkxZTIwNmJmNDg2MjE1YmIifQ=="/>
    <w:docVar w:name="KY_MEDREF_DOCUID" w:val="{EE123E6D-BAE2-45C9-8212-753DEC2085A4}"/>
    <w:docVar w:name="KY_MEDREF_VERSION" w:val="3"/>
  </w:docVars>
  <w:rsids>
    <w:rsidRoot w:val="3D8A10BF"/>
    <w:rsid w:val="004D28F1"/>
    <w:rsid w:val="00582A85"/>
    <w:rsid w:val="00FF094B"/>
    <w:rsid w:val="08125054"/>
    <w:rsid w:val="0A441655"/>
    <w:rsid w:val="0C0F6BFE"/>
    <w:rsid w:val="0C2008BD"/>
    <w:rsid w:val="0C3B22DC"/>
    <w:rsid w:val="11B4046A"/>
    <w:rsid w:val="12714369"/>
    <w:rsid w:val="13D61BD2"/>
    <w:rsid w:val="1764001D"/>
    <w:rsid w:val="1DA62AB3"/>
    <w:rsid w:val="1F9F20EA"/>
    <w:rsid w:val="275E0ACE"/>
    <w:rsid w:val="27671B32"/>
    <w:rsid w:val="28483622"/>
    <w:rsid w:val="2D5C3E09"/>
    <w:rsid w:val="2E766C7E"/>
    <w:rsid w:val="33945727"/>
    <w:rsid w:val="3C516CC1"/>
    <w:rsid w:val="3D8A10BF"/>
    <w:rsid w:val="422C7326"/>
    <w:rsid w:val="434B2D60"/>
    <w:rsid w:val="44F25523"/>
    <w:rsid w:val="479753C8"/>
    <w:rsid w:val="49E83C0A"/>
    <w:rsid w:val="4D380DAE"/>
    <w:rsid w:val="55AEB8E1"/>
    <w:rsid w:val="566E3FE9"/>
    <w:rsid w:val="58E16B63"/>
    <w:rsid w:val="58F246FB"/>
    <w:rsid w:val="5C7E5259"/>
    <w:rsid w:val="64637FF1"/>
    <w:rsid w:val="64BD77A0"/>
    <w:rsid w:val="69DA2765"/>
    <w:rsid w:val="6C993542"/>
    <w:rsid w:val="6D24486A"/>
    <w:rsid w:val="72924BDC"/>
    <w:rsid w:val="77FFA0FB"/>
    <w:rsid w:val="792A003C"/>
    <w:rsid w:val="7A2038CD"/>
    <w:rsid w:val="7CA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2024-01-11T18:05:00Z</dcterms:created>
  <dc:creator>210</dc:creator>
  <cp:lastModifiedBy>Administrator</cp:lastModifiedBy>
  <dcterms:modified xsi:type="dcterms:W3CDTF">2024-02-26T08:26:58Z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75D477B668F642C9BFB6C971D52DA9DC</vt:lpwstr>
  </property>
</Properties>
</file>