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4A999">
      <w:pPr>
        <w:keepNext w:val="0"/>
        <w:keepLines w:val="0"/>
        <w:pageBreakBefore w:val="0"/>
        <w:widowControl/>
        <w:suppressLineNumbers w:val="0"/>
        <w:kinsoku/>
        <w:overflowPunct/>
        <w:topLinePunct w:val="0"/>
        <w:autoSpaceDE/>
        <w:autoSpaceDN/>
        <w:bidi w:val="0"/>
        <w:adjustRightInd/>
        <w:snapToGrid/>
        <w:spacing w:line="240" w:lineRule="auto"/>
        <w:ind w:left="0" w:leftChars="0"/>
        <w:jc w:val="center"/>
        <w:textAlignment w:val="auto"/>
        <w:rPr>
          <w:rFonts w:hint="eastAsia" w:asciiTheme="majorEastAsia" w:hAnsiTheme="majorEastAsia" w:eastAsiaTheme="majorEastAsia"/>
          <w:b/>
          <w:bCs/>
          <w:color w:val="auto"/>
          <w:sz w:val="44"/>
          <w:szCs w:val="44"/>
        </w:rPr>
      </w:pPr>
    </w:p>
    <w:p w14:paraId="4AEFEA3B">
      <w:pPr>
        <w:keepNext w:val="0"/>
        <w:keepLines w:val="0"/>
        <w:pageBreakBefore w:val="0"/>
        <w:widowControl/>
        <w:suppressLineNumbers w:val="0"/>
        <w:kinsoku/>
        <w:overflowPunct/>
        <w:topLinePunct w:val="0"/>
        <w:autoSpaceDE/>
        <w:autoSpaceDN/>
        <w:bidi w:val="0"/>
        <w:adjustRightInd/>
        <w:snapToGrid/>
        <w:spacing w:line="240" w:lineRule="auto"/>
        <w:ind w:left="0" w:leftChars="0"/>
        <w:jc w:val="center"/>
        <w:textAlignment w:val="auto"/>
        <w:rPr>
          <w:rFonts w:hint="eastAsia" w:asciiTheme="majorEastAsia" w:hAnsiTheme="majorEastAsia" w:eastAsiaTheme="majorEastAsia"/>
          <w:b/>
          <w:bCs/>
          <w:color w:val="auto"/>
          <w:sz w:val="44"/>
          <w:szCs w:val="44"/>
        </w:rPr>
      </w:pPr>
    </w:p>
    <w:p w14:paraId="5BF4CE51">
      <w:pPr>
        <w:keepNext w:val="0"/>
        <w:keepLines w:val="0"/>
        <w:pageBreakBefore w:val="0"/>
        <w:widowControl/>
        <w:suppressLineNumbers w:val="0"/>
        <w:kinsoku/>
        <w:overflowPunct/>
        <w:topLinePunct w:val="0"/>
        <w:autoSpaceDE/>
        <w:autoSpaceDN/>
        <w:bidi w:val="0"/>
        <w:adjustRightInd/>
        <w:snapToGrid/>
        <w:spacing w:line="240" w:lineRule="auto"/>
        <w:ind w:left="0" w:leftChars="0"/>
        <w:jc w:val="center"/>
        <w:textAlignment w:val="auto"/>
        <w:rPr>
          <w:rFonts w:hint="eastAsia" w:asciiTheme="majorEastAsia" w:hAnsiTheme="majorEastAsia" w:eastAsiaTheme="majorEastAsia"/>
          <w:b/>
          <w:bCs/>
          <w:color w:val="auto"/>
          <w:sz w:val="44"/>
          <w:szCs w:val="44"/>
        </w:rPr>
      </w:pPr>
    </w:p>
    <w:p w14:paraId="5EBD23D0">
      <w:pPr>
        <w:keepNext w:val="0"/>
        <w:keepLines w:val="0"/>
        <w:pageBreakBefore w:val="0"/>
        <w:widowControl/>
        <w:suppressLineNumbers w:val="0"/>
        <w:kinsoku/>
        <w:overflowPunct/>
        <w:topLinePunct w:val="0"/>
        <w:autoSpaceDE/>
        <w:autoSpaceDN/>
        <w:bidi w:val="0"/>
        <w:adjustRightInd/>
        <w:snapToGrid/>
        <w:spacing w:line="240" w:lineRule="auto"/>
        <w:ind w:left="0" w:leftChars="0"/>
        <w:jc w:val="center"/>
        <w:textAlignment w:val="auto"/>
        <w:rPr>
          <w:rFonts w:hint="eastAsia" w:asciiTheme="majorEastAsia" w:hAnsiTheme="majorEastAsia" w:eastAsiaTheme="majorEastAsia"/>
          <w:b/>
          <w:bCs/>
          <w:color w:val="auto"/>
          <w:sz w:val="44"/>
          <w:szCs w:val="44"/>
        </w:rPr>
      </w:pPr>
    </w:p>
    <w:p w14:paraId="60446529">
      <w:pPr>
        <w:keepNext w:val="0"/>
        <w:keepLines w:val="0"/>
        <w:pageBreakBefore w:val="0"/>
        <w:widowControl w:val="0"/>
        <w:kinsoku/>
        <w:wordWrap/>
        <w:overflowPunct/>
        <w:topLinePunct w:val="0"/>
        <w:autoSpaceDE w:val="0"/>
        <w:autoSpaceDN w:val="0"/>
        <w:bidi w:val="0"/>
        <w:adjustRightInd/>
        <w:snapToGrid/>
        <w:spacing w:line="800" w:lineRule="exact"/>
        <w:jc w:val="center"/>
        <w:textAlignment w:val="auto"/>
        <w:rPr>
          <w:rFonts w:hint="eastAsia" w:ascii="宋体" w:hAnsi="宋体" w:eastAsia="宋体" w:cs="方正小标宋简体"/>
          <w:b/>
          <w:bCs/>
          <w:color w:val="auto"/>
          <w:kern w:val="0"/>
          <w:sz w:val="70"/>
          <w:szCs w:val="70"/>
          <w:highlight w:val="none"/>
          <w:u w:val="none"/>
          <w:lang w:val="en-US" w:bidi="zh-CN"/>
        </w:rPr>
      </w:pPr>
      <w:r>
        <w:rPr>
          <w:rFonts w:hint="eastAsia" w:ascii="宋体" w:hAnsi="宋体" w:eastAsia="宋体" w:cs="方正小标宋简体"/>
          <w:b/>
          <w:bCs/>
          <w:color w:val="auto"/>
          <w:kern w:val="0"/>
          <w:sz w:val="70"/>
          <w:szCs w:val="70"/>
          <w:highlight w:val="none"/>
          <w:u w:val="none"/>
          <w:lang w:val="en-US" w:bidi="zh-CN"/>
        </w:rPr>
        <w:t>河北省</w:t>
      </w:r>
    </w:p>
    <w:p w14:paraId="1650F907">
      <w:pPr>
        <w:keepNext w:val="0"/>
        <w:keepLines w:val="0"/>
        <w:pageBreakBefore w:val="0"/>
        <w:widowControl w:val="0"/>
        <w:kinsoku/>
        <w:wordWrap/>
        <w:overflowPunct/>
        <w:topLinePunct w:val="0"/>
        <w:autoSpaceDE w:val="0"/>
        <w:autoSpaceDN w:val="0"/>
        <w:bidi w:val="0"/>
        <w:adjustRightInd/>
        <w:snapToGrid/>
        <w:spacing w:line="800" w:lineRule="exact"/>
        <w:jc w:val="center"/>
        <w:textAlignment w:val="auto"/>
        <w:rPr>
          <w:rFonts w:hint="eastAsia" w:ascii="宋体" w:hAnsi="宋体" w:eastAsia="宋体" w:cs="方正小标宋简体"/>
          <w:b/>
          <w:bCs/>
          <w:color w:val="auto"/>
          <w:kern w:val="0"/>
          <w:sz w:val="70"/>
          <w:szCs w:val="70"/>
          <w:highlight w:val="none"/>
          <w:u w:val="none"/>
          <w:lang w:val="en-US" w:bidi="zh-CN"/>
        </w:rPr>
      </w:pPr>
      <w:r>
        <w:rPr>
          <w:rFonts w:hint="eastAsia" w:ascii="宋体" w:hAnsi="宋体" w:eastAsia="宋体" w:cs="方正小标宋简体"/>
          <w:b/>
          <w:bCs/>
          <w:color w:val="auto"/>
          <w:kern w:val="0"/>
          <w:sz w:val="70"/>
          <w:szCs w:val="70"/>
          <w:highlight w:val="none"/>
          <w:u w:val="none"/>
          <w:lang w:val="en-US" w:eastAsia="zh-CN" w:bidi="zh-CN"/>
        </w:rPr>
        <w:t>血液透析浓缩物</w:t>
      </w:r>
      <w:r>
        <w:rPr>
          <w:rFonts w:hint="eastAsia" w:ascii="宋体" w:hAnsi="宋体" w:eastAsia="宋体" w:cs="方正小标宋简体"/>
          <w:b/>
          <w:bCs/>
          <w:color w:val="auto"/>
          <w:kern w:val="0"/>
          <w:sz w:val="70"/>
          <w:szCs w:val="70"/>
          <w:highlight w:val="none"/>
          <w:u w:val="none"/>
          <w:lang w:val="en-US" w:bidi="zh-CN"/>
        </w:rPr>
        <w:t>带量联动</w:t>
      </w:r>
    </w:p>
    <w:p w14:paraId="0993EB26">
      <w:pPr>
        <w:keepNext w:val="0"/>
        <w:keepLines w:val="0"/>
        <w:pageBreakBefore w:val="0"/>
        <w:widowControl w:val="0"/>
        <w:kinsoku/>
        <w:wordWrap/>
        <w:overflowPunct/>
        <w:topLinePunct w:val="0"/>
        <w:autoSpaceDE w:val="0"/>
        <w:autoSpaceDN w:val="0"/>
        <w:bidi w:val="0"/>
        <w:adjustRightInd/>
        <w:snapToGrid/>
        <w:spacing w:line="800" w:lineRule="exact"/>
        <w:jc w:val="center"/>
        <w:textAlignment w:val="auto"/>
        <w:rPr>
          <w:rFonts w:hint="eastAsia" w:asciiTheme="majorEastAsia" w:hAnsiTheme="majorEastAsia" w:eastAsiaTheme="majorEastAsia"/>
          <w:b/>
          <w:bCs/>
          <w:color w:val="auto"/>
          <w:sz w:val="44"/>
          <w:szCs w:val="44"/>
        </w:rPr>
      </w:pPr>
      <w:r>
        <w:rPr>
          <w:rFonts w:hint="eastAsia" w:ascii="宋体" w:hAnsi="宋体" w:eastAsia="宋体" w:cs="方正小标宋简体"/>
          <w:b/>
          <w:bCs/>
          <w:color w:val="auto"/>
          <w:kern w:val="0"/>
          <w:sz w:val="70"/>
          <w:szCs w:val="70"/>
          <w:highlight w:val="none"/>
          <w:u w:val="none"/>
          <w:lang w:val="en-US" w:bidi="zh-CN"/>
        </w:rPr>
        <w:t>采购工作方案</w:t>
      </w:r>
    </w:p>
    <w:p w14:paraId="1CDBE6C9">
      <w:pPr>
        <w:keepNext w:val="0"/>
        <w:keepLines w:val="0"/>
        <w:pageBreakBefore w:val="0"/>
        <w:widowControl/>
        <w:suppressLineNumbers w:val="0"/>
        <w:kinsoku/>
        <w:overflowPunct/>
        <w:topLinePunct w:val="0"/>
        <w:autoSpaceDE/>
        <w:autoSpaceDN/>
        <w:bidi w:val="0"/>
        <w:adjustRightInd/>
        <w:snapToGrid/>
        <w:spacing w:line="240" w:lineRule="auto"/>
        <w:ind w:left="0" w:leftChars="0"/>
        <w:jc w:val="center"/>
        <w:textAlignment w:val="auto"/>
        <w:rPr>
          <w:rFonts w:hint="eastAsia" w:asciiTheme="majorEastAsia" w:hAnsiTheme="majorEastAsia" w:eastAsiaTheme="majorEastAsia"/>
          <w:b/>
          <w:bCs/>
          <w:color w:val="auto"/>
          <w:sz w:val="44"/>
          <w:szCs w:val="44"/>
        </w:rPr>
      </w:pPr>
    </w:p>
    <w:p w14:paraId="7BEF2DD1">
      <w:pPr>
        <w:keepNext w:val="0"/>
        <w:keepLines w:val="0"/>
        <w:pageBreakBefore w:val="0"/>
        <w:widowControl/>
        <w:suppressLineNumbers w:val="0"/>
        <w:kinsoku/>
        <w:overflowPunct/>
        <w:topLinePunct w:val="0"/>
        <w:autoSpaceDE/>
        <w:autoSpaceDN/>
        <w:bidi w:val="0"/>
        <w:adjustRightInd/>
        <w:snapToGrid/>
        <w:spacing w:line="240" w:lineRule="auto"/>
        <w:ind w:left="0" w:leftChars="0"/>
        <w:jc w:val="center"/>
        <w:textAlignment w:val="auto"/>
        <w:rPr>
          <w:rFonts w:hint="eastAsia" w:asciiTheme="majorEastAsia" w:hAnsiTheme="majorEastAsia" w:eastAsiaTheme="majorEastAsia"/>
          <w:b/>
          <w:bCs/>
          <w:color w:val="auto"/>
          <w:sz w:val="44"/>
          <w:szCs w:val="44"/>
        </w:rPr>
      </w:pPr>
    </w:p>
    <w:p w14:paraId="1A467F46">
      <w:pPr>
        <w:keepNext w:val="0"/>
        <w:keepLines w:val="0"/>
        <w:pageBreakBefore w:val="0"/>
        <w:widowControl/>
        <w:suppressLineNumbers w:val="0"/>
        <w:kinsoku/>
        <w:overflowPunct/>
        <w:topLinePunct w:val="0"/>
        <w:autoSpaceDE/>
        <w:autoSpaceDN/>
        <w:bidi w:val="0"/>
        <w:adjustRightInd/>
        <w:snapToGrid/>
        <w:spacing w:line="240" w:lineRule="auto"/>
        <w:ind w:left="0" w:leftChars="0"/>
        <w:jc w:val="center"/>
        <w:textAlignment w:val="auto"/>
        <w:rPr>
          <w:rFonts w:hint="eastAsia" w:asciiTheme="majorEastAsia" w:hAnsiTheme="majorEastAsia" w:eastAsiaTheme="majorEastAsia"/>
          <w:b/>
          <w:bCs/>
          <w:color w:val="auto"/>
          <w:sz w:val="44"/>
          <w:szCs w:val="44"/>
        </w:rPr>
      </w:pPr>
    </w:p>
    <w:p w14:paraId="1EFD1F2F">
      <w:pPr>
        <w:keepNext w:val="0"/>
        <w:keepLines w:val="0"/>
        <w:pageBreakBefore w:val="0"/>
        <w:widowControl/>
        <w:suppressLineNumbers w:val="0"/>
        <w:kinsoku/>
        <w:overflowPunct/>
        <w:topLinePunct w:val="0"/>
        <w:autoSpaceDE/>
        <w:autoSpaceDN/>
        <w:bidi w:val="0"/>
        <w:adjustRightInd/>
        <w:snapToGrid/>
        <w:spacing w:line="240" w:lineRule="auto"/>
        <w:ind w:left="0" w:leftChars="0"/>
        <w:jc w:val="center"/>
        <w:textAlignment w:val="auto"/>
        <w:rPr>
          <w:rFonts w:hint="eastAsia" w:asciiTheme="majorEastAsia" w:hAnsiTheme="majorEastAsia" w:eastAsiaTheme="majorEastAsia"/>
          <w:b/>
          <w:bCs/>
          <w:color w:val="auto"/>
          <w:sz w:val="44"/>
          <w:szCs w:val="44"/>
        </w:rPr>
      </w:pPr>
    </w:p>
    <w:p w14:paraId="27F75BBC">
      <w:pPr>
        <w:keepNext w:val="0"/>
        <w:keepLines w:val="0"/>
        <w:pageBreakBefore w:val="0"/>
        <w:widowControl/>
        <w:suppressLineNumbers w:val="0"/>
        <w:kinsoku/>
        <w:overflowPunct/>
        <w:topLinePunct w:val="0"/>
        <w:autoSpaceDE/>
        <w:autoSpaceDN/>
        <w:bidi w:val="0"/>
        <w:adjustRightInd/>
        <w:snapToGrid/>
        <w:spacing w:line="240" w:lineRule="auto"/>
        <w:ind w:left="0" w:leftChars="0"/>
        <w:jc w:val="center"/>
        <w:textAlignment w:val="auto"/>
        <w:rPr>
          <w:rFonts w:hint="eastAsia" w:asciiTheme="majorEastAsia" w:hAnsiTheme="majorEastAsia" w:eastAsiaTheme="majorEastAsia"/>
          <w:b/>
          <w:bCs/>
          <w:color w:val="auto"/>
          <w:sz w:val="44"/>
          <w:szCs w:val="44"/>
        </w:rPr>
      </w:pPr>
    </w:p>
    <w:p w14:paraId="36AA618E">
      <w:pPr>
        <w:pStyle w:val="2"/>
        <w:spacing w:before="0" w:beforeLines="0" w:beforeAutospacing="0" w:line="560" w:lineRule="exact"/>
        <w:jc w:val="center"/>
        <w:rPr>
          <w:rFonts w:hint="eastAsia" w:ascii="仿宋" w:hAnsi="仿宋" w:eastAsia="仿宋" w:cs="仿宋"/>
          <w:b/>
          <w:color w:val="auto"/>
          <w:sz w:val="36"/>
          <w:szCs w:val="36"/>
          <w:highlight w:val="none"/>
          <w:u w:val="none"/>
        </w:rPr>
      </w:pPr>
      <w:r>
        <w:rPr>
          <w:rFonts w:hint="eastAsia" w:ascii="仿宋" w:hAnsi="仿宋" w:eastAsia="仿宋" w:cs="仿宋"/>
          <w:b/>
          <w:color w:val="auto"/>
          <w:sz w:val="36"/>
          <w:szCs w:val="36"/>
          <w:highlight w:val="none"/>
          <w:u w:val="none"/>
          <w:lang w:val="en-US"/>
        </w:rPr>
        <w:t>文件编号</w:t>
      </w:r>
      <w:r>
        <w:rPr>
          <w:rFonts w:hint="eastAsia" w:ascii="仿宋" w:hAnsi="仿宋" w:eastAsia="仿宋" w:cs="仿宋"/>
          <w:b/>
          <w:color w:val="auto"/>
          <w:sz w:val="36"/>
          <w:szCs w:val="36"/>
          <w:highlight w:val="none"/>
          <w:u w:val="none"/>
          <w:lang w:val="en-US" w:eastAsia="zh-CN"/>
        </w:rPr>
        <w:t>:</w:t>
      </w:r>
      <w:bookmarkStart w:id="0" w:name="_GoBack"/>
      <w:r>
        <w:rPr>
          <w:rFonts w:hint="eastAsia" w:ascii="仿宋" w:hAnsi="仿宋" w:eastAsia="仿宋" w:cs="仿宋"/>
          <w:b/>
          <w:color w:val="auto"/>
          <w:sz w:val="36"/>
          <w:szCs w:val="36"/>
          <w:highlight w:val="none"/>
          <w:u w:val="none"/>
          <w:lang w:val="en-US"/>
        </w:rPr>
        <w:t>HB</w:t>
      </w:r>
      <w:r>
        <w:rPr>
          <w:rFonts w:hint="eastAsia" w:ascii="仿宋" w:hAnsi="仿宋" w:eastAsia="仿宋" w:cs="仿宋"/>
          <w:b/>
          <w:color w:val="auto"/>
          <w:sz w:val="36"/>
          <w:szCs w:val="36"/>
          <w:highlight w:val="none"/>
          <w:u w:val="none"/>
          <w:lang w:val="en-US" w:eastAsia="zh-CN"/>
        </w:rPr>
        <w:t>HCLD</w:t>
      </w:r>
      <w:r>
        <w:rPr>
          <w:rFonts w:hint="eastAsia" w:ascii="仿宋" w:hAnsi="仿宋" w:eastAsia="仿宋" w:cs="仿宋"/>
          <w:b/>
          <w:color w:val="auto"/>
          <w:sz w:val="36"/>
          <w:szCs w:val="36"/>
          <w:highlight w:val="none"/>
          <w:u w:val="none"/>
          <w:lang w:val="en-US"/>
        </w:rPr>
        <w:t>-202</w:t>
      </w:r>
      <w:r>
        <w:rPr>
          <w:rFonts w:hint="eastAsia" w:ascii="仿宋" w:hAnsi="仿宋" w:eastAsia="仿宋" w:cs="仿宋"/>
          <w:b/>
          <w:color w:val="auto"/>
          <w:sz w:val="36"/>
          <w:szCs w:val="36"/>
          <w:highlight w:val="none"/>
          <w:u w:val="none"/>
          <w:lang w:val="en-US" w:eastAsia="zh-CN"/>
        </w:rPr>
        <w:t>5</w:t>
      </w:r>
      <w:r>
        <w:rPr>
          <w:rFonts w:hint="eastAsia" w:ascii="仿宋" w:hAnsi="仿宋" w:eastAsia="仿宋" w:cs="仿宋"/>
          <w:b/>
          <w:color w:val="auto"/>
          <w:sz w:val="36"/>
          <w:szCs w:val="36"/>
          <w:highlight w:val="none"/>
          <w:u w:val="none"/>
          <w:lang w:val="en-US"/>
        </w:rPr>
        <w:t>-</w:t>
      </w:r>
      <w:r>
        <w:rPr>
          <w:rFonts w:hint="eastAsia" w:ascii="仿宋" w:hAnsi="仿宋" w:eastAsia="仿宋" w:cs="仿宋"/>
          <w:b/>
          <w:color w:val="auto"/>
          <w:sz w:val="36"/>
          <w:szCs w:val="36"/>
          <w:highlight w:val="none"/>
          <w:u w:val="none"/>
          <w:lang w:val="en-US" w:eastAsia="zh-CN"/>
        </w:rPr>
        <w:t>01</w:t>
      </w:r>
      <w:bookmarkEnd w:id="0"/>
    </w:p>
    <w:p w14:paraId="7BF15E9E">
      <w:pPr>
        <w:keepNext w:val="0"/>
        <w:keepLines w:val="0"/>
        <w:pageBreakBefore w:val="0"/>
        <w:widowControl/>
        <w:suppressLineNumbers w:val="0"/>
        <w:kinsoku/>
        <w:overflowPunct/>
        <w:topLinePunct w:val="0"/>
        <w:autoSpaceDE/>
        <w:autoSpaceDN/>
        <w:bidi w:val="0"/>
        <w:adjustRightInd/>
        <w:snapToGrid/>
        <w:spacing w:line="240" w:lineRule="auto"/>
        <w:ind w:left="0" w:leftChars="0"/>
        <w:jc w:val="center"/>
        <w:textAlignment w:val="auto"/>
        <w:rPr>
          <w:rFonts w:hint="eastAsia" w:asciiTheme="majorEastAsia" w:hAnsiTheme="majorEastAsia" w:eastAsiaTheme="majorEastAsia"/>
          <w:b/>
          <w:bCs/>
          <w:color w:val="auto"/>
          <w:sz w:val="44"/>
          <w:szCs w:val="44"/>
        </w:rPr>
      </w:pPr>
    </w:p>
    <w:p w14:paraId="2AD21434">
      <w:pPr>
        <w:keepNext w:val="0"/>
        <w:keepLines w:val="0"/>
        <w:pageBreakBefore w:val="0"/>
        <w:widowControl/>
        <w:suppressLineNumbers w:val="0"/>
        <w:kinsoku/>
        <w:overflowPunct/>
        <w:topLinePunct w:val="0"/>
        <w:autoSpaceDE/>
        <w:autoSpaceDN/>
        <w:bidi w:val="0"/>
        <w:adjustRightInd/>
        <w:snapToGrid/>
        <w:spacing w:line="240" w:lineRule="auto"/>
        <w:ind w:left="0" w:leftChars="0"/>
        <w:jc w:val="center"/>
        <w:textAlignment w:val="auto"/>
        <w:rPr>
          <w:rFonts w:hint="eastAsia" w:asciiTheme="majorEastAsia" w:hAnsiTheme="majorEastAsia" w:eastAsiaTheme="majorEastAsia"/>
          <w:b/>
          <w:bCs/>
          <w:color w:val="auto"/>
          <w:sz w:val="44"/>
          <w:szCs w:val="44"/>
        </w:rPr>
      </w:pPr>
    </w:p>
    <w:p w14:paraId="08FD4BEC">
      <w:pPr>
        <w:keepNext w:val="0"/>
        <w:keepLines w:val="0"/>
        <w:pageBreakBefore w:val="0"/>
        <w:widowControl/>
        <w:suppressLineNumbers w:val="0"/>
        <w:kinsoku/>
        <w:overflowPunct/>
        <w:topLinePunct w:val="0"/>
        <w:autoSpaceDE/>
        <w:autoSpaceDN/>
        <w:bidi w:val="0"/>
        <w:adjustRightInd/>
        <w:snapToGrid/>
        <w:spacing w:line="240" w:lineRule="auto"/>
        <w:ind w:left="0" w:leftChars="0"/>
        <w:jc w:val="center"/>
        <w:textAlignment w:val="auto"/>
        <w:rPr>
          <w:rFonts w:hint="eastAsia" w:asciiTheme="majorEastAsia" w:hAnsiTheme="majorEastAsia" w:eastAsiaTheme="majorEastAsia"/>
          <w:b/>
          <w:bCs/>
          <w:color w:val="auto"/>
          <w:sz w:val="44"/>
          <w:szCs w:val="44"/>
        </w:rPr>
      </w:pPr>
    </w:p>
    <w:p w14:paraId="4F683A8C">
      <w:pPr>
        <w:keepNext w:val="0"/>
        <w:keepLines w:val="0"/>
        <w:pageBreakBefore w:val="0"/>
        <w:widowControl/>
        <w:suppressLineNumbers w:val="0"/>
        <w:kinsoku/>
        <w:overflowPunct/>
        <w:topLinePunct w:val="0"/>
        <w:autoSpaceDE/>
        <w:autoSpaceDN/>
        <w:bidi w:val="0"/>
        <w:adjustRightInd/>
        <w:snapToGrid/>
        <w:spacing w:line="240" w:lineRule="auto"/>
        <w:ind w:left="0" w:leftChars="0"/>
        <w:jc w:val="center"/>
        <w:textAlignment w:val="auto"/>
        <w:rPr>
          <w:rFonts w:hint="eastAsia" w:asciiTheme="majorEastAsia" w:hAnsiTheme="majorEastAsia" w:eastAsiaTheme="majorEastAsia"/>
          <w:b/>
          <w:bCs/>
          <w:color w:val="auto"/>
          <w:sz w:val="44"/>
          <w:szCs w:val="44"/>
        </w:rPr>
      </w:pPr>
    </w:p>
    <w:p w14:paraId="6ED0A6C6">
      <w:pPr>
        <w:keepNext w:val="0"/>
        <w:keepLines w:val="0"/>
        <w:pageBreakBefore w:val="0"/>
        <w:widowControl/>
        <w:suppressLineNumbers w:val="0"/>
        <w:kinsoku/>
        <w:overflowPunct/>
        <w:topLinePunct w:val="0"/>
        <w:autoSpaceDE/>
        <w:autoSpaceDN/>
        <w:bidi w:val="0"/>
        <w:adjustRightInd/>
        <w:snapToGrid/>
        <w:spacing w:line="240" w:lineRule="auto"/>
        <w:ind w:left="0" w:leftChars="0"/>
        <w:jc w:val="center"/>
        <w:textAlignment w:val="auto"/>
        <w:rPr>
          <w:rFonts w:hint="eastAsia" w:asciiTheme="majorEastAsia" w:hAnsiTheme="majorEastAsia" w:eastAsiaTheme="majorEastAsia"/>
          <w:b/>
          <w:bCs/>
          <w:color w:val="auto"/>
          <w:sz w:val="44"/>
          <w:szCs w:val="44"/>
        </w:rPr>
      </w:pPr>
    </w:p>
    <w:p w14:paraId="31680211">
      <w:pPr>
        <w:pStyle w:val="2"/>
        <w:spacing w:before="0" w:line="560" w:lineRule="exact"/>
        <w:jc w:val="center"/>
        <w:rPr>
          <w:rFonts w:hint="eastAsia" w:ascii="仿宋" w:hAnsi="仿宋" w:eastAsia="仿宋" w:cs="仿宋"/>
          <w:b/>
          <w:color w:val="auto"/>
          <w:sz w:val="36"/>
          <w:szCs w:val="36"/>
          <w:highlight w:val="none"/>
        </w:rPr>
      </w:pPr>
      <w:r>
        <w:rPr>
          <w:rFonts w:hint="eastAsia" w:ascii="仿宋" w:hAnsi="仿宋" w:eastAsia="仿宋" w:cs="仿宋"/>
          <w:b/>
          <w:strike w:val="0"/>
          <w:dstrike w:val="0"/>
          <w:color w:val="auto"/>
          <w:sz w:val="36"/>
          <w:szCs w:val="36"/>
          <w:highlight w:val="none"/>
        </w:rPr>
        <w:t>河北省医用药品器械集中采购中心</w:t>
      </w:r>
    </w:p>
    <w:p w14:paraId="316E7ECA">
      <w:pPr>
        <w:keepNext w:val="0"/>
        <w:keepLines w:val="0"/>
        <w:pageBreakBefore w:val="0"/>
        <w:widowControl/>
        <w:suppressLineNumbers w:val="0"/>
        <w:kinsoku/>
        <w:overflowPunct/>
        <w:topLinePunct w:val="0"/>
        <w:autoSpaceDE/>
        <w:autoSpaceDN/>
        <w:bidi w:val="0"/>
        <w:adjustRightInd/>
        <w:snapToGrid/>
        <w:spacing w:line="240" w:lineRule="auto"/>
        <w:ind w:left="0" w:leftChars="0"/>
        <w:jc w:val="center"/>
        <w:textAlignment w:val="auto"/>
        <w:rPr>
          <w:rFonts w:hint="eastAsia" w:asciiTheme="majorEastAsia" w:hAnsiTheme="majorEastAsia" w:eastAsiaTheme="majorEastAsia"/>
          <w:b/>
          <w:bCs/>
          <w:color w:val="auto"/>
          <w:sz w:val="44"/>
          <w:szCs w:val="44"/>
        </w:rPr>
      </w:pPr>
      <w:r>
        <w:rPr>
          <w:rFonts w:hint="eastAsia" w:ascii="仿宋" w:hAnsi="仿宋" w:eastAsia="仿宋" w:cs="仿宋"/>
          <w:b/>
          <w:color w:val="auto"/>
          <w:sz w:val="36"/>
          <w:szCs w:val="36"/>
          <w:highlight w:val="none"/>
          <w:u w:val="none"/>
        </w:rPr>
        <w:t>202</w:t>
      </w:r>
      <w:r>
        <w:rPr>
          <w:rFonts w:hint="eastAsia" w:ascii="仿宋" w:hAnsi="仿宋" w:eastAsia="仿宋" w:cs="仿宋"/>
          <w:b/>
          <w:color w:val="auto"/>
          <w:sz w:val="36"/>
          <w:szCs w:val="36"/>
          <w:highlight w:val="none"/>
          <w:u w:val="none"/>
          <w:lang w:val="en-US" w:eastAsia="zh-CN"/>
        </w:rPr>
        <w:t>5</w:t>
      </w:r>
      <w:r>
        <w:rPr>
          <w:rFonts w:hint="eastAsia" w:ascii="仿宋" w:hAnsi="仿宋" w:eastAsia="仿宋" w:cs="仿宋"/>
          <w:b/>
          <w:color w:val="auto"/>
          <w:sz w:val="36"/>
          <w:szCs w:val="36"/>
          <w:highlight w:val="none"/>
          <w:u w:val="none"/>
        </w:rPr>
        <w:t>年</w:t>
      </w:r>
      <w:r>
        <w:rPr>
          <w:rFonts w:hint="eastAsia" w:ascii="仿宋" w:hAnsi="仿宋" w:eastAsia="仿宋" w:cs="仿宋"/>
          <w:b/>
          <w:color w:val="auto"/>
          <w:sz w:val="36"/>
          <w:szCs w:val="36"/>
          <w:highlight w:val="none"/>
          <w:u w:val="none"/>
          <w:lang w:val="en-US" w:eastAsia="zh-CN"/>
        </w:rPr>
        <w:t>8</w:t>
      </w:r>
      <w:r>
        <w:rPr>
          <w:rFonts w:hint="eastAsia" w:ascii="仿宋" w:hAnsi="仿宋" w:eastAsia="仿宋" w:cs="仿宋"/>
          <w:b/>
          <w:color w:val="auto"/>
          <w:sz w:val="36"/>
          <w:szCs w:val="36"/>
          <w:highlight w:val="none"/>
          <w:u w:val="none"/>
        </w:rPr>
        <w:t>月</w:t>
      </w:r>
    </w:p>
    <w:p w14:paraId="0032BC74">
      <w:pPr>
        <w:keepNext w:val="0"/>
        <w:keepLines w:val="0"/>
        <w:pageBreakBefore w:val="0"/>
        <w:widowControl/>
        <w:suppressLineNumbers w:val="0"/>
        <w:kinsoku/>
        <w:overflowPunct/>
        <w:topLinePunct w:val="0"/>
        <w:autoSpaceDE/>
        <w:autoSpaceDN/>
        <w:bidi w:val="0"/>
        <w:adjustRightInd/>
        <w:snapToGrid/>
        <w:spacing w:line="240" w:lineRule="auto"/>
        <w:ind w:left="0" w:leftChars="0"/>
        <w:jc w:val="center"/>
        <w:textAlignment w:val="auto"/>
        <w:rPr>
          <w:rFonts w:hint="eastAsia" w:asciiTheme="majorEastAsia" w:hAnsiTheme="majorEastAsia" w:eastAsiaTheme="majorEastAsia"/>
          <w:b/>
          <w:bCs/>
          <w:color w:val="auto"/>
          <w:sz w:val="44"/>
          <w:szCs w:val="44"/>
        </w:rPr>
      </w:pPr>
      <w:r>
        <w:rPr>
          <w:rFonts w:hint="eastAsia" w:asciiTheme="majorEastAsia" w:hAnsiTheme="majorEastAsia" w:eastAsiaTheme="majorEastAsia"/>
          <w:b/>
          <w:bCs/>
          <w:color w:val="auto"/>
          <w:sz w:val="44"/>
          <w:szCs w:val="44"/>
        </w:rPr>
        <w:t>河北省</w:t>
      </w:r>
    </w:p>
    <w:p w14:paraId="231C0972">
      <w:pPr>
        <w:keepNext w:val="0"/>
        <w:keepLines w:val="0"/>
        <w:pageBreakBefore w:val="0"/>
        <w:widowControl/>
        <w:suppressLineNumbers w:val="0"/>
        <w:kinsoku/>
        <w:overflowPunct/>
        <w:topLinePunct w:val="0"/>
        <w:autoSpaceDE/>
        <w:autoSpaceDN/>
        <w:bidi w:val="0"/>
        <w:adjustRightInd/>
        <w:snapToGrid/>
        <w:spacing w:line="240" w:lineRule="auto"/>
        <w:ind w:left="0" w:leftChars="0"/>
        <w:jc w:val="center"/>
        <w:textAlignment w:val="auto"/>
        <w:rPr>
          <w:rFonts w:hint="eastAsia" w:asciiTheme="majorEastAsia" w:hAnsiTheme="majorEastAsia" w:eastAsiaTheme="majorEastAsia"/>
          <w:b/>
          <w:bCs/>
          <w:color w:val="auto"/>
          <w:sz w:val="44"/>
          <w:szCs w:val="44"/>
        </w:rPr>
      </w:pPr>
      <w:r>
        <w:rPr>
          <w:rFonts w:hint="eastAsia" w:asciiTheme="majorEastAsia" w:hAnsiTheme="majorEastAsia" w:eastAsiaTheme="majorEastAsia"/>
          <w:b/>
          <w:bCs/>
          <w:color w:val="auto"/>
          <w:sz w:val="44"/>
          <w:szCs w:val="44"/>
          <w:lang w:val="en-US" w:eastAsia="zh-CN"/>
        </w:rPr>
        <w:t>血液透析浓缩物</w:t>
      </w:r>
      <w:r>
        <w:rPr>
          <w:rFonts w:hint="eastAsia" w:asciiTheme="majorEastAsia" w:hAnsiTheme="majorEastAsia" w:eastAsiaTheme="majorEastAsia"/>
          <w:b/>
          <w:bCs/>
          <w:color w:val="auto"/>
          <w:sz w:val="44"/>
          <w:szCs w:val="44"/>
        </w:rPr>
        <w:t>带量联动</w:t>
      </w:r>
    </w:p>
    <w:p w14:paraId="456181A1">
      <w:pPr>
        <w:keepNext w:val="0"/>
        <w:keepLines w:val="0"/>
        <w:pageBreakBefore w:val="0"/>
        <w:widowControl/>
        <w:suppressLineNumbers w:val="0"/>
        <w:kinsoku/>
        <w:overflowPunct/>
        <w:topLinePunct w:val="0"/>
        <w:autoSpaceDE/>
        <w:autoSpaceDN/>
        <w:bidi w:val="0"/>
        <w:adjustRightInd/>
        <w:snapToGrid/>
        <w:spacing w:line="240" w:lineRule="auto"/>
        <w:ind w:left="0" w:leftChars="0"/>
        <w:jc w:val="center"/>
        <w:textAlignment w:val="auto"/>
        <w:rPr>
          <w:rFonts w:hint="eastAsia" w:ascii="楷体" w:hAnsi="楷体" w:eastAsia="楷体" w:cs="楷体"/>
          <w:color w:val="auto"/>
          <w:sz w:val="32"/>
          <w:szCs w:val="32"/>
        </w:rPr>
      </w:pPr>
      <w:r>
        <w:rPr>
          <w:rFonts w:hint="eastAsia" w:asciiTheme="majorEastAsia" w:hAnsiTheme="majorEastAsia" w:eastAsiaTheme="majorEastAsia"/>
          <w:b/>
          <w:bCs/>
          <w:color w:val="auto"/>
          <w:sz w:val="44"/>
          <w:szCs w:val="44"/>
        </w:rPr>
        <w:t>采购工作方案</w:t>
      </w:r>
      <w:r>
        <w:rPr>
          <w:rFonts w:hint="eastAsia" w:ascii="楷体" w:hAnsi="楷体" w:eastAsia="楷体" w:cs="楷体"/>
          <w:color w:val="auto"/>
          <w:sz w:val="32"/>
          <w:szCs w:val="32"/>
        </w:rPr>
        <w:tab/>
      </w:r>
    </w:p>
    <w:p w14:paraId="231B32F3">
      <w:pPr>
        <w:pStyle w:val="2"/>
        <w:rPr>
          <w:rFonts w:hint="eastAsia"/>
        </w:rPr>
      </w:pPr>
    </w:p>
    <w:p w14:paraId="4215F313">
      <w:pPr>
        <w:pStyle w:val="2"/>
        <w:jc w:val="center"/>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w:t>
      </w:r>
      <w:r>
        <w:rPr>
          <w:rFonts w:hint="eastAsia" w:ascii="仿宋" w:hAnsi="仿宋" w:eastAsia="仿宋" w:cs="仿宋"/>
          <w:b w:val="0"/>
          <w:bCs w:val="0"/>
          <w:color w:val="auto"/>
          <w:sz w:val="36"/>
          <w:szCs w:val="36"/>
          <w:highlight w:val="none"/>
          <w:u w:val="none"/>
          <w:lang w:val="en-US"/>
        </w:rPr>
        <w:t>文件编号</w:t>
      </w:r>
      <w:r>
        <w:rPr>
          <w:rFonts w:hint="eastAsia" w:ascii="仿宋" w:hAnsi="仿宋" w:eastAsia="仿宋" w:cs="仿宋"/>
          <w:b w:val="0"/>
          <w:bCs w:val="0"/>
          <w:color w:val="auto"/>
          <w:sz w:val="36"/>
          <w:szCs w:val="36"/>
          <w:highlight w:val="none"/>
          <w:u w:val="none"/>
          <w:lang w:val="en-US" w:eastAsia="zh-CN"/>
        </w:rPr>
        <w:t>:</w:t>
      </w:r>
      <w:r>
        <w:rPr>
          <w:rFonts w:hint="eastAsia" w:ascii="仿宋" w:hAnsi="仿宋" w:eastAsia="仿宋" w:cs="仿宋"/>
          <w:b w:val="0"/>
          <w:bCs w:val="0"/>
          <w:color w:val="auto"/>
          <w:sz w:val="36"/>
          <w:szCs w:val="36"/>
          <w:highlight w:val="none"/>
          <w:u w:val="none"/>
          <w:lang w:val="en-US"/>
        </w:rPr>
        <w:t>HB</w:t>
      </w:r>
      <w:r>
        <w:rPr>
          <w:rFonts w:hint="eastAsia" w:ascii="仿宋" w:hAnsi="仿宋" w:eastAsia="仿宋" w:cs="仿宋"/>
          <w:b w:val="0"/>
          <w:bCs w:val="0"/>
          <w:color w:val="auto"/>
          <w:sz w:val="36"/>
          <w:szCs w:val="36"/>
          <w:highlight w:val="none"/>
          <w:u w:val="none"/>
          <w:lang w:val="en-US" w:eastAsia="zh-CN"/>
        </w:rPr>
        <w:t>HCLD</w:t>
      </w:r>
      <w:r>
        <w:rPr>
          <w:rFonts w:hint="eastAsia" w:ascii="仿宋" w:hAnsi="仿宋" w:eastAsia="仿宋" w:cs="仿宋"/>
          <w:b w:val="0"/>
          <w:bCs w:val="0"/>
          <w:color w:val="auto"/>
          <w:sz w:val="36"/>
          <w:szCs w:val="36"/>
          <w:highlight w:val="none"/>
          <w:u w:val="none"/>
          <w:lang w:val="en-US"/>
        </w:rPr>
        <w:t>-202</w:t>
      </w:r>
      <w:r>
        <w:rPr>
          <w:rFonts w:hint="eastAsia" w:ascii="仿宋" w:hAnsi="仿宋" w:eastAsia="仿宋" w:cs="仿宋"/>
          <w:b w:val="0"/>
          <w:bCs w:val="0"/>
          <w:color w:val="auto"/>
          <w:sz w:val="36"/>
          <w:szCs w:val="36"/>
          <w:highlight w:val="none"/>
          <w:u w:val="none"/>
          <w:lang w:val="en-US" w:eastAsia="zh-CN"/>
        </w:rPr>
        <w:t>5</w:t>
      </w:r>
      <w:r>
        <w:rPr>
          <w:rFonts w:hint="eastAsia" w:ascii="仿宋" w:hAnsi="仿宋" w:eastAsia="仿宋" w:cs="仿宋"/>
          <w:b w:val="0"/>
          <w:bCs w:val="0"/>
          <w:color w:val="auto"/>
          <w:sz w:val="36"/>
          <w:szCs w:val="36"/>
          <w:highlight w:val="none"/>
          <w:u w:val="none"/>
          <w:lang w:val="en-US"/>
        </w:rPr>
        <w:t>-</w:t>
      </w:r>
      <w:r>
        <w:rPr>
          <w:rFonts w:hint="eastAsia" w:ascii="仿宋" w:hAnsi="仿宋" w:eastAsia="仿宋" w:cs="仿宋"/>
          <w:b w:val="0"/>
          <w:bCs w:val="0"/>
          <w:color w:val="auto"/>
          <w:sz w:val="36"/>
          <w:szCs w:val="36"/>
          <w:highlight w:val="none"/>
          <w:u w:val="none"/>
          <w:lang w:val="en-US" w:eastAsia="zh-CN"/>
        </w:rPr>
        <w:t>01</w:t>
      </w:r>
      <w:r>
        <w:rPr>
          <w:rFonts w:hint="eastAsia" w:ascii="楷体" w:hAnsi="楷体" w:eastAsia="楷体" w:cs="楷体"/>
          <w:b w:val="0"/>
          <w:bCs w:val="0"/>
          <w:color w:val="auto"/>
          <w:sz w:val="32"/>
          <w:szCs w:val="32"/>
          <w:lang w:eastAsia="zh-CN"/>
        </w:rPr>
        <w:t>）</w:t>
      </w:r>
    </w:p>
    <w:p w14:paraId="2CF36BBF">
      <w:pPr>
        <w:rPr>
          <w:rFonts w:hint="eastAsia"/>
          <w:lang w:eastAsia="zh-CN"/>
        </w:rPr>
      </w:pPr>
    </w:p>
    <w:p w14:paraId="6B0DA58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为贯彻《中共中央国务院关于深化医疗保障制度改革的意见》（中发〔2020〕5号）等文件精神，全面深化医用耗材集中带量采购制度改革，结合实际，制定</w:t>
      </w:r>
      <w:r>
        <w:rPr>
          <w:rFonts w:hint="eastAsia" w:ascii="仿宋" w:hAnsi="仿宋" w:eastAsia="仿宋" w:cs="仿宋"/>
          <w:color w:val="auto"/>
          <w:sz w:val="32"/>
          <w:szCs w:val="32"/>
          <w:lang w:val="en-US" w:eastAsia="zh-CN"/>
        </w:rPr>
        <w:t>河北省</w:t>
      </w:r>
      <w:r>
        <w:rPr>
          <w:rFonts w:hint="eastAsia" w:ascii="仿宋" w:hAnsi="仿宋" w:eastAsia="仿宋" w:cs="仿宋"/>
          <w:color w:val="auto"/>
          <w:sz w:val="32"/>
          <w:szCs w:val="32"/>
          <w:highlight w:val="none"/>
          <w:lang w:val="en-US" w:eastAsia="zh-CN"/>
        </w:rPr>
        <w:t>血液透析浓缩物</w:t>
      </w:r>
      <w:r>
        <w:rPr>
          <w:rFonts w:hint="eastAsia" w:ascii="仿宋" w:hAnsi="仿宋" w:eastAsia="仿宋" w:cs="仿宋"/>
          <w:color w:val="auto"/>
          <w:sz w:val="32"/>
          <w:szCs w:val="32"/>
        </w:rPr>
        <w:t>带量联动采购工作方案。</w:t>
      </w:r>
    </w:p>
    <w:p w14:paraId="708D3326">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一、总体目标</w:t>
      </w:r>
    </w:p>
    <w:p w14:paraId="343164DD">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trike/>
          <w:dstrike w:val="0"/>
          <w:color w:val="auto"/>
          <w:sz w:val="32"/>
          <w:szCs w:val="32"/>
        </w:rPr>
      </w:pPr>
      <w:r>
        <w:rPr>
          <w:rFonts w:hint="eastAsia" w:ascii="仿宋" w:hAnsi="仿宋" w:eastAsia="仿宋" w:cs="仿宋"/>
          <w:color w:val="auto"/>
          <w:sz w:val="32"/>
          <w:szCs w:val="32"/>
        </w:rPr>
        <w:t>充分发挥集中带量采购在深化医药卫生体制改革中的作用，通过带量联动，坚持保障供应，实现</w:t>
      </w:r>
      <w:r>
        <w:rPr>
          <w:rFonts w:hint="eastAsia" w:ascii="仿宋" w:hAnsi="仿宋" w:eastAsia="仿宋" w:cs="仿宋"/>
          <w:color w:val="auto"/>
          <w:sz w:val="32"/>
          <w:szCs w:val="32"/>
          <w:highlight w:val="none"/>
          <w:lang w:val="en-US" w:eastAsia="zh-CN"/>
        </w:rPr>
        <w:t>血液透析浓缩物</w:t>
      </w:r>
      <w:r>
        <w:rPr>
          <w:rFonts w:hint="eastAsia" w:ascii="仿宋" w:hAnsi="仿宋" w:eastAsia="仿宋" w:cs="仿宋"/>
          <w:color w:val="auto"/>
          <w:sz w:val="32"/>
          <w:szCs w:val="32"/>
        </w:rPr>
        <w:t>价格更趋合理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降低交易成本，净化流通环境，改善行业生态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规范医用耗材采购和使用行为</w:t>
      </w:r>
      <w:r>
        <w:rPr>
          <w:rFonts w:hint="eastAsia" w:ascii="仿宋" w:hAnsi="仿宋" w:eastAsia="仿宋" w:cs="仿宋"/>
          <w:color w:val="auto"/>
          <w:sz w:val="32"/>
          <w:szCs w:val="32"/>
          <w:lang w:eastAsia="zh-CN"/>
        </w:rPr>
        <w:t>。</w:t>
      </w:r>
    </w:p>
    <w:p w14:paraId="4EE18D1A">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二、采购品种及采购周期</w:t>
      </w:r>
    </w:p>
    <w:p w14:paraId="1FE2AA47">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本次带量联动采购</w:t>
      </w:r>
      <w:r>
        <w:rPr>
          <w:rFonts w:hint="eastAsia" w:ascii="仿宋" w:hAnsi="仿宋" w:eastAsia="仿宋" w:cs="仿宋"/>
          <w:color w:val="auto"/>
          <w:sz w:val="32"/>
          <w:szCs w:val="32"/>
          <w:lang w:val="en-US" w:eastAsia="zh-CN"/>
        </w:rPr>
        <w:t>产品为医用耗材代码（前15位）C10100124400001、C10100124500002的血液透析浓缩物，产品分类为血液透析浓缩A粉、血液透析浓缩A液、血液透析浓缩B粉、血液透析浓缩联机B粉、血液透析浓缩B液。具体目录如下。本次带量联动</w:t>
      </w:r>
      <w:r>
        <w:rPr>
          <w:rFonts w:hint="eastAsia" w:ascii="仿宋" w:hAnsi="仿宋" w:eastAsia="仿宋" w:cs="仿宋"/>
          <w:color w:val="auto"/>
          <w:sz w:val="32"/>
          <w:szCs w:val="32"/>
        </w:rPr>
        <w:t>采购周期为2年，每年签订三方采购协议。</w:t>
      </w:r>
    </w:p>
    <w:p w14:paraId="65E730B3">
      <w:pPr>
        <w:pStyle w:val="2"/>
        <w:rPr>
          <w:rFonts w:hint="eastAsia" w:ascii="仿宋" w:hAnsi="仿宋" w:eastAsia="仿宋" w:cs="仿宋"/>
          <w:color w:val="auto"/>
          <w:sz w:val="32"/>
          <w:szCs w:val="32"/>
        </w:rPr>
      </w:pPr>
    </w:p>
    <w:p w14:paraId="24569236">
      <w:pPr>
        <w:rPr>
          <w:rFonts w:hint="eastAsia" w:ascii="仿宋" w:hAnsi="仿宋" w:eastAsia="仿宋" w:cs="仿宋"/>
          <w:color w:val="auto"/>
          <w:sz w:val="32"/>
          <w:szCs w:val="32"/>
        </w:rPr>
      </w:pPr>
    </w:p>
    <w:p w14:paraId="3FC0A4DD">
      <w:pPr>
        <w:pStyle w:val="2"/>
        <w:rPr>
          <w:rFonts w:hint="eastAsia"/>
        </w:rPr>
      </w:pPr>
    </w:p>
    <w:tbl>
      <w:tblPr>
        <w:tblStyle w:val="8"/>
        <w:tblpPr w:leftFromText="180" w:rightFromText="180" w:vertAnchor="text" w:horzAnchor="page" w:tblpX="1771" w:tblpY="133"/>
        <w:tblOverlap w:val="never"/>
        <w:tblW w:w="8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730"/>
        <w:gridCol w:w="2350"/>
        <w:gridCol w:w="1794"/>
        <w:gridCol w:w="2064"/>
      </w:tblGrid>
      <w:tr w14:paraId="3564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9" w:type="dxa"/>
            <w:tcBorders>
              <w:tl2br w:val="nil"/>
              <w:tr2bl w:val="nil"/>
            </w:tcBorders>
            <w:noWrap w:val="0"/>
            <w:vAlign w:val="center"/>
          </w:tcPr>
          <w:p w14:paraId="48D8DDA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color w:val="auto"/>
                <w:sz w:val="21"/>
                <w:szCs w:val="21"/>
                <w:highlight w:val="none"/>
                <w:u w:val="none"/>
                <w:lang w:val="en-US" w:eastAsia="zh-CN"/>
              </w:rPr>
            </w:pPr>
            <w:r>
              <w:rPr>
                <w:rFonts w:hint="eastAsia" w:ascii="仿宋" w:hAnsi="仿宋" w:eastAsia="仿宋" w:cs="仿宋"/>
                <w:b/>
                <w:color w:val="auto"/>
                <w:sz w:val="21"/>
                <w:szCs w:val="21"/>
                <w:highlight w:val="none"/>
                <w:u w:val="none"/>
                <w:lang w:val="en-US" w:eastAsia="zh-CN"/>
              </w:rPr>
              <w:t>采购品种</w:t>
            </w:r>
          </w:p>
        </w:tc>
        <w:tc>
          <w:tcPr>
            <w:tcW w:w="1730" w:type="dxa"/>
            <w:tcBorders>
              <w:tl2br w:val="nil"/>
              <w:tr2bl w:val="nil"/>
            </w:tcBorders>
            <w:noWrap w:val="0"/>
            <w:vAlign w:val="center"/>
          </w:tcPr>
          <w:p w14:paraId="3FC42C1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color w:val="auto"/>
                <w:sz w:val="21"/>
                <w:szCs w:val="21"/>
                <w:highlight w:val="none"/>
                <w:u w:val="none"/>
                <w:lang w:val="en-US" w:eastAsia="zh-CN"/>
              </w:rPr>
            </w:pPr>
            <w:r>
              <w:rPr>
                <w:rFonts w:hint="eastAsia" w:ascii="仿宋" w:hAnsi="仿宋" w:eastAsia="仿宋" w:cs="仿宋"/>
                <w:b/>
                <w:color w:val="auto"/>
                <w:sz w:val="21"/>
                <w:szCs w:val="21"/>
                <w:highlight w:val="none"/>
                <w:u w:val="none"/>
                <w:lang w:val="en-US" w:eastAsia="zh-CN"/>
              </w:rPr>
              <w:t>医用耗材代码</w:t>
            </w:r>
          </w:p>
          <w:p w14:paraId="392DB9B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color w:val="auto"/>
                <w:sz w:val="21"/>
                <w:szCs w:val="21"/>
                <w:highlight w:val="none"/>
                <w:u w:val="none"/>
                <w:lang w:val="en-US" w:eastAsia="zh-CN"/>
              </w:rPr>
            </w:pPr>
            <w:r>
              <w:rPr>
                <w:rFonts w:hint="eastAsia" w:ascii="仿宋" w:hAnsi="仿宋" w:eastAsia="仿宋" w:cs="仿宋"/>
                <w:b/>
                <w:color w:val="auto"/>
                <w:sz w:val="21"/>
                <w:szCs w:val="21"/>
                <w:highlight w:val="none"/>
                <w:u w:val="none"/>
                <w:lang w:val="en-US" w:eastAsia="zh-CN"/>
              </w:rPr>
              <w:t>（前15位）</w:t>
            </w:r>
          </w:p>
        </w:tc>
        <w:tc>
          <w:tcPr>
            <w:tcW w:w="2350" w:type="dxa"/>
            <w:tcBorders>
              <w:tl2br w:val="nil"/>
              <w:tr2bl w:val="nil"/>
            </w:tcBorders>
            <w:shd w:val="clear" w:color="auto" w:fill="auto"/>
            <w:noWrap w:val="0"/>
            <w:vAlign w:val="center"/>
          </w:tcPr>
          <w:p w14:paraId="01DFE1A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color w:val="auto"/>
                <w:sz w:val="21"/>
                <w:szCs w:val="21"/>
                <w:highlight w:val="none"/>
                <w:u w:val="none"/>
                <w:lang w:val="en-US" w:eastAsia="zh-CN"/>
              </w:rPr>
            </w:pPr>
            <w:r>
              <w:rPr>
                <w:rFonts w:hint="eastAsia" w:ascii="仿宋" w:hAnsi="仿宋" w:eastAsia="仿宋" w:cs="仿宋"/>
                <w:b/>
                <w:color w:val="auto"/>
                <w:sz w:val="21"/>
                <w:szCs w:val="21"/>
                <w:highlight w:val="none"/>
                <w:u w:val="none"/>
                <w:lang w:val="en-US" w:eastAsia="zh-CN"/>
              </w:rPr>
              <w:t>产品分类</w:t>
            </w:r>
          </w:p>
        </w:tc>
        <w:tc>
          <w:tcPr>
            <w:tcW w:w="1794" w:type="dxa"/>
            <w:tcBorders>
              <w:tl2br w:val="nil"/>
              <w:tr2bl w:val="nil"/>
            </w:tcBorders>
            <w:noWrap w:val="0"/>
            <w:vAlign w:val="center"/>
          </w:tcPr>
          <w:p w14:paraId="4225E94C">
            <w:pPr>
              <w:spacing w:beforeLines="0" w:afterLines="0"/>
              <w:jc w:val="center"/>
              <w:rPr>
                <w:rFonts w:hint="default" w:ascii="仿宋" w:hAnsi="仿宋" w:eastAsia="仿宋" w:cs="仿宋"/>
                <w:b/>
                <w:color w:val="auto"/>
                <w:sz w:val="21"/>
                <w:szCs w:val="21"/>
                <w:highlight w:val="none"/>
                <w:u w:val="none"/>
                <w:lang w:val="en-US" w:eastAsia="zh-CN"/>
              </w:rPr>
            </w:pPr>
            <w:r>
              <w:rPr>
                <w:rFonts w:hint="eastAsia" w:ascii="仿宋" w:hAnsi="仿宋" w:eastAsia="仿宋" w:cs="仿宋"/>
                <w:b/>
                <w:color w:val="auto"/>
                <w:sz w:val="21"/>
                <w:szCs w:val="21"/>
                <w:highlight w:val="none"/>
                <w:u w:val="none"/>
                <w:lang w:val="en-US" w:eastAsia="zh-CN"/>
              </w:rPr>
              <w:t>采购要求</w:t>
            </w:r>
          </w:p>
        </w:tc>
        <w:tc>
          <w:tcPr>
            <w:tcW w:w="2064" w:type="dxa"/>
            <w:tcBorders>
              <w:tl2br w:val="nil"/>
              <w:tr2bl w:val="nil"/>
            </w:tcBorders>
            <w:noWrap w:val="0"/>
            <w:vAlign w:val="center"/>
          </w:tcPr>
          <w:p w14:paraId="630E6839">
            <w:pPr>
              <w:spacing w:beforeLines="0" w:afterLines="0"/>
              <w:jc w:val="center"/>
              <w:rPr>
                <w:rFonts w:hint="default" w:ascii="仿宋" w:hAnsi="仿宋" w:eastAsia="仿宋" w:cs="仿宋"/>
                <w:b/>
                <w:color w:val="auto"/>
                <w:sz w:val="21"/>
                <w:szCs w:val="21"/>
                <w:highlight w:val="none"/>
                <w:u w:val="none"/>
                <w:lang w:val="en-US" w:eastAsia="zh-CN"/>
              </w:rPr>
            </w:pPr>
            <w:r>
              <w:rPr>
                <w:rFonts w:hint="eastAsia" w:ascii="仿宋" w:hAnsi="仿宋" w:eastAsia="仿宋" w:cs="仿宋"/>
                <w:b/>
                <w:color w:val="auto"/>
                <w:sz w:val="21"/>
                <w:szCs w:val="21"/>
                <w:highlight w:val="none"/>
                <w:u w:val="none"/>
                <w:lang w:val="en-US" w:eastAsia="zh-CN"/>
              </w:rPr>
              <w:t>约定采购量（人份）</w:t>
            </w:r>
          </w:p>
        </w:tc>
      </w:tr>
      <w:tr w14:paraId="2F85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89" w:type="dxa"/>
            <w:vMerge w:val="restart"/>
            <w:tcBorders>
              <w:tl2br w:val="nil"/>
              <w:tr2bl w:val="nil"/>
            </w:tcBorders>
            <w:noWrap w:val="0"/>
            <w:vAlign w:val="center"/>
          </w:tcPr>
          <w:p w14:paraId="20BB0829">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血液透析浓缩物</w:t>
            </w:r>
          </w:p>
        </w:tc>
        <w:tc>
          <w:tcPr>
            <w:tcW w:w="1730" w:type="dxa"/>
            <w:tcBorders>
              <w:tl2br w:val="nil"/>
              <w:tr2bl w:val="nil"/>
            </w:tcBorders>
            <w:noWrap w:val="0"/>
            <w:vAlign w:val="center"/>
          </w:tcPr>
          <w:p w14:paraId="636FF5C4">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C10100124400001</w:t>
            </w:r>
          </w:p>
        </w:tc>
        <w:tc>
          <w:tcPr>
            <w:tcW w:w="2350" w:type="dxa"/>
            <w:tcBorders>
              <w:tl2br w:val="nil"/>
              <w:tr2bl w:val="nil"/>
            </w:tcBorders>
            <w:shd w:val="clear" w:color="auto" w:fill="auto"/>
            <w:noWrap w:val="0"/>
            <w:vAlign w:val="center"/>
          </w:tcPr>
          <w:p w14:paraId="7148A05A">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血液透析浓缩A粉</w:t>
            </w:r>
          </w:p>
        </w:tc>
        <w:tc>
          <w:tcPr>
            <w:tcW w:w="1794" w:type="dxa"/>
            <w:vMerge w:val="restart"/>
            <w:tcBorders>
              <w:tl2br w:val="nil"/>
              <w:tr2bl w:val="nil"/>
            </w:tcBorders>
            <w:noWrap w:val="0"/>
            <w:vAlign w:val="center"/>
          </w:tcPr>
          <w:p w14:paraId="31FFE315">
            <w:pPr>
              <w:keepNext w:val="0"/>
              <w:keepLines w:val="0"/>
              <w:pageBreakBefore w:val="0"/>
              <w:widowControl/>
              <w:suppressLineNumbers w:val="0"/>
              <w:tabs>
                <w:tab w:val="left" w:pos="456"/>
              </w:tabs>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每人份的A剂、B剂均需满足使用4.5小时</w:t>
            </w:r>
          </w:p>
        </w:tc>
        <w:tc>
          <w:tcPr>
            <w:tcW w:w="2064" w:type="dxa"/>
            <w:tcBorders>
              <w:tl2br w:val="nil"/>
              <w:tr2bl w:val="nil"/>
            </w:tcBorders>
            <w:noWrap w:val="0"/>
            <w:vAlign w:val="center"/>
          </w:tcPr>
          <w:p w14:paraId="77EBB324">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0"/>
                <w:szCs w:val="20"/>
                <w:u w:val="none"/>
                <w:lang w:val="en-US" w:eastAsia="zh-CN" w:bidi="ar"/>
              </w:rPr>
            </w:pPr>
          </w:p>
        </w:tc>
      </w:tr>
      <w:tr w14:paraId="4D5E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89" w:type="dxa"/>
            <w:vMerge w:val="continue"/>
            <w:tcBorders>
              <w:tl2br w:val="nil"/>
              <w:tr2bl w:val="nil"/>
            </w:tcBorders>
            <w:noWrap w:val="0"/>
            <w:vAlign w:val="center"/>
          </w:tcPr>
          <w:p w14:paraId="1C18B767">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c>
          <w:tcPr>
            <w:tcW w:w="1730" w:type="dxa"/>
            <w:tcBorders>
              <w:tl2br w:val="nil"/>
              <w:tr2bl w:val="nil"/>
            </w:tcBorders>
            <w:noWrap w:val="0"/>
            <w:vAlign w:val="center"/>
          </w:tcPr>
          <w:p w14:paraId="3412D86C">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C10100124500002</w:t>
            </w:r>
          </w:p>
        </w:tc>
        <w:tc>
          <w:tcPr>
            <w:tcW w:w="2350" w:type="dxa"/>
            <w:tcBorders>
              <w:tl2br w:val="nil"/>
              <w:tr2bl w:val="nil"/>
            </w:tcBorders>
            <w:shd w:val="clear" w:color="auto" w:fill="auto"/>
            <w:noWrap w:val="0"/>
            <w:vAlign w:val="center"/>
          </w:tcPr>
          <w:p w14:paraId="0391BC5F">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血液透析浓缩A液</w:t>
            </w:r>
          </w:p>
        </w:tc>
        <w:tc>
          <w:tcPr>
            <w:tcW w:w="1794" w:type="dxa"/>
            <w:vMerge w:val="continue"/>
            <w:tcBorders>
              <w:tl2br w:val="nil"/>
              <w:tr2bl w:val="nil"/>
            </w:tcBorders>
            <w:noWrap w:val="0"/>
            <w:vAlign w:val="center"/>
          </w:tcPr>
          <w:p w14:paraId="77D1BBDC">
            <w:pPr>
              <w:keepNext w:val="0"/>
              <w:keepLines w:val="0"/>
              <w:pageBreakBefore w:val="0"/>
              <w:widowControl/>
              <w:suppressLineNumbers w:val="0"/>
              <w:tabs>
                <w:tab w:val="left" w:pos="456"/>
              </w:tabs>
              <w:kinsoku/>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auto"/>
                <w:kern w:val="0"/>
                <w:sz w:val="20"/>
                <w:szCs w:val="20"/>
                <w:u w:val="none"/>
                <w:lang w:val="en-US" w:eastAsia="zh-CN" w:bidi="ar"/>
              </w:rPr>
            </w:pPr>
          </w:p>
        </w:tc>
        <w:tc>
          <w:tcPr>
            <w:tcW w:w="2064" w:type="dxa"/>
            <w:tcBorders>
              <w:tl2br w:val="nil"/>
              <w:tr2bl w:val="nil"/>
            </w:tcBorders>
            <w:shd w:val="clear" w:color="auto" w:fill="auto"/>
            <w:noWrap w:val="0"/>
            <w:vAlign w:val="center"/>
          </w:tcPr>
          <w:p w14:paraId="2E770410">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0"/>
                <w:szCs w:val="20"/>
                <w:u w:val="none"/>
                <w:lang w:val="en-US" w:eastAsia="zh-CN" w:bidi="ar"/>
              </w:rPr>
            </w:pPr>
          </w:p>
        </w:tc>
      </w:tr>
      <w:tr w14:paraId="7444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89" w:type="dxa"/>
            <w:vMerge w:val="continue"/>
            <w:tcBorders>
              <w:tl2br w:val="nil"/>
              <w:tr2bl w:val="nil"/>
            </w:tcBorders>
            <w:noWrap w:val="0"/>
            <w:vAlign w:val="center"/>
          </w:tcPr>
          <w:p w14:paraId="6E913D1F">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c>
          <w:tcPr>
            <w:tcW w:w="1730" w:type="dxa"/>
            <w:tcBorders>
              <w:tl2br w:val="nil"/>
              <w:tr2bl w:val="nil"/>
            </w:tcBorders>
            <w:noWrap w:val="0"/>
            <w:vAlign w:val="center"/>
          </w:tcPr>
          <w:p w14:paraId="23B6E8A6">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C10100124400001</w:t>
            </w:r>
          </w:p>
        </w:tc>
        <w:tc>
          <w:tcPr>
            <w:tcW w:w="2350" w:type="dxa"/>
            <w:tcBorders>
              <w:tl2br w:val="nil"/>
              <w:tr2bl w:val="nil"/>
            </w:tcBorders>
            <w:shd w:val="clear" w:color="auto" w:fill="auto"/>
            <w:noWrap w:val="0"/>
            <w:vAlign w:val="center"/>
          </w:tcPr>
          <w:p w14:paraId="3C3C29B1">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血液透析浓缩B粉</w:t>
            </w:r>
          </w:p>
        </w:tc>
        <w:tc>
          <w:tcPr>
            <w:tcW w:w="1794" w:type="dxa"/>
            <w:vMerge w:val="continue"/>
            <w:tcBorders>
              <w:tl2br w:val="nil"/>
              <w:tr2bl w:val="nil"/>
            </w:tcBorders>
            <w:noWrap w:val="0"/>
            <w:vAlign w:val="center"/>
          </w:tcPr>
          <w:p w14:paraId="6CBEC78C">
            <w:pPr>
              <w:keepNext w:val="0"/>
              <w:keepLines w:val="0"/>
              <w:pageBreakBefore w:val="0"/>
              <w:widowControl/>
              <w:suppressLineNumbers w:val="0"/>
              <w:tabs>
                <w:tab w:val="left" w:pos="456"/>
              </w:tabs>
              <w:kinsoku/>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auto"/>
                <w:kern w:val="0"/>
                <w:sz w:val="20"/>
                <w:szCs w:val="20"/>
                <w:u w:val="none"/>
                <w:lang w:val="en-US" w:eastAsia="zh-CN" w:bidi="ar"/>
              </w:rPr>
            </w:pPr>
          </w:p>
        </w:tc>
        <w:tc>
          <w:tcPr>
            <w:tcW w:w="2064" w:type="dxa"/>
            <w:tcBorders>
              <w:tl2br w:val="nil"/>
              <w:tr2bl w:val="nil"/>
            </w:tcBorders>
            <w:shd w:val="clear" w:color="auto" w:fill="auto"/>
            <w:noWrap w:val="0"/>
            <w:vAlign w:val="center"/>
          </w:tcPr>
          <w:p w14:paraId="20E3AEA3">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0"/>
                <w:szCs w:val="20"/>
                <w:u w:val="none"/>
                <w:lang w:val="en-US" w:eastAsia="zh-CN" w:bidi="ar"/>
              </w:rPr>
            </w:pPr>
          </w:p>
        </w:tc>
      </w:tr>
      <w:tr w14:paraId="068B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89" w:type="dxa"/>
            <w:vMerge w:val="continue"/>
            <w:tcBorders>
              <w:tl2br w:val="nil"/>
              <w:tr2bl w:val="nil"/>
            </w:tcBorders>
            <w:noWrap w:val="0"/>
            <w:vAlign w:val="center"/>
          </w:tcPr>
          <w:p w14:paraId="5F58D697">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c>
          <w:tcPr>
            <w:tcW w:w="1730" w:type="dxa"/>
            <w:tcBorders>
              <w:tl2br w:val="nil"/>
              <w:tr2bl w:val="nil"/>
            </w:tcBorders>
            <w:noWrap w:val="0"/>
            <w:vAlign w:val="center"/>
          </w:tcPr>
          <w:p w14:paraId="77090351">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C10100124400001</w:t>
            </w:r>
          </w:p>
        </w:tc>
        <w:tc>
          <w:tcPr>
            <w:tcW w:w="2350" w:type="dxa"/>
            <w:tcBorders>
              <w:tl2br w:val="nil"/>
              <w:tr2bl w:val="nil"/>
            </w:tcBorders>
            <w:shd w:val="clear" w:color="auto" w:fill="auto"/>
            <w:noWrap w:val="0"/>
            <w:vAlign w:val="center"/>
          </w:tcPr>
          <w:p w14:paraId="5C66A2C4">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血液透析浓缩联机B粉</w:t>
            </w:r>
          </w:p>
        </w:tc>
        <w:tc>
          <w:tcPr>
            <w:tcW w:w="1794" w:type="dxa"/>
            <w:vMerge w:val="continue"/>
            <w:tcBorders>
              <w:tl2br w:val="nil"/>
              <w:tr2bl w:val="nil"/>
            </w:tcBorders>
            <w:noWrap w:val="0"/>
            <w:vAlign w:val="center"/>
          </w:tcPr>
          <w:p w14:paraId="68841BA5">
            <w:pPr>
              <w:keepNext w:val="0"/>
              <w:keepLines w:val="0"/>
              <w:pageBreakBefore w:val="0"/>
              <w:widowControl/>
              <w:suppressLineNumbers w:val="0"/>
              <w:tabs>
                <w:tab w:val="left" w:pos="456"/>
              </w:tabs>
              <w:kinsoku/>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auto"/>
                <w:kern w:val="0"/>
                <w:sz w:val="20"/>
                <w:szCs w:val="20"/>
                <w:u w:val="none"/>
                <w:lang w:val="en-US" w:eastAsia="zh-CN" w:bidi="ar"/>
              </w:rPr>
            </w:pPr>
          </w:p>
        </w:tc>
        <w:tc>
          <w:tcPr>
            <w:tcW w:w="2064" w:type="dxa"/>
            <w:tcBorders>
              <w:tl2br w:val="nil"/>
              <w:tr2bl w:val="nil"/>
            </w:tcBorders>
            <w:shd w:val="clear" w:color="auto" w:fill="auto"/>
            <w:noWrap w:val="0"/>
            <w:vAlign w:val="center"/>
          </w:tcPr>
          <w:p w14:paraId="6EAA8C9D">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0"/>
                <w:szCs w:val="20"/>
                <w:u w:val="none"/>
                <w:lang w:val="en-US" w:eastAsia="zh-CN" w:bidi="ar"/>
              </w:rPr>
            </w:pPr>
          </w:p>
        </w:tc>
      </w:tr>
      <w:tr w14:paraId="6E39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89" w:type="dxa"/>
            <w:vMerge w:val="continue"/>
            <w:tcBorders>
              <w:tl2br w:val="nil"/>
              <w:tr2bl w:val="nil"/>
            </w:tcBorders>
            <w:noWrap w:val="0"/>
            <w:vAlign w:val="center"/>
          </w:tcPr>
          <w:p w14:paraId="6D8CEE10">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c>
          <w:tcPr>
            <w:tcW w:w="1730" w:type="dxa"/>
            <w:tcBorders>
              <w:tl2br w:val="nil"/>
              <w:tr2bl w:val="nil"/>
            </w:tcBorders>
            <w:noWrap w:val="0"/>
            <w:vAlign w:val="center"/>
          </w:tcPr>
          <w:p w14:paraId="020AC5DE">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C10100124500002</w:t>
            </w:r>
          </w:p>
        </w:tc>
        <w:tc>
          <w:tcPr>
            <w:tcW w:w="2350" w:type="dxa"/>
            <w:tcBorders>
              <w:tl2br w:val="nil"/>
              <w:tr2bl w:val="nil"/>
            </w:tcBorders>
            <w:shd w:val="clear" w:color="auto" w:fill="auto"/>
            <w:noWrap w:val="0"/>
            <w:vAlign w:val="center"/>
          </w:tcPr>
          <w:p w14:paraId="47635B60">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血液透析浓缩B液</w:t>
            </w:r>
          </w:p>
        </w:tc>
        <w:tc>
          <w:tcPr>
            <w:tcW w:w="1794" w:type="dxa"/>
            <w:vMerge w:val="continue"/>
            <w:tcBorders>
              <w:tl2br w:val="nil"/>
              <w:tr2bl w:val="nil"/>
            </w:tcBorders>
            <w:noWrap w:val="0"/>
            <w:vAlign w:val="center"/>
          </w:tcPr>
          <w:p w14:paraId="5914C54F">
            <w:pPr>
              <w:keepNext w:val="0"/>
              <w:keepLines w:val="0"/>
              <w:pageBreakBefore w:val="0"/>
              <w:widowControl/>
              <w:suppressLineNumbers w:val="0"/>
              <w:tabs>
                <w:tab w:val="left" w:pos="456"/>
              </w:tabs>
              <w:kinsoku/>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auto"/>
                <w:kern w:val="0"/>
                <w:sz w:val="20"/>
                <w:szCs w:val="20"/>
                <w:u w:val="none"/>
                <w:lang w:val="en-US" w:eastAsia="zh-CN" w:bidi="ar"/>
              </w:rPr>
            </w:pPr>
          </w:p>
        </w:tc>
        <w:tc>
          <w:tcPr>
            <w:tcW w:w="2064" w:type="dxa"/>
            <w:tcBorders>
              <w:tl2br w:val="nil"/>
              <w:tr2bl w:val="nil"/>
            </w:tcBorders>
            <w:shd w:val="clear" w:color="auto" w:fill="auto"/>
            <w:noWrap w:val="0"/>
            <w:vAlign w:val="center"/>
          </w:tcPr>
          <w:p w14:paraId="594BCA24">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0"/>
                <w:szCs w:val="20"/>
                <w:u w:val="none"/>
                <w:lang w:val="en-US" w:eastAsia="zh-CN" w:bidi="ar"/>
              </w:rPr>
            </w:pPr>
          </w:p>
        </w:tc>
      </w:tr>
    </w:tbl>
    <w:p w14:paraId="7D87F26D">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三、采购主体</w:t>
      </w:r>
    </w:p>
    <w:p w14:paraId="3FB1EFBF">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河北省</w:t>
      </w:r>
      <w:r>
        <w:rPr>
          <w:rFonts w:hint="eastAsia" w:ascii="仿宋" w:hAnsi="仿宋" w:eastAsia="仿宋" w:cs="仿宋"/>
          <w:color w:val="auto"/>
          <w:sz w:val="32"/>
          <w:szCs w:val="32"/>
        </w:rPr>
        <w:t>公立医疗机构和军队医疗机构作为医用耗材采购主体均应参加，医保定点社会办医疗机构按照定点协议管理的要求参加。</w:t>
      </w:r>
    </w:p>
    <w:p w14:paraId="7CD045F7">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四、采购方式与采购要求</w:t>
      </w:r>
    </w:p>
    <w:p w14:paraId="24151516">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（一）本次</w:t>
      </w:r>
      <w:r>
        <w:rPr>
          <w:rFonts w:hint="eastAsia" w:ascii="仿宋" w:hAnsi="仿宋" w:eastAsia="仿宋" w:cs="仿宋"/>
          <w:color w:val="auto"/>
          <w:sz w:val="32"/>
          <w:szCs w:val="32"/>
          <w:lang w:val="en-US" w:eastAsia="zh-CN"/>
        </w:rPr>
        <w:t>血液透析浓缩物</w:t>
      </w:r>
      <w:r>
        <w:rPr>
          <w:rFonts w:hint="eastAsia" w:ascii="仿宋" w:hAnsi="仿宋" w:eastAsia="仿宋" w:cs="仿宋"/>
          <w:color w:val="auto"/>
          <w:sz w:val="32"/>
          <w:szCs w:val="32"/>
        </w:rPr>
        <w:t>采购方式为带量联动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以量换价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即依据采购主体使用需求，参照市场总体价格水平等因素，联动全国</w:t>
      </w:r>
      <w:r>
        <w:rPr>
          <w:rFonts w:hint="eastAsia" w:ascii="仿宋" w:hAnsi="仿宋" w:eastAsia="仿宋" w:cs="仿宋"/>
          <w:color w:val="auto"/>
          <w:sz w:val="32"/>
          <w:szCs w:val="32"/>
          <w:lang w:val="en-US" w:eastAsia="zh-CN"/>
        </w:rPr>
        <w:t>省</w:t>
      </w:r>
      <w:r>
        <w:rPr>
          <w:rFonts w:hint="eastAsia" w:ascii="仿宋" w:hAnsi="仿宋" w:eastAsia="仿宋" w:cs="仿宋"/>
          <w:color w:val="auto"/>
          <w:sz w:val="32"/>
          <w:szCs w:val="32"/>
        </w:rPr>
        <w:t>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含联盟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集中带量</w:t>
      </w:r>
      <w:r>
        <w:rPr>
          <w:rFonts w:hint="eastAsia" w:ascii="仿宋" w:hAnsi="仿宋" w:eastAsia="仿宋" w:cs="仿宋"/>
          <w:color w:val="auto"/>
          <w:sz w:val="32"/>
          <w:szCs w:val="32"/>
        </w:rPr>
        <w:t>采购价格(含已产生中选结果未落地执行的价格)，确定中选产品，实行带量采购。</w:t>
      </w:r>
    </w:p>
    <w:p w14:paraId="58E827A3">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本次</w:t>
      </w:r>
      <w:r>
        <w:rPr>
          <w:rFonts w:hint="eastAsia" w:ascii="仿宋" w:hAnsi="仿宋" w:eastAsia="仿宋" w:cs="仿宋"/>
          <w:color w:val="auto"/>
          <w:sz w:val="32"/>
          <w:szCs w:val="32"/>
          <w:lang w:val="en-US" w:eastAsia="zh-CN"/>
        </w:rPr>
        <w:t>血液透析浓缩物的最小竞价单位为人份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每人份的A剂、B剂均需满足使用4.5小时</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人份与升、克、袋、筒等计量单位的转换以产品医疗器械注册证、技术要求、说明书等为准，规格型号转换成人份后须为整数，如为非整数则舍去小数点后部分取整。</w:t>
      </w:r>
    </w:p>
    <w:p w14:paraId="20460AF0">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（二）采购周期内，采购主体优先使用本次</w:t>
      </w:r>
      <w:r>
        <w:rPr>
          <w:rFonts w:hint="eastAsia" w:ascii="仿宋" w:hAnsi="仿宋" w:eastAsia="仿宋" w:cs="仿宋"/>
          <w:color w:val="auto"/>
          <w:sz w:val="32"/>
          <w:szCs w:val="32"/>
          <w:lang w:val="en-US" w:eastAsia="zh-CN"/>
        </w:rPr>
        <w:t>血液透析浓缩物</w:t>
      </w:r>
      <w:r>
        <w:rPr>
          <w:rFonts w:hint="eastAsia" w:ascii="仿宋" w:hAnsi="仿宋" w:eastAsia="仿宋" w:cs="仿宋"/>
          <w:color w:val="auto"/>
          <w:sz w:val="32"/>
          <w:szCs w:val="32"/>
        </w:rPr>
        <w:t>带量联动采购中选产品，确保完成协议采购量。采购周期内采购主体完成年度协议采购量，超出协议采购量的部分，中选企业仍需按中选价格进行供应，直至采购周期届满。</w:t>
      </w:r>
    </w:p>
    <w:p w14:paraId="6F25FFED">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lang w:val="en-US" w:eastAsia="zh-CN"/>
        </w:rPr>
        <w:t>（三）采购周期内，对中选产品实行动态管理，包括取消中选资格、调整中选信息（价格）、递（替）补产品进入等。如中选企业的同一中选产品在全国省级（含联盟）集中带量采购产生新的低价，中选结果落地实施后30日内，向河北省医用药品器械集中采购中心进行申报，采购中心调整至新的低价。</w:t>
      </w:r>
    </w:p>
    <w:p w14:paraId="0D75BEDB">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第一个采购年度内，如有新产品在全国省级（含联盟）集中带量采购中选，采购年度结束后统一调整，新的中选价格须低于同采购品种同产品分类最低中选价格。</w:t>
      </w:r>
    </w:p>
    <w:p w14:paraId="3F5FD6E8">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五、企业申报要求</w:t>
      </w:r>
    </w:p>
    <w:p w14:paraId="2072E305">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（一）申报企业应遵守《中华人民共和国专利法》、《中华人民共和国反不正当竞争法》等相关法律法规。取得</w:t>
      </w:r>
      <w:r>
        <w:rPr>
          <w:rFonts w:hint="eastAsia" w:ascii="仿宋" w:hAnsi="仿宋" w:eastAsia="仿宋" w:cs="仿宋"/>
          <w:color w:val="auto"/>
          <w:sz w:val="32"/>
          <w:szCs w:val="32"/>
          <w:lang w:val="en-US" w:eastAsia="zh-CN"/>
        </w:rPr>
        <w:t>血液透析浓缩物</w:t>
      </w:r>
      <w:r>
        <w:rPr>
          <w:rFonts w:hint="eastAsia" w:ascii="仿宋" w:hAnsi="仿宋" w:eastAsia="仿宋" w:cs="仿宋"/>
          <w:color w:val="auto"/>
          <w:sz w:val="32"/>
          <w:szCs w:val="32"/>
        </w:rPr>
        <w:t>产品合法资质的医疗器械</w:t>
      </w:r>
      <w:r>
        <w:rPr>
          <w:rFonts w:hint="eastAsia" w:ascii="仿宋" w:hAnsi="仿宋" w:eastAsia="仿宋" w:cs="仿宋"/>
          <w:color w:val="auto"/>
          <w:sz w:val="32"/>
          <w:szCs w:val="32"/>
          <w:lang w:val="en-US" w:eastAsia="zh-CN"/>
        </w:rPr>
        <w:t>注册</w:t>
      </w:r>
      <w:r>
        <w:rPr>
          <w:rFonts w:hint="eastAsia" w:ascii="仿宋" w:hAnsi="仿宋" w:eastAsia="仿宋" w:cs="仿宋"/>
          <w:color w:val="auto"/>
          <w:sz w:val="32"/>
          <w:szCs w:val="32"/>
        </w:rPr>
        <w:t>人作为申报企业，均可参加。进口医疗器械境外</w:t>
      </w:r>
      <w:r>
        <w:rPr>
          <w:rFonts w:hint="eastAsia" w:ascii="仿宋" w:hAnsi="仿宋" w:eastAsia="仿宋" w:cs="仿宋"/>
          <w:color w:val="auto"/>
          <w:sz w:val="32"/>
          <w:szCs w:val="32"/>
          <w:lang w:val="en-US" w:eastAsia="zh-CN"/>
        </w:rPr>
        <w:t>注册</w:t>
      </w:r>
      <w:r>
        <w:rPr>
          <w:rFonts w:hint="eastAsia" w:ascii="仿宋" w:hAnsi="仿宋" w:eastAsia="仿宋" w:cs="仿宋"/>
          <w:color w:val="auto"/>
          <w:sz w:val="32"/>
          <w:szCs w:val="32"/>
        </w:rPr>
        <w:t>人在中华人民共和国境内设立的代表机构或者指定企业法人视同</w:t>
      </w:r>
      <w:r>
        <w:rPr>
          <w:rFonts w:hint="eastAsia" w:ascii="仿宋" w:hAnsi="仿宋" w:eastAsia="仿宋" w:cs="仿宋"/>
          <w:color w:val="auto"/>
          <w:sz w:val="32"/>
          <w:szCs w:val="32"/>
          <w:lang w:val="en-US" w:eastAsia="zh-CN"/>
        </w:rPr>
        <w:t>注册</w:t>
      </w:r>
      <w:r>
        <w:rPr>
          <w:rFonts w:hint="eastAsia" w:ascii="仿宋" w:hAnsi="仿宋" w:eastAsia="仿宋" w:cs="仿宋"/>
          <w:color w:val="auto"/>
          <w:sz w:val="32"/>
          <w:szCs w:val="32"/>
        </w:rPr>
        <w:t>人。同一医疗器械</w:t>
      </w:r>
      <w:r>
        <w:rPr>
          <w:rFonts w:hint="eastAsia" w:ascii="仿宋" w:hAnsi="仿宋" w:eastAsia="仿宋" w:cs="仿宋"/>
          <w:color w:val="auto"/>
          <w:sz w:val="32"/>
          <w:szCs w:val="32"/>
          <w:lang w:val="en-US" w:eastAsia="zh-CN"/>
        </w:rPr>
        <w:t>注册</w:t>
      </w:r>
      <w:r>
        <w:rPr>
          <w:rFonts w:hint="eastAsia" w:ascii="仿宋" w:hAnsi="仿宋" w:eastAsia="仿宋" w:cs="仿宋"/>
          <w:color w:val="auto"/>
          <w:sz w:val="32"/>
          <w:szCs w:val="32"/>
        </w:rPr>
        <w:t>人的同一采购品种不得委托不同企业进行申报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同一采购品种不同医疗器械</w:t>
      </w:r>
      <w:r>
        <w:rPr>
          <w:rFonts w:hint="eastAsia" w:ascii="仿宋" w:hAnsi="仿宋" w:eastAsia="仿宋" w:cs="仿宋"/>
          <w:color w:val="auto"/>
          <w:sz w:val="32"/>
          <w:szCs w:val="32"/>
          <w:lang w:val="en-US" w:eastAsia="zh-CN"/>
        </w:rPr>
        <w:t>注册</w:t>
      </w:r>
      <w:r>
        <w:rPr>
          <w:rFonts w:hint="eastAsia" w:ascii="仿宋" w:hAnsi="仿宋" w:eastAsia="仿宋" w:cs="仿宋"/>
          <w:color w:val="auto"/>
          <w:sz w:val="32"/>
          <w:szCs w:val="32"/>
        </w:rPr>
        <w:t>人不得委托同一家企业申报。</w:t>
      </w:r>
    </w:p>
    <w:p w14:paraId="7B64D2A9">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（二）申报产品应属于采购品种范围并获得有效中华人民共和国医疗器械注册证，符合国家有关部门的质量标准要求，并按国家有关部门要求组织生产。</w:t>
      </w:r>
    </w:p>
    <w:p w14:paraId="4C316942">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本次带量联动采购以</w:t>
      </w:r>
      <w:r>
        <w:rPr>
          <w:rFonts w:hint="eastAsia" w:ascii="仿宋" w:hAnsi="仿宋" w:eastAsia="仿宋" w:cs="仿宋"/>
          <w:color w:val="auto"/>
          <w:sz w:val="32"/>
          <w:szCs w:val="32"/>
          <w:lang w:val="en-US" w:eastAsia="zh-CN"/>
        </w:rPr>
        <w:t>企业为单位</w:t>
      </w:r>
      <w:r>
        <w:rPr>
          <w:rFonts w:hint="eastAsia" w:ascii="仿宋" w:hAnsi="仿宋" w:eastAsia="仿宋" w:cs="仿宋"/>
          <w:color w:val="auto"/>
          <w:sz w:val="32"/>
          <w:szCs w:val="32"/>
          <w:lang w:eastAsia="zh-CN"/>
        </w:rPr>
        <w:t>进行</w:t>
      </w:r>
      <w:r>
        <w:rPr>
          <w:rFonts w:hint="eastAsia" w:ascii="仿宋" w:hAnsi="仿宋" w:eastAsia="仿宋" w:cs="仿宋"/>
          <w:color w:val="auto"/>
          <w:sz w:val="32"/>
          <w:szCs w:val="32"/>
        </w:rPr>
        <w:t>申报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每</w:t>
      </w:r>
      <w:r>
        <w:rPr>
          <w:rFonts w:hint="eastAsia" w:ascii="仿宋" w:hAnsi="仿宋" w:eastAsia="仿宋" w:cs="仿宋"/>
          <w:color w:val="auto"/>
          <w:sz w:val="32"/>
          <w:szCs w:val="32"/>
          <w:lang w:val="en-US" w:eastAsia="zh-CN"/>
        </w:rPr>
        <w:t>家企业每个产品分类</w:t>
      </w:r>
      <w:r>
        <w:rPr>
          <w:rFonts w:hint="eastAsia" w:ascii="仿宋" w:hAnsi="仿宋" w:eastAsia="仿宋" w:cs="仿宋"/>
          <w:color w:val="auto"/>
          <w:sz w:val="32"/>
          <w:szCs w:val="32"/>
        </w:rPr>
        <w:t>只能申报一个价格</w:t>
      </w:r>
      <w:r>
        <w:rPr>
          <w:rFonts w:hint="eastAsia" w:ascii="仿宋" w:hAnsi="仿宋" w:eastAsia="仿宋" w:cs="仿宋"/>
          <w:color w:val="auto"/>
          <w:sz w:val="32"/>
          <w:szCs w:val="32"/>
          <w:lang w:eastAsia="zh-CN"/>
        </w:rPr>
        <w:t>。</w:t>
      </w:r>
    </w:p>
    <w:p w14:paraId="4FD7D0FD">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）申报企业须在规定时间内参加，并完成相关系统操作。须承诺中选产品在采购周期内满足</w:t>
      </w:r>
      <w:r>
        <w:rPr>
          <w:rFonts w:hint="eastAsia" w:ascii="仿宋" w:hAnsi="仿宋" w:eastAsia="仿宋" w:cs="仿宋"/>
          <w:color w:val="auto"/>
          <w:sz w:val="32"/>
          <w:szCs w:val="32"/>
          <w:lang w:val="en-US" w:eastAsia="zh-CN"/>
        </w:rPr>
        <w:t>河北省</w:t>
      </w:r>
      <w:r>
        <w:rPr>
          <w:rFonts w:hint="eastAsia" w:ascii="仿宋" w:hAnsi="仿宋" w:eastAsia="仿宋" w:cs="仿宋"/>
          <w:color w:val="auto"/>
          <w:sz w:val="32"/>
          <w:szCs w:val="32"/>
        </w:rPr>
        <w:t>采购需求，保持带量联动采购前后伴随服务供给的延续性，维持服务内容及费用标准不变，同意相关信用承诺可根据工作需要进行公开。</w:t>
      </w:r>
    </w:p>
    <w:p w14:paraId="5D8B97C8">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）本次带量联动采购工作依托“</w:t>
      </w:r>
      <w:r>
        <w:rPr>
          <w:rFonts w:hint="eastAsia" w:ascii="仿宋" w:hAnsi="仿宋" w:eastAsia="仿宋" w:cs="仿宋"/>
          <w:color w:val="auto"/>
          <w:sz w:val="32"/>
          <w:szCs w:val="32"/>
          <w:lang w:val="en"/>
        </w:rPr>
        <w:t>河北省药品和医用耗材招采管理子系统</w:t>
      </w:r>
      <w:r>
        <w:rPr>
          <w:rFonts w:hint="eastAsia" w:ascii="仿宋" w:hAnsi="仿宋" w:eastAsia="仿宋" w:cs="仿宋"/>
          <w:color w:val="auto"/>
          <w:sz w:val="32"/>
          <w:szCs w:val="32"/>
          <w:lang w:val="en" w:eastAsia="zh-CN"/>
        </w:rPr>
        <w:t>”</w:t>
      </w:r>
      <w:r>
        <w:rPr>
          <w:rFonts w:hint="eastAsia" w:ascii="仿宋" w:hAnsi="仿宋" w:eastAsia="仿宋" w:cs="仿宋"/>
          <w:color w:val="auto"/>
          <w:sz w:val="32"/>
          <w:szCs w:val="32"/>
          <w:lang w:val="en"/>
        </w:rPr>
        <w:t>（http://ylbzj.hebei.gov.cn/pub/#/unitLogin）</w:t>
      </w:r>
      <w:r>
        <w:rPr>
          <w:rFonts w:hint="eastAsia" w:ascii="仿宋" w:hAnsi="仿宋" w:eastAsia="仿宋" w:cs="仿宋"/>
          <w:color w:val="auto"/>
          <w:sz w:val="32"/>
          <w:szCs w:val="32"/>
          <w:lang w:val="en-US" w:eastAsia="zh-CN"/>
        </w:rPr>
        <w:t>开展，</w:t>
      </w:r>
      <w:r>
        <w:rPr>
          <w:rFonts w:hint="eastAsia" w:ascii="仿宋" w:hAnsi="仿宋" w:eastAsia="仿宋" w:cs="仿宋"/>
          <w:color w:val="auto"/>
          <w:sz w:val="32"/>
          <w:szCs w:val="32"/>
        </w:rPr>
        <w:t>申报企业须领取</w:t>
      </w:r>
      <w:r>
        <w:rPr>
          <w:rFonts w:hint="eastAsia" w:ascii="仿宋" w:hAnsi="仿宋" w:eastAsia="仿宋" w:cs="仿宋"/>
          <w:color w:val="auto"/>
          <w:sz w:val="32"/>
          <w:szCs w:val="32"/>
          <w:highlight w:val="none"/>
          <w:u w:val="none"/>
        </w:rPr>
        <w:t>CA数字证书</w:t>
      </w:r>
      <w:r>
        <w:rPr>
          <w:rFonts w:hint="eastAsia" w:ascii="仿宋" w:hAnsi="仿宋" w:eastAsia="仿宋" w:cs="仿宋"/>
          <w:color w:val="auto"/>
          <w:sz w:val="32"/>
          <w:szCs w:val="32"/>
        </w:rPr>
        <w:t>。</w:t>
      </w:r>
      <w:r>
        <w:rPr>
          <w:rFonts w:hint="eastAsia" w:ascii="仿宋" w:hAnsi="仿宋" w:eastAsia="仿宋" w:cs="仿宋"/>
          <w:color w:val="auto"/>
          <w:sz w:val="32"/>
          <w:szCs w:val="32"/>
        </w:rPr>
        <w:t>已领取</w:t>
      </w:r>
      <w:r>
        <w:rPr>
          <w:rFonts w:hint="eastAsia" w:ascii="仿宋" w:hAnsi="仿宋" w:eastAsia="仿宋" w:cs="仿宋"/>
          <w:color w:val="auto"/>
          <w:sz w:val="32"/>
          <w:szCs w:val="32"/>
          <w:lang w:val="en-US" w:eastAsia="zh-CN"/>
        </w:rPr>
        <w:t>CA</w:t>
      </w:r>
      <w:r>
        <w:rPr>
          <w:rFonts w:hint="eastAsia" w:ascii="仿宋" w:hAnsi="仿宋" w:eastAsia="仿宋" w:cs="仿宋"/>
          <w:color w:val="auto"/>
          <w:sz w:val="32"/>
          <w:szCs w:val="32"/>
        </w:rPr>
        <w:t>数字证书的企业无需重复领取。</w:t>
      </w:r>
    </w:p>
    <w:p w14:paraId="178EAD3D">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六、中选产品的确定</w:t>
      </w:r>
      <w:r>
        <w:rPr>
          <w:rFonts w:hint="eastAsia" w:ascii="黑体" w:hAnsi="黑体" w:eastAsia="黑体" w:cs="黑体"/>
          <w:color w:val="auto"/>
          <w:sz w:val="32"/>
          <w:szCs w:val="32"/>
          <w:lang w:val="en-US" w:eastAsia="zh-CN"/>
        </w:rPr>
        <w:t>规则</w:t>
      </w:r>
    </w:p>
    <w:p w14:paraId="1CD618F6">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（一）全国</w:t>
      </w:r>
      <w:r>
        <w:rPr>
          <w:rFonts w:hint="eastAsia" w:ascii="仿宋" w:hAnsi="仿宋" w:eastAsia="仿宋" w:cs="仿宋"/>
          <w:color w:val="auto"/>
          <w:sz w:val="32"/>
          <w:szCs w:val="32"/>
          <w:lang w:val="en-US" w:eastAsia="zh-CN"/>
        </w:rPr>
        <w:t>省</w:t>
      </w:r>
      <w:r>
        <w:rPr>
          <w:rFonts w:hint="eastAsia" w:ascii="仿宋" w:hAnsi="仿宋" w:eastAsia="仿宋" w:cs="仿宋"/>
          <w:color w:val="auto"/>
          <w:sz w:val="32"/>
          <w:szCs w:val="32"/>
        </w:rPr>
        <w:t>级（含联盟）集中带量采购的中选产品，同意以不高于本企业</w:t>
      </w:r>
      <w:r>
        <w:rPr>
          <w:rFonts w:hint="eastAsia" w:ascii="仿宋" w:hAnsi="仿宋" w:eastAsia="仿宋" w:cs="仿宋"/>
          <w:color w:val="auto"/>
          <w:sz w:val="32"/>
          <w:szCs w:val="32"/>
          <w:lang w:val="en-US" w:eastAsia="zh-CN"/>
        </w:rPr>
        <w:t>同产品分类下</w:t>
      </w:r>
      <w:r>
        <w:rPr>
          <w:rFonts w:hint="eastAsia" w:ascii="仿宋" w:hAnsi="仿宋" w:eastAsia="仿宋" w:cs="仿宋"/>
          <w:color w:val="auto"/>
          <w:sz w:val="32"/>
          <w:szCs w:val="32"/>
        </w:rPr>
        <w:t>最低中选价格(含已产生中选结果未落地执行的价格)供应</w:t>
      </w:r>
      <w:r>
        <w:rPr>
          <w:rFonts w:hint="eastAsia" w:ascii="仿宋" w:hAnsi="仿宋" w:eastAsia="仿宋" w:cs="仿宋"/>
          <w:color w:val="auto"/>
          <w:sz w:val="32"/>
          <w:szCs w:val="32"/>
          <w:lang w:val="en-US" w:eastAsia="zh-CN"/>
        </w:rPr>
        <w:t>河北省</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确定</w:t>
      </w:r>
      <w:r>
        <w:rPr>
          <w:rFonts w:hint="eastAsia" w:ascii="仿宋" w:hAnsi="仿宋" w:eastAsia="仿宋" w:cs="仿宋"/>
          <w:color w:val="auto"/>
          <w:sz w:val="32"/>
          <w:szCs w:val="32"/>
        </w:rPr>
        <w:t>为本次带量联动的中选产品。</w:t>
      </w:r>
    </w:p>
    <w:p w14:paraId="153643E0">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申报</w:t>
      </w:r>
      <w:r>
        <w:rPr>
          <w:rFonts w:hint="eastAsia" w:ascii="仿宋" w:hAnsi="仿宋" w:eastAsia="仿宋" w:cs="仿宋"/>
          <w:color w:val="auto"/>
          <w:sz w:val="32"/>
          <w:szCs w:val="32"/>
        </w:rPr>
        <w:t>价格</w:t>
      </w:r>
      <w:r>
        <w:rPr>
          <w:rFonts w:hint="eastAsia" w:ascii="仿宋" w:hAnsi="仿宋" w:eastAsia="仿宋" w:cs="仿宋"/>
          <w:color w:val="auto"/>
          <w:sz w:val="32"/>
          <w:szCs w:val="32"/>
          <w:lang w:val="en-US" w:eastAsia="zh-CN"/>
        </w:rPr>
        <w:t>和中选后供应</w:t>
      </w:r>
      <w:r>
        <w:rPr>
          <w:rFonts w:hint="eastAsia" w:ascii="仿宋" w:hAnsi="仿宋" w:eastAsia="仿宋" w:cs="仿宋"/>
          <w:color w:val="auto"/>
          <w:sz w:val="32"/>
          <w:szCs w:val="32"/>
        </w:rPr>
        <w:t>价格</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详见下表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须</w:t>
      </w:r>
      <w:r>
        <w:rPr>
          <w:rFonts w:hint="eastAsia" w:ascii="仿宋" w:hAnsi="仿宋" w:eastAsia="仿宋" w:cs="仿宋"/>
          <w:color w:val="auto"/>
          <w:sz w:val="32"/>
          <w:szCs w:val="32"/>
        </w:rPr>
        <w:t>不高于本企业</w:t>
      </w:r>
      <w:r>
        <w:rPr>
          <w:rFonts w:hint="eastAsia" w:ascii="仿宋" w:hAnsi="仿宋" w:eastAsia="仿宋" w:cs="仿宋"/>
          <w:color w:val="auto"/>
          <w:sz w:val="32"/>
          <w:szCs w:val="32"/>
          <w:lang w:val="en-US" w:eastAsia="zh-CN"/>
        </w:rPr>
        <w:t>同产品分类下所有</w:t>
      </w:r>
      <w:r>
        <w:rPr>
          <w:rFonts w:hint="eastAsia" w:ascii="仿宋" w:hAnsi="仿宋" w:eastAsia="仿宋" w:cs="仿宋"/>
          <w:color w:val="auto"/>
          <w:sz w:val="32"/>
          <w:szCs w:val="32"/>
        </w:rPr>
        <w:t>规格型号在全国</w:t>
      </w:r>
      <w:r>
        <w:rPr>
          <w:rFonts w:hint="eastAsia" w:ascii="仿宋" w:hAnsi="仿宋" w:eastAsia="仿宋" w:cs="仿宋"/>
          <w:color w:val="auto"/>
          <w:sz w:val="32"/>
          <w:szCs w:val="32"/>
          <w:lang w:val="en-US" w:eastAsia="zh-CN"/>
        </w:rPr>
        <w:t>省</w:t>
      </w:r>
      <w:r>
        <w:rPr>
          <w:rFonts w:hint="eastAsia" w:ascii="仿宋" w:hAnsi="仿宋" w:eastAsia="仿宋" w:cs="仿宋"/>
          <w:color w:val="auto"/>
          <w:sz w:val="32"/>
          <w:szCs w:val="32"/>
        </w:rPr>
        <w:t>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含联盟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集中带量采购最低中选价格(含已产生中选结果未落地执行的价格)</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不高于本</w:t>
      </w:r>
      <w:r>
        <w:rPr>
          <w:rFonts w:hint="eastAsia" w:ascii="仿宋" w:hAnsi="仿宋" w:eastAsia="仿宋" w:cs="仿宋"/>
          <w:color w:val="auto"/>
          <w:sz w:val="32"/>
          <w:szCs w:val="32"/>
        </w:rPr>
        <w:t>企业</w:t>
      </w:r>
      <w:r>
        <w:rPr>
          <w:rFonts w:hint="eastAsia" w:ascii="仿宋" w:hAnsi="仿宋" w:eastAsia="仿宋" w:cs="仿宋"/>
          <w:color w:val="auto"/>
          <w:sz w:val="32"/>
          <w:szCs w:val="32"/>
          <w:lang w:val="en-US" w:eastAsia="zh-CN"/>
        </w:rPr>
        <w:t>同产品分类下所有规格型号</w:t>
      </w:r>
      <w:r>
        <w:rPr>
          <w:rFonts w:hint="eastAsia" w:ascii="仿宋" w:hAnsi="仿宋" w:eastAsia="仿宋" w:cs="仿宋"/>
          <w:color w:val="auto"/>
          <w:sz w:val="32"/>
          <w:szCs w:val="32"/>
        </w:rPr>
        <w:t>产品在</w:t>
      </w:r>
      <w:r>
        <w:rPr>
          <w:rFonts w:hint="eastAsia" w:ascii="仿宋" w:hAnsi="仿宋" w:eastAsia="仿宋" w:cs="仿宋"/>
          <w:color w:val="auto"/>
          <w:sz w:val="32"/>
          <w:szCs w:val="32"/>
          <w:lang w:val="en-US" w:eastAsia="zh-CN"/>
        </w:rPr>
        <w:t>河北省的实际交易价格</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同计量单位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不高于本企业</w:t>
      </w:r>
      <w:r>
        <w:rPr>
          <w:rFonts w:hint="eastAsia" w:ascii="仿宋" w:hAnsi="仿宋" w:eastAsia="仿宋" w:cs="仿宋"/>
          <w:color w:val="auto"/>
          <w:sz w:val="32"/>
          <w:szCs w:val="32"/>
          <w:lang w:val="en-US" w:eastAsia="zh-CN"/>
        </w:rPr>
        <w:t>同产品分类下</w:t>
      </w:r>
      <w:r>
        <w:rPr>
          <w:rFonts w:hint="eastAsia" w:ascii="仿宋" w:hAnsi="仿宋" w:eastAsia="仿宋" w:cs="仿宋"/>
          <w:color w:val="auto"/>
          <w:sz w:val="32"/>
          <w:szCs w:val="32"/>
        </w:rPr>
        <w:t>所</w:t>
      </w:r>
      <w:r>
        <w:rPr>
          <w:rFonts w:hint="eastAsia" w:ascii="仿宋" w:hAnsi="仿宋" w:eastAsia="仿宋" w:cs="仿宋"/>
          <w:color w:val="auto"/>
          <w:sz w:val="32"/>
          <w:szCs w:val="32"/>
          <w:lang w:val="en-US" w:eastAsia="zh-CN"/>
        </w:rPr>
        <w:t>有</w:t>
      </w:r>
      <w:r>
        <w:rPr>
          <w:rFonts w:hint="eastAsia" w:ascii="仿宋" w:hAnsi="仿宋" w:eastAsia="仿宋" w:cs="仿宋"/>
          <w:color w:val="auto"/>
          <w:sz w:val="32"/>
          <w:szCs w:val="32"/>
        </w:rPr>
        <w:t>规格型号</w:t>
      </w:r>
      <w:r>
        <w:rPr>
          <w:rFonts w:hint="eastAsia" w:ascii="仿宋" w:hAnsi="仿宋" w:eastAsia="仿宋" w:cs="仿宋"/>
          <w:color w:val="auto"/>
          <w:sz w:val="32"/>
          <w:szCs w:val="32"/>
          <w:lang w:val="en-US" w:eastAsia="zh-CN"/>
        </w:rPr>
        <w:t>产品</w:t>
      </w:r>
      <w:r>
        <w:rPr>
          <w:rFonts w:hint="eastAsia" w:ascii="仿宋" w:hAnsi="仿宋" w:eastAsia="仿宋" w:cs="仿宋"/>
          <w:color w:val="auto"/>
          <w:sz w:val="32"/>
          <w:szCs w:val="32"/>
        </w:rPr>
        <w:t>在全国省级集中采购机构的最低有效</w:t>
      </w:r>
      <w:r>
        <w:rPr>
          <w:rFonts w:hint="eastAsia" w:ascii="仿宋" w:hAnsi="仿宋" w:eastAsia="仿宋" w:cs="仿宋"/>
          <w:color w:val="auto"/>
          <w:sz w:val="32"/>
          <w:szCs w:val="32"/>
          <w:lang w:val="en-US" w:eastAsia="zh-CN"/>
        </w:rPr>
        <w:t>挂网</w:t>
      </w:r>
      <w:r>
        <w:rPr>
          <w:rFonts w:hint="eastAsia" w:ascii="仿宋" w:hAnsi="仿宋" w:eastAsia="仿宋" w:cs="仿宋"/>
          <w:color w:val="auto"/>
          <w:sz w:val="32"/>
          <w:szCs w:val="32"/>
        </w:rPr>
        <w:t>价格</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同计量单位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如中选，</w:t>
      </w:r>
      <w:r>
        <w:rPr>
          <w:rFonts w:hint="eastAsia" w:ascii="仿宋" w:hAnsi="仿宋" w:eastAsia="仿宋" w:cs="仿宋"/>
          <w:color w:val="auto"/>
          <w:sz w:val="32"/>
          <w:szCs w:val="32"/>
        </w:rPr>
        <w:t>申报企业供应</w:t>
      </w:r>
      <w:r>
        <w:rPr>
          <w:rFonts w:hint="eastAsia" w:ascii="仿宋" w:hAnsi="仿宋" w:eastAsia="仿宋" w:cs="仿宋"/>
          <w:color w:val="auto"/>
          <w:sz w:val="32"/>
          <w:szCs w:val="32"/>
          <w:lang w:val="en-US" w:eastAsia="zh-CN"/>
        </w:rPr>
        <w:t>品种</w:t>
      </w:r>
      <w:r>
        <w:rPr>
          <w:rFonts w:hint="eastAsia" w:ascii="仿宋" w:hAnsi="仿宋" w:eastAsia="仿宋" w:cs="仿宋"/>
          <w:color w:val="auto"/>
          <w:sz w:val="32"/>
          <w:szCs w:val="32"/>
        </w:rPr>
        <w:t>清单中有产品超出限价，</w:t>
      </w:r>
      <w:r>
        <w:rPr>
          <w:rFonts w:hint="eastAsia" w:ascii="仿宋" w:hAnsi="仿宋" w:eastAsia="仿宋" w:cs="仿宋"/>
          <w:color w:val="auto"/>
          <w:sz w:val="32"/>
          <w:szCs w:val="32"/>
          <w:lang w:val="en-US" w:eastAsia="zh-CN"/>
        </w:rPr>
        <w:t>则按照上述最低价格供应河北省</w:t>
      </w:r>
      <w:r>
        <w:rPr>
          <w:rFonts w:hint="eastAsia" w:ascii="仿宋" w:hAnsi="仿宋" w:eastAsia="仿宋" w:cs="仿宋"/>
          <w:color w:val="auto"/>
          <w:sz w:val="32"/>
          <w:szCs w:val="32"/>
        </w:rPr>
        <w:t>。报价为0</w:t>
      </w:r>
      <w:r>
        <w:rPr>
          <w:rFonts w:hint="eastAsia" w:ascii="仿宋" w:hAnsi="仿宋" w:eastAsia="仿宋" w:cs="仿宋"/>
          <w:color w:val="auto"/>
          <w:sz w:val="32"/>
          <w:szCs w:val="32"/>
          <w:lang w:val="en-US" w:eastAsia="zh-CN"/>
        </w:rPr>
        <w:t>或</w:t>
      </w:r>
      <w:r>
        <w:rPr>
          <w:rFonts w:hint="eastAsia" w:ascii="仿宋" w:hAnsi="仿宋" w:eastAsia="仿宋" w:cs="仿宋"/>
          <w:color w:val="auto"/>
          <w:sz w:val="32"/>
          <w:szCs w:val="32"/>
        </w:rPr>
        <w:t>未报价</w:t>
      </w:r>
      <w:r>
        <w:rPr>
          <w:rFonts w:hint="eastAsia" w:ascii="仿宋" w:hAnsi="仿宋" w:eastAsia="仿宋" w:cs="仿宋"/>
          <w:color w:val="auto"/>
          <w:sz w:val="32"/>
          <w:szCs w:val="32"/>
          <w:lang w:val="en-US" w:eastAsia="zh-CN"/>
        </w:rPr>
        <w:t>或无效报价</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均</w:t>
      </w:r>
      <w:r>
        <w:rPr>
          <w:rFonts w:hint="eastAsia" w:ascii="仿宋" w:hAnsi="仿宋" w:eastAsia="仿宋" w:cs="仿宋"/>
          <w:color w:val="auto"/>
          <w:sz w:val="32"/>
          <w:szCs w:val="32"/>
        </w:rPr>
        <w:t>视为自动放弃。</w:t>
      </w:r>
    </w:p>
    <w:p w14:paraId="327D6EE8">
      <w:pPr>
        <w:pStyle w:val="2"/>
        <w:rPr>
          <w:rFonts w:hint="eastAsia" w:ascii="仿宋" w:hAnsi="仿宋" w:eastAsia="仿宋" w:cs="仿宋"/>
          <w:color w:val="auto"/>
          <w:sz w:val="32"/>
          <w:szCs w:val="32"/>
        </w:rPr>
      </w:pPr>
    </w:p>
    <w:p w14:paraId="4FC60A5B">
      <w:pPr>
        <w:rPr>
          <w:rFonts w:hint="eastAsia" w:ascii="仿宋" w:hAnsi="仿宋" w:eastAsia="仿宋" w:cs="仿宋"/>
          <w:color w:val="auto"/>
          <w:sz w:val="32"/>
          <w:szCs w:val="32"/>
        </w:rPr>
      </w:pPr>
    </w:p>
    <w:p w14:paraId="3C6A3635">
      <w:pPr>
        <w:pStyle w:val="2"/>
        <w:rPr>
          <w:rFonts w:hint="eastAsia" w:ascii="仿宋" w:hAnsi="仿宋" w:eastAsia="仿宋" w:cs="仿宋"/>
          <w:color w:val="auto"/>
          <w:sz w:val="32"/>
          <w:szCs w:val="32"/>
        </w:rPr>
      </w:pPr>
    </w:p>
    <w:p w14:paraId="7181162C">
      <w:pPr>
        <w:rPr>
          <w:rFonts w:hint="eastAsia"/>
        </w:rPr>
      </w:pPr>
    </w:p>
    <w:tbl>
      <w:tblPr>
        <w:tblStyle w:val="8"/>
        <w:tblpPr w:leftFromText="180" w:rightFromText="180" w:vertAnchor="text" w:horzAnchor="page" w:tblpX="1771" w:tblpY="133"/>
        <w:tblOverlap w:val="never"/>
        <w:tblW w:w="8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730"/>
        <w:gridCol w:w="1374"/>
        <w:gridCol w:w="1465"/>
        <w:gridCol w:w="1068"/>
        <w:gridCol w:w="2362"/>
      </w:tblGrid>
      <w:tr w14:paraId="7702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9" w:type="dxa"/>
            <w:tcBorders>
              <w:tl2br w:val="nil"/>
              <w:tr2bl w:val="nil"/>
            </w:tcBorders>
            <w:noWrap w:val="0"/>
            <w:vAlign w:val="center"/>
          </w:tcPr>
          <w:p w14:paraId="0A85D76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color w:val="auto"/>
                <w:sz w:val="21"/>
                <w:szCs w:val="21"/>
                <w:highlight w:val="none"/>
                <w:u w:val="none"/>
                <w:lang w:val="en-US" w:eastAsia="zh-CN"/>
              </w:rPr>
            </w:pPr>
            <w:r>
              <w:rPr>
                <w:rFonts w:hint="eastAsia" w:ascii="仿宋" w:hAnsi="仿宋" w:eastAsia="仿宋" w:cs="仿宋"/>
                <w:b/>
                <w:color w:val="auto"/>
                <w:sz w:val="21"/>
                <w:szCs w:val="21"/>
                <w:highlight w:val="none"/>
                <w:u w:val="none"/>
                <w:lang w:val="en-US" w:eastAsia="zh-CN"/>
              </w:rPr>
              <w:t>采购品种</w:t>
            </w:r>
          </w:p>
        </w:tc>
        <w:tc>
          <w:tcPr>
            <w:tcW w:w="1730" w:type="dxa"/>
            <w:tcBorders>
              <w:tl2br w:val="nil"/>
              <w:tr2bl w:val="nil"/>
            </w:tcBorders>
            <w:noWrap w:val="0"/>
            <w:vAlign w:val="center"/>
          </w:tcPr>
          <w:p w14:paraId="3ECA06C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color w:val="auto"/>
                <w:sz w:val="21"/>
                <w:szCs w:val="21"/>
                <w:highlight w:val="none"/>
                <w:u w:val="none"/>
                <w:lang w:val="en-US" w:eastAsia="zh-CN"/>
              </w:rPr>
            </w:pPr>
            <w:r>
              <w:rPr>
                <w:rFonts w:hint="eastAsia" w:ascii="仿宋" w:hAnsi="仿宋" w:eastAsia="仿宋" w:cs="仿宋"/>
                <w:b/>
                <w:color w:val="auto"/>
                <w:sz w:val="21"/>
                <w:szCs w:val="21"/>
                <w:highlight w:val="none"/>
                <w:u w:val="none"/>
                <w:lang w:val="en-US" w:eastAsia="zh-CN"/>
              </w:rPr>
              <w:t>医用耗材代码</w:t>
            </w:r>
          </w:p>
          <w:p w14:paraId="767ED38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color w:val="auto"/>
                <w:sz w:val="21"/>
                <w:szCs w:val="21"/>
                <w:highlight w:val="none"/>
                <w:u w:val="none"/>
                <w:lang w:val="en-US" w:eastAsia="zh-CN"/>
              </w:rPr>
            </w:pPr>
            <w:r>
              <w:rPr>
                <w:rFonts w:hint="eastAsia" w:ascii="仿宋" w:hAnsi="仿宋" w:eastAsia="仿宋" w:cs="仿宋"/>
                <w:b/>
                <w:color w:val="auto"/>
                <w:sz w:val="21"/>
                <w:szCs w:val="21"/>
                <w:highlight w:val="none"/>
                <w:u w:val="none"/>
                <w:lang w:val="en-US" w:eastAsia="zh-CN"/>
              </w:rPr>
              <w:t>（前15位）</w:t>
            </w:r>
          </w:p>
        </w:tc>
        <w:tc>
          <w:tcPr>
            <w:tcW w:w="1374" w:type="dxa"/>
            <w:tcBorders>
              <w:tl2br w:val="nil"/>
              <w:tr2bl w:val="nil"/>
            </w:tcBorders>
            <w:shd w:val="clear" w:color="auto" w:fill="auto"/>
            <w:noWrap w:val="0"/>
            <w:vAlign w:val="center"/>
          </w:tcPr>
          <w:p w14:paraId="71F8041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color w:val="auto"/>
                <w:sz w:val="21"/>
                <w:szCs w:val="21"/>
                <w:highlight w:val="none"/>
                <w:u w:val="none"/>
                <w:lang w:val="en-US" w:eastAsia="zh-CN"/>
              </w:rPr>
            </w:pPr>
            <w:r>
              <w:rPr>
                <w:rFonts w:hint="eastAsia" w:ascii="仿宋" w:hAnsi="仿宋" w:eastAsia="仿宋" w:cs="仿宋"/>
                <w:b/>
                <w:color w:val="auto"/>
                <w:sz w:val="21"/>
                <w:szCs w:val="21"/>
                <w:highlight w:val="none"/>
                <w:u w:val="none"/>
                <w:lang w:val="en-US" w:eastAsia="zh-CN"/>
              </w:rPr>
              <w:t>产品分类</w:t>
            </w:r>
          </w:p>
        </w:tc>
        <w:tc>
          <w:tcPr>
            <w:tcW w:w="1465" w:type="dxa"/>
            <w:tcBorders>
              <w:tl2br w:val="nil"/>
              <w:tr2bl w:val="nil"/>
            </w:tcBorders>
            <w:noWrap w:val="0"/>
            <w:vAlign w:val="center"/>
          </w:tcPr>
          <w:p w14:paraId="4B5E888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color w:val="auto"/>
                <w:sz w:val="21"/>
                <w:szCs w:val="21"/>
                <w:highlight w:val="none"/>
                <w:u w:val="none"/>
                <w:lang w:val="en-US" w:eastAsia="zh-CN"/>
              </w:rPr>
            </w:pPr>
            <w:r>
              <w:rPr>
                <w:rFonts w:hint="eastAsia" w:ascii="仿宋" w:hAnsi="仿宋" w:eastAsia="仿宋" w:cs="仿宋"/>
                <w:b/>
                <w:color w:val="auto"/>
                <w:sz w:val="21"/>
                <w:szCs w:val="21"/>
                <w:highlight w:val="none"/>
                <w:u w:val="none"/>
                <w:lang w:val="en-US" w:eastAsia="zh-CN"/>
              </w:rPr>
              <w:t>最小</w:t>
            </w:r>
          </w:p>
          <w:p w14:paraId="070376B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color w:val="auto"/>
                <w:sz w:val="21"/>
                <w:szCs w:val="21"/>
                <w:highlight w:val="none"/>
                <w:u w:val="none"/>
                <w:lang w:val="en-US" w:eastAsia="zh-CN"/>
              </w:rPr>
            </w:pPr>
            <w:r>
              <w:rPr>
                <w:rFonts w:hint="eastAsia" w:ascii="仿宋" w:hAnsi="仿宋" w:eastAsia="仿宋" w:cs="仿宋"/>
                <w:b/>
                <w:color w:val="auto"/>
                <w:sz w:val="21"/>
                <w:szCs w:val="21"/>
                <w:highlight w:val="none"/>
                <w:u w:val="none"/>
                <w:lang w:val="en-US" w:eastAsia="zh-CN"/>
              </w:rPr>
              <w:t>竞价单位</w:t>
            </w:r>
          </w:p>
        </w:tc>
        <w:tc>
          <w:tcPr>
            <w:tcW w:w="1068" w:type="dxa"/>
            <w:tcBorders>
              <w:tl2br w:val="nil"/>
              <w:tr2bl w:val="nil"/>
            </w:tcBorders>
            <w:noWrap w:val="0"/>
            <w:vAlign w:val="center"/>
          </w:tcPr>
          <w:p w14:paraId="388BF50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color w:val="auto"/>
                <w:sz w:val="21"/>
                <w:szCs w:val="21"/>
                <w:highlight w:val="none"/>
                <w:u w:val="none"/>
                <w:lang w:val="en-US" w:eastAsia="zh-CN"/>
              </w:rPr>
            </w:pPr>
            <w:r>
              <w:rPr>
                <w:rFonts w:hint="eastAsia" w:ascii="仿宋" w:hAnsi="仿宋" w:eastAsia="仿宋" w:cs="仿宋"/>
                <w:b/>
                <w:color w:val="auto"/>
                <w:sz w:val="21"/>
                <w:szCs w:val="21"/>
                <w:highlight w:val="none"/>
                <w:u w:val="none"/>
                <w:lang w:val="en-US" w:eastAsia="zh-CN"/>
              </w:rPr>
              <w:t>企业</w:t>
            </w:r>
          </w:p>
          <w:p w14:paraId="6720016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color w:val="auto"/>
                <w:sz w:val="21"/>
                <w:szCs w:val="21"/>
                <w:highlight w:val="none"/>
                <w:u w:val="none"/>
                <w:lang w:val="en-US" w:eastAsia="zh-CN"/>
              </w:rPr>
            </w:pPr>
            <w:r>
              <w:rPr>
                <w:rFonts w:hint="eastAsia" w:ascii="仿宋" w:hAnsi="仿宋" w:eastAsia="仿宋" w:cs="仿宋"/>
                <w:b/>
                <w:color w:val="auto"/>
                <w:sz w:val="21"/>
                <w:szCs w:val="21"/>
                <w:highlight w:val="none"/>
                <w:u w:val="none"/>
                <w:lang w:val="en-US" w:eastAsia="zh-CN"/>
              </w:rPr>
              <w:t>申报价格</w:t>
            </w:r>
          </w:p>
        </w:tc>
        <w:tc>
          <w:tcPr>
            <w:tcW w:w="2362" w:type="dxa"/>
            <w:tcBorders>
              <w:tl2br w:val="nil"/>
              <w:tr2bl w:val="nil"/>
            </w:tcBorders>
            <w:noWrap w:val="0"/>
            <w:vAlign w:val="center"/>
          </w:tcPr>
          <w:p w14:paraId="1DC65E7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color w:val="auto"/>
                <w:sz w:val="21"/>
                <w:szCs w:val="21"/>
                <w:highlight w:val="none"/>
                <w:u w:val="none"/>
                <w:lang w:val="en-US" w:eastAsia="zh-CN"/>
              </w:rPr>
            </w:pPr>
            <w:r>
              <w:rPr>
                <w:rFonts w:hint="eastAsia" w:ascii="仿宋" w:hAnsi="仿宋" w:eastAsia="仿宋" w:cs="仿宋"/>
                <w:b/>
                <w:color w:val="auto"/>
                <w:sz w:val="21"/>
                <w:szCs w:val="21"/>
                <w:highlight w:val="none"/>
                <w:u w:val="none"/>
                <w:lang w:val="en-US" w:eastAsia="zh-CN"/>
              </w:rPr>
              <w:t>中选后供应价格</w:t>
            </w:r>
          </w:p>
        </w:tc>
      </w:tr>
      <w:tr w14:paraId="26B7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89" w:type="dxa"/>
            <w:vMerge w:val="restart"/>
            <w:tcBorders>
              <w:tl2br w:val="nil"/>
              <w:tr2bl w:val="nil"/>
            </w:tcBorders>
            <w:noWrap w:val="0"/>
            <w:vAlign w:val="center"/>
          </w:tcPr>
          <w:p w14:paraId="638B3954">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血液透析浓缩物</w:t>
            </w:r>
          </w:p>
        </w:tc>
        <w:tc>
          <w:tcPr>
            <w:tcW w:w="1730" w:type="dxa"/>
            <w:tcBorders>
              <w:tl2br w:val="nil"/>
              <w:tr2bl w:val="nil"/>
            </w:tcBorders>
            <w:noWrap w:val="0"/>
            <w:vAlign w:val="center"/>
          </w:tcPr>
          <w:p w14:paraId="682F3905">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C10100124400001</w:t>
            </w:r>
          </w:p>
        </w:tc>
        <w:tc>
          <w:tcPr>
            <w:tcW w:w="1374" w:type="dxa"/>
            <w:tcBorders>
              <w:tl2br w:val="nil"/>
              <w:tr2bl w:val="nil"/>
            </w:tcBorders>
            <w:shd w:val="clear" w:color="auto" w:fill="auto"/>
            <w:noWrap w:val="0"/>
            <w:vAlign w:val="center"/>
          </w:tcPr>
          <w:p w14:paraId="2E333923">
            <w:pPr>
              <w:keepNext w:val="0"/>
              <w:keepLines w:val="0"/>
              <w:pageBreakBefore w:val="0"/>
              <w:widowControl/>
              <w:suppressLineNumbers w:val="0"/>
              <w:kinsoku/>
              <w:wordWrap w:val="0"/>
              <w:overflowPunct/>
              <w:topLinePunct w:val="0"/>
              <w:autoSpaceDE/>
              <w:autoSpaceDN/>
              <w:bidi w:val="0"/>
              <w:adjustRightInd/>
              <w:snapToGrid/>
              <w:spacing w:line="22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血液透析浓缩A粉</w:t>
            </w:r>
          </w:p>
        </w:tc>
        <w:tc>
          <w:tcPr>
            <w:tcW w:w="1465" w:type="dxa"/>
            <w:vMerge w:val="restart"/>
            <w:tcBorders>
              <w:tl2br w:val="nil"/>
              <w:tr2bl w:val="nil"/>
            </w:tcBorders>
            <w:noWrap w:val="0"/>
            <w:vAlign w:val="center"/>
          </w:tcPr>
          <w:p w14:paraId="53D4D407">
            <w:pPr>
              <w:keepNext w:val="0"/>
              <w:keepLines w:val="0"/>
              <w:pageBreakBefore w:val="0"/>
              <w:widowControl/>
              <w:suppressLineNumbers w:val="0"/>
              <w:tabs>
                <w:tab w:val="left" w:pos="456"/>
              </w:tabs>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1人份</w:t>
            </w:r>
          </w:p>
          <w:p w14:paraId="272A2032">
            <w:pPr>
              <w:keepNext w:val="0"/>
              <w:keepLines w:val="0"/>
              <w:pageBreakBefore w:val="0"/>
              <w:widowControl/>
              <w:suppressLineNumbers w:val="0"/>
              <w:tabs>
                <w:tab w:val="left" w:pos="456"/>
              </w:tabs>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（需满足使用4.5小时）</w:t>
            </w:r>
          </w:p>
        </w:tc>
        <w:tc>
          <w:tcPr>
            <w:tcW w:w="1068" w:type="dxa"/>
            <w:tcBorders>
              <w:tl2br w:val="nil"/>
              <w:tr2bl w:val="nil"/>
            </w:tcBorders>
            <w:noWrap w:val="0"/>
            <w:vAlign w:val="center"/>
          </w:tcPr>
          <w:p w14:paraId="4B8A9C77">
            <w:pPr>
              <w:keepNext w:val="0"/>
              <w:keepLines w:val="0"/>
              <w:pageBreakBefore w:val="0"/>
              <w:widowControl/>
              <w:suppressLineNumbers w:val="0"/>
              <w:kinsoku/>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元/人份</w:t>
            </w:r>
          </w:p>
        </w:tc>
        <w:tc>
          <w:tcPr>
            <w:tcW w:w="2362" w:type="dxa"/>
            <w:tcBorders>
              <w:tl2br w:val="nil"/>
              <w:tr2bl w:val="nil"/>
            </w:tcBorders>
            <w:noWrap w:val="0"/>
            <w:vAlign w:val="center"/>
          </w:tcPr>
          <w:p w14:paraId="231A90E8">
            <w:pPr>
              <w:keepNext w:val="0"/>
              <w:keepLines w:val="0"/>
              <w:pageBreakBefore w:val="0"/>
              <w:widowControl/>
              <w:suppressLineNumbers w:val="0"/>
              <w:kinsoku/>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1人份中选价格</w:t>
            </w:r>
          </w:p>
          <w:p w14:paraId="181EAF55">
            <w:pPr>
              <w:keepNext w:val="0"/>
              <w:keepLines w:val="0"/>
              <w:pageBreakBefore w:val="0"/>
              <w:widowControl/>
              <w:suppressLineNumbers w:val="0"/>
              <w:kinsoku/>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×规格型号人份数</w:t>
            </w:r>
          </w:p>
        </w:tc>
      </w:tr>
      <w:tr w14:paraId="7F38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89" w:type="dxa"/>
            <w:vMerge w:val="continue"/>
            <w:tcBorders>
              <w:tl2br w:val="nil"/>
              <w:tr2bl w:val="nil"/>
            </w:tcBorders>
            <w:noWrap w:val="0"/>
            <w:vAlign w:val="center"/>
          </w:tcPr>
          <w:p w14:paraId="46F88F47">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c>
          <w:tcPr>
            <w:tcW w:w="1730" w:type="dxa"/>
            <w:tcBorders>
              <w:tl2br w:val="nil"/>
              <w:tr2bl w:val="nil"/>
            </w:tcBorders>
            <w:noWrap w:val="0"/>
            <w:vAlign w:val="center"/>
          </w:tcPr>
          <w:p w14:paraId="7559A4BB">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C10100124500002</w:t>
            </w:r>
          </w:p>
        </w:tc>
        <w:tc>
          <w:tcPr>
            <w:tcW w:w="1374" w:type="dxa"/>
            <w:tcBorders>
              <w:tl2br w:val="nil"/>
              <w:tr2bl w:val="nil"/>
            </w:tcBorders>
            <w:shd w:val="clear" w:color="auto" w:fill="auto"/>
            <w:noWrap w:val="0"/>
            <w:vAlign w:val="center"/>
          </w:tcPr>
          <w:p w14:paraId="3DC6C784">
            <w:pPr>
              <w:keepNext w:val="0"/>
              <w:keepLines w:val="0"/>
              <w:pageBreakBefore w:val="0"/>
              <w:widowControl/>
              <w:suppressLineNumbers w:val="0"/>
              <w:kinsoku/>
              <w:wordWrap w:val="0"/>
              <w:overflowPunct/>
              <w:topLinePunct w:val="0"/>
              <w:autoSpaceDE/>
              <w:autoSpaceDN/>
              <w:bidi w:val="0"/>
              <w:adjustRightInd/>
              <w:snapToGrid/>
              <w:spacing w:line="22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血液透析浓缩A液</w:t>
            </w:r>
          </w:p>
        </w:tc>
        <w:tc>
          <w:tcPr>
            <w:tcW w:w="1465" w:type="dxa"/>
            <w:vMerge w:val="continue"/>
            <w:tcBorders>
              <w:tl2br w:val="nil"/>
              <w:tr2bl w:val="nil"/>
            </w:tcBorders>
            <w:noWrap w:val="0"/>
            <w:vAlign w:val="center"/>
          </w:tcPr>
          <w:p w14:paraId="3587F0B5">
            <w:pPr>
              <w:keepNext w:val="0"/>
              <w:keepLines w:val="0"/>
              <w:pageBreakBefore w:val="0"/>
              <w:widowControl/>
              <w:suppressLineNumbers w:val="0"/>
              <w:tabs>
                <w:tab w:val="left" w:pos="456"/>
              </w:tabs>
              <w:kinsoku/>
              <w:overflowPunct/>
              <w:topLinePunct w:val="0"/>
              <w:autoSpaceDE/>
              <w:autoSpaceDN/>
              <w:bidi w:val="0"/>
              <w:adjustRightInd/>
              <w:snapToGrid/>
              <w:spacing w:line="220" w:lineRule="exact"/>
              <w:jc w:val="left"/>
              <w:textAlignment w:val="center"/>
              <w:rPr>
                <w:rFonts w:hint="eastAsia" w:ascii="仿宋" w:hAnsi="仿宋" w:eastAsia="仿宋" w:cs="仿宋"/>
                <w:i w:val="0"/>
                <w:iCs w:val="0"/>
                <w:color w:val="auto"/>
                <w:kern w:val="0"/>
                <w:sz w:val="20"/>
                <w:szCs w:val="20"/>
                <w:u w:val="none"/>
                <w:lang w:val="en-US" w:eastAsia="zh-CN" w:bidi="ar"/>
              </w:rPr>
            </w:pPr>
          </w:p>
        </w:tc>
        <w:tc>
          <w:tcPr>
            <w:tcW w:w="1068" w:type="dxa"/>
            <w:tcBorders>
              <w:tl2br w:val="nil"/>
              <w:tr2bl w:val="nil"/>
            </w:tcBorders>
            <w:noWrap w:val="0"/>
            <w:vAlign w:val="center"/>
          </w:tcPr>
          <w:p w14:paraId="45687E5B">
            <w:pPr>
              <w:keepNext w:val="0"/>
              <w:keepLines w:val="0"/>
              <w:pageBreakBefore w:val="0"/>
              <w:widowControl/>
              <w:suppressLineNumbers w:val="0"/>
              <w:kinsoku/>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元/人份</w:t>
            </w:r>
          </w:p>
        </w:tc>
        <w:tc>
          <w:tcPr>
            <w:tcW w:w="2362" w:type="dxa"/>
            <w:tcBorders>
              <w:tl2br w:val="nil"/>
              <w:tr2bl w:val="nil"/>
            </w:tcBorders>
            <w:shd w:val="clear" w:color="auto" w:fill="auto"/>
            <w:noWrap w:val="0"/>
            <w:vAlign w:val="center"/>
          </w:tcPr>
          <w:p w14:paraId="634A7FDC">
            <w:pPr>
              <w:keepNext w:val="0"/>
              <w:keepLines w:val="0"/>
              <w:pageBreakBefore w:val="0"/>
              <w:widowControl/>
              <w:suppressLineNumbers w:val="0"/>
              <w:kinsoku/>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1人份中选价格</w:t>
            </w:r>
          </w:p>
          <w:p w14:paraId="01660520">
            <w:pPr>
              <w:keepNext w:val="0"/>
              <w:keepLines w:val="0"/>
              <w:pageBreakBefore w:val="0"/>
              <w:widowControl/>
              <w:suppressLineNumbers w:val="0"/>
              <w:kinsoku/>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×规格型号人份数</w:t>
            </w:r>
          </w:p>
        </w:tc>
      </w:tr>
      <w:tr w14:paraId="7561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89" w:type="dxa"/>
            <w:vMerge w:val="continue"/>
            <w:tcBorders>
              <w:tl2br w:val="nil"/>
              <w:tr2bl w:val="nil"/>
            </w:tcBorders>
            <w:noWrap w:val="0"/>
            <w:vAlign w:val="center"/>
          </w:tcPr>
          <w:p w14:paraId="7CAA7F28">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c>
          <w:tcPr>
            <w:tcW w:w="1730" w:type="dxa"/>
            <w:tcBorders>
              <w:tl2br w:val="nil"/>
              <w:tr2bl w:val="nil"/>
            </w:tcBorders>
            <w:noWrap w:val="0"/>
            <w:vAlign w:val="center"/>
          </w:tcPr>
          <w:p w14:paraId="32E35878">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C10100124400001</w:t>
            </w:r>
          </w:p>
        </w:tc>
        <w:tc>
          <w:tcPr>
            <w:tcW w:w="1374" w:type="dxa"/>
            <w:tcBorders>
              <w:tl2br w:val="nil"/>
              <w:tr2bl w:val="nil"/>
            </w:tcBorders>
            <w:shd w:val="clear" w:color="auto" w:fill="auto"/>
            <w:noWrap w:val="0"/>
            <w:vAlign w:val="center"/>
          </w:tcPr>
          <w:p w14:paraId="781AF295">
            <w:pPr>
              <w:keepNext w:val="0"/>
              <w:keepLines w:val="0"/>
              <w:pageBreakBefore w:val="0"/>
              <w:widowControl/>
              <w:suppressLineNumbers w:val="0"/>
              <w:kinsoku/>
              <w:wordWrap w:val="0"/>
              <w:overflowPunct/>
              <w:topLinePunct w:val="0"/>
              <w:autoSpaceDE/>
              <w:autoSpaceDN/>
              <w:bidi w:val="0"/>
              <w:adjustRightInd/>
              <w:snapToGrid/>
              <w:spacing w:line="22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血液透析浓缩B粉</w:t>
            </w:r>
          </w:p>
        </w:tc>
        <w:tc>
          <w:tcPr>
            <w:tcW w:w="1465" w:type="dxa"/>
            <w:vMerge w:val="continue"/>
            <w:tcBorders>
              <w:tl2br w:val="nil"/>
              <w:tr2bl w:val="nil"/>
            </w:tcBorders>
            <w:noWrap w:val="0"/>
            <w:vAlign w:val="center"/>
          </w:tcPr>
          <w:p w14:paraId="0044F27D">
            <w:pPr>
              <w:keepNext w:val="0"/>
              <w:keepLines w:val="0"/>
              <w:pageBreakBefore w:val="0"/>
              <w:widowControl/>
              <w:suppressLineNumbers w:val="0"/>
              <w:tabs>
                <w:tab w:val="left" w:pos="456"/>
              </w:tabs>
              <w:kinsoku/>
              <w:overflowPunct/>
              <w:topLinePunct w:val="0"/>
              <w:autoSpaceDE/>
              <w:autoSpaceDN/>
              <w:bidi w:val="0"/>
              <w:adjustRightInd/>
              <w:snapToGrid/>
              <w:spacing w:line="220" w:lineRule="exact"/>
              <w:jc w:val="left"/>
              <w:textAlignment w:val="center"/>
              <w:rPr>
                <w:rFonts w:hint="eastAsia" w:ascii="仿宋" w:hAnsi="仿宋" w:eastAsia="仿宋" w:cs="仿宋"/>
                <w:i w:val="0"/>
                <w:iCs w:val="0"/>
                <w:color w:val="auto"/>
                <w:kern w:val="0"/>
                <w:sz w:val="20"/>
                <w:szCs w:val="20"/>
                <w:u w:val="none"/>
                <w:lang w:val="en-US" w:eastAsia="zh-CN" w:bidi="ar"/>
              </w:rPr>
            </w:pPr>
          </w:p>
        </w:tc>
        <w:tc>
          <w:tcPr>
            <w:tcW w:w="1068" w:type="dxa"/>
            <w:tcBorders>
              <w:tl2br w:val="nil"/>
              <w:tr2bl w:val="nil"/>
            </w:tcBorders>
            <w:noWrap w:val="0"/>
            <w:vAlign w:val="center"/>
          </w:tcPr>
          <w:p w14:paraId="42DD9544">
            <w:pPr>
              <w:keepNext w:val="0"/>
              <w:keepLines w:val="0"/>
              <w:pageBreakBefore w:val="0"/>
              <w:widowControl/>
              <w:suppressLineNumbers w:val="0"/>
              <w:kinsoku/>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元/人份</w:t>
            </w:r>
          </w:p>
        </w:tc>
        <w:tc>
          <w:tcPr>
            <w:tcW w:w="2362" w:type="dxa"/>
            <w:tcBorders>
              <w:tl2br w:val="nil"/>
              <w:tr2bl w:val="nil"/>
            </w:tcBorders>
            <w:shd w:val="clear" w:color="auto" w:fill="auto"/>
            <w:noWrap w:val="0"/>
            <w:vAlign w:val="center"/>
          </w:tcPr>
          <w:p w14:paraId="461BE8AF">
            <w:pPr>
              <w:keepNext w:val="0"/>
              <w:keepLines w:val="0"/>
              <w:pageBreakBefore w:val="0"/>
              <w:widowControl/>
              <w:suppressLineNumbers w:val="0"/>
              <w:kinsoku/>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1人份中选价格</w:t>
            </w:r>
          </w:p>
          <w:p w14:paraId="6EA31ED6">
            <w:pPr>
              <w:keepNext w:val="0"/>
              <w:keepLines w:val="0"/>
              <w:pageBreakBefore w:val="0"/>
              <w:widowControl/>
              <w:suppressLineNumbers w:val="0"/>
              <w:kinsoku/>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×规格型号人份数</w:t>
            </w:r>
          </w:p>
        </w:tc>
      </w:tr>
      <w:tr w14:paraId="06F4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89" w:type="dxa"/>
            <w:vMerge w:val="continue"/>
            <w:tcBorders>
              <w:tl2br w:val="nil"/>
              <w:tr2bl w:val="nil"/>
            </w:tcBorders>
            <w:noWrap w:val="0"/>
            <w:vAlign w:val="center"/>
          </w:tcPr>
          <w:p w14:paraId="1E7F6B3D">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c>
          <w:tcPr>
            <w:tcW w:w="1730" w:type="dxa"/>
            <w:tcBorders>
              <w:tl2br w:val="nil"/>
              <w:tr2bl w:val="nil"/>
            </w:tcBorders>
            <w:noWrap w:val="0"/>
            <w:vAlign w:val="center"/>
          </w:tcPr>
          <w:p w14:paraId="20895F08">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C10100124400001</w:t>
            </w:r>
          </w:p>
        </w:tc>
        <w:tc>
          <w:tcPr>
            <w:tcW w:w="1374" w:type="dxa"/>
            <w:tcBorders>
              <w:tl2br w:val="nil"/>
              <w:tr2bl w:val="nil"/>
            </w:tcBorders>
            <w:shd w:val="clear" w:color="auto" w:fill="auto"/>
            <w:noWrap w:val="0"/>
            <w:vAlign w:val="center"/>
          </w:tcPr>
          <w:p w14:paraId="24D10534">
            <w:pPr>
              <w:keepNext w:val="0"/>
              <w:keepLines w:val="0"/>
              <w:pageBreakBefore w:val="0"/>
              <w:widowControl/>
              <w:suppressLineNumbers w:val="0"/>
              <w:kinsoku/>
              <w:wordWrap w:val="0"/>
              <w:overflowPunct/>
              <w:topLinePunct w:val="0"/>
              <w:autoSpaceDE/>
              <w:autoSpaceDN/>
              <w:bidi w:val="0"/>
              <w:adjustRightInd/>
              <w:snapToGrid/>
              <w:spacing w:line="22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血液透析浓缩联机B粉</w:t>
            </w:r>
          </w:p>
        </w:tc>
        <w:tc>
          <w:tcPr>
            <w:tcW w:w="1465" w:type="dxa"/>
            <w:vMerge w:val="continue"/>
            <w:tcBorders>
              <w:tl2br w:val="nil"/>
              <w:tr2bl w:val="nil"/>
            </w:tcBorders>
            <w:noWrap w:val="0"/>
            <w:vAlign w:val="center"/>
          </w:tcPr>
          <w:p w14:paraId="16FCC812">
            <w:pPr>
              <w:keepNext w:val="0"/>
              <w:keepLines w:val="0"/>
              <w:pageBreakBefore w:val="0"/>
              <w:widowControl/>
              <w:suppressLineNumbers w:val="0"/>
              <w:tabs>
                <w:tab w:val="left" w:pos="456"/>
              </w:tabs>
              <w:kinsoku/>
              <w:overflowPunct/>
              <w:topLinePunct w:val="0"/>
              <w:autoSpaceDE/>
              <w:autoSpaceDN/>
              <w:bidi w:val="0"/>
              <w:adjustRightInd/>
              <w:snapToGrid/>
              <w:spacing w:line="220" w:lineRule="exact"/>
              <w:jc w:val="left"/>
              <w:textAlignment w:val="center"/>
              <w:rPr>
                <w:rFonts w:hint="eastAsia" w:ascii="仿宋" w:hAnsi="仿宋" w:eastAsia="仿宋" w:cs="仿宋"/>
                <w:i w:val="0"/>
                <w:iCs w:val="0"/>
                <w:color w:val="auto"/>
                <w:kern w:val="0"/>
                <w:sz w:val="20"/>
                <w:szCs w:val="20"/>
                <w:u w:val="none"/>
                <w:lang w:val="en-US" w:eastAsia="zh-CN" w:bidi="ar"/>
              </w:rPr>
            </w:pPr>
          </w:p>
        </w:tc>
        <w:tc>
          <w:tcPr>
            <w:tcW w:w="1068" w:type="dxa"/>
            <w:tcBorders>
              <w:tl2br w:val="nil"/>
              <w:tr2bl w:val="nil"/>
            </w:tcBorders>
            <w:noWrap w:val="0"/>
            <w:vAlign w:val="center"/>
          </w:tcPr>
          <w:p w14:paraId="4C6815CE">
            <w:pPr>
              <w:keepNext w:val="0"/>
              <w:keepLines w:val="0"/>
              <w:pageBreakBefore w:val="0"/>
              <w:widowControl/>
              <w:suppressLineNumbers w:val="0"/>
              <w:kinsoku/>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元/人份</w:t>
            </w:r>
          </w:p>
        </w:tc>
        <w:tc>
          <w:tcPr>
            <w:tcW w:w="2362" w:type="dxa"/>
            <w:tcBorders>
              <w:tl2br w:val="nil"/>
              <w:tr2bl w:val="nil"/>
            </w:tcBorders>
            <w:shd w:val="clear" w:color="auto" w:fill="auto"/>
            <w:noWrap w:val="0"/>
            <w:vAlign w:val="center"/>
          </w:tcPr>
          <w:p w14:paraId="6A33020B">
            <w:pPr>
              <w:keepNext w:val="0"/>
              <w:keepLines w:val="0"/>
              <w:pageBreakBefore w:val="0"/>
              <w:widowControl/>
              <w:suppressLineNumbers w:val="0"/>
              <w:kinsoku/>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1人份中选价格</w:t>
            </w:r>
          </w:p>
          <w:p w14:paraId="0D66003B">
            <w:pPr>
              <w:keepNext w:val="0"/>
              <w:keepLines w:val="0"/>
              <w:pageBreakBefore w:val="0"/>
              <w:widowControl/>
              <w:suppressLineNumbers w:val="0"/>
              <w:kinsoku/>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×规格型号人份数</w:t>
            </w:r>
          </w:p>
        </w:tc>
      </w:tr>
      <w:tr w14:paraId="5DE1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89" w:type="dxa"/>
            <w:vMerge w:val="continue"/>
            <w:tcBorders>
              <w:tl2br w:val="nil"/>
              <w:tr2bl w:val="nil"/>
            </w:tcBorders>
            <w:noWrap w:val="0"/>
            <w:vAlign w:val="center"/>
          </w:tcPr>
          <w:p w14:paraId="2FB53AE6">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c>
          <w:tcPr>
            <w:tcW w:w="1730" w:type="dxa"/>
            <w:tcBorders>
              <w:tl2br w:val="nil"/>
              <w:tr2bl w:val="nil"/>
            </w:tcBorders>
            <w:noWrap w:val="0"/>
            <w:vAlign w:val="center"/>
          </w:tcPr>
          <w:p w14:paraId="1669FC71">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C10100124500002</w:t>
            </w:r>
          </w:p>
        </w:tc>
        <w:tc>
          <w:tcPr>
            <w:tcW w:w="1374" w:type="dxa"/>
            <w:tcBorders>
              <w:tl2br w:val="nil"/>
              <w:tr2bl w:val="nil"/>
            </w:tcBorders>
            <w:shd w:val="clear" w:color="auto" w:fill="auto"/>
            <w:noWrap w:val="0"/>
            <w:vAlign w:val="center"/>
          </w:tcPr>
          <w:p w14:paraId="54C7E655">
            <w:pPr>
              <w:keepNext w:val="0"/>
              <w:keepLines w:val="0"/>
              <w:pageBreakBefore w:val="0"/>
              <w:widowControl/>
              <w:suppressLineNumbers w:val="0"/>
              <w:kinsoku/>
              <w:wordWrap w:val="0"/>
              <w:overflowPunct/>
              <w:topLinePunct w:val="0"/>
              <w:autoSpaceDE/>
              <w:autoSpaceDN/>
              <w:bidi w:val="0"/>
              <w:adjustRightInd/>
              <w:snapToGrid/>
              <w:spacing w:line="22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血液透析浓缩B液</w:t>
            </w:r>
          </w:p>
        </w:tc>
        <w:tc>
          <w:tcPr>
            <w:tcW w:w="1465" w:type="dxa"/>
            <w:vMerge w:val="continue"/>
            <w:tcBorders>
              <w:tl2br w:val="nil"/>
              <w:tr2bl w:val="nil"/>
            </w:tcBorders>
            <w:noWrap w:val="0"/>
            <w:vAlign w:val="center"/>
          </w:tcPr>
          <w:p w14:paraId="3A23FE27">
            <w:pPr>
              <w:keepNext w:val="0"/>
              <w:keepLines w:val="0"/>
              <w:pageBreakBefore w:val="0"/>
              <w:widowControl/>
              <w:suppressLineNumbers w:val="0"/>
              <w:tabs>
                <w:tab w:val="left" w:pos="456"/>
              </w:tabs>
              <w:kinsoku/>
              <w:overflowPunct/>
              <w:topLinePunct w:val="0"/>
              <w:autoSpaceDE/>
              <w:autoSpaceDN/>
              <w:bidi w:val="0"/>
              <w:adjustRightInd/>
              <w:snapToGrid/>
              <w:spacing w:line="220" w:lineRule="exact"/>
              <w:jc w:val="left"/>
              <w:textAlignment w:val="center"/>
              <w:rPr>
                <w:rFonts w:hint="eastAsia" w:ascii="仿宋" w:hAnsi="仿宋" w:eastAsia="仿宋" w:cs="仿宋"/>
                <w:i w:val="0"/>
                <w:iCs w:val="0"/>
                <w:color w:val="auto"/>
                <w:kern w:val="0"/>
                <w:sz w:val="20"/>
                <w:szCs w:val="20"/>
                <w:u w:val="none"/>
                <w:lang w:val="en-US" w:eastAsia="zh-CN" w:bidi="ar"/>
              </w:rPr>
            </w:pPr>
          </w:p>
        </w:tc>
        <w:tc>
          <w:tcPr>
            <w:tcW w:w="1068" w:type="dxa"/>
            <w:tcBorders>
              <w:tl2br w:val="nil"/>
              <w:tr2bl w:val="nil"/>
            </w:tcBorders>
            <w:noWrap w:val="0"/>
            <w:vAlign w:val="center"/>
          </w:tcPr>
          <w:p w14:paraId="30EF3467">
            <w:pPr>
              <w:keepNext w:val="0"/>
              <w:keepLines w:val="0"/>
              <w:pageBreakBefore w:val="0"/>
              <w:widowControl/>
              <w:suppressLineNumbers w:val="0"/>
              <w:kinsoku/>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元/人份</w:t>
            </w:r>
          </w:p>
        </w:tc>
        <w:tc>
          <w:tcPr>
            <w:tcW w:w="2362" w:type="dxa"/>
            <w:tcBorders>
              <w:tl2br w:val="nil"/>
              <w:tr2bl w:val="nil"/>
            </w:tcBorders>
            <w:shd w:val="clear" w:color="auto" w:fill="auto"/>
            <w:noWrap w:val="0"/>
            <w:vAlign w:val="center"/>
          </w:tcPr>
          <w:p w14:paraId="4035F52B">
            <w:pPr>
              <w:keepNext w:val="0"/>
              <w:keepLines w:val="0"/>
              <w:pageBreakBefore w:val="0"/>
              <w:widowControl/>
              <w:suppressLineNumbers w:val="0"/>
              <w:kinsoku/>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1人份中选价格</w:t>
            </w:r>
          </w:p>
          <w:p w14:paraId="492D5112">
            <w:pPr>
              <w:keepNext w:val="0"/>
              <w:keepLines w:val="0"/>
              <w:pageBreakBefore w:val="0"/>
              <w:widowControl/>
              <w:suppressLineNumbers w:val="0"/>
              <w:kinsoku/>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×规格型号人份数</w:t>
            </w:r>
          </w:p>
        </w:tc>
      </w:tr>
    </w:tbl>
    <w:p w14:paraId="633E8806">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全国</w:t>
      </w:r>
      <w:r>
        <w:rPr>
          <w:rFonts w:hint="eastAsia" w:ascii="仿宋" w:hAnsi="仿宋" w:eastAsia="仿宋" w:cs="仿宋"/>
          <w:color w:val="auto"/>
          <w:sz w:val="32"/>
          <w:szCs w:val="32"/>
          <w:lang w:val="en-US" w:eastAsia="zh-CN"/>
        </w:rPr>
        <w:t>省</w:t>
      </w:r>
      <w:r>
        <w:rPr>
          <w:rFonts w:hint="eastAsia" w:ascii="仿宋" w:hAnsi="仿宋" w:eastAsia="仿宋" w:cs="仿宋"/>
          <w:color w:val="auto"/>
          <w:sz w:val="32"/>
          <w:szCs w:val="32"/>
        </w:rPr>
        <w:t>级（含联盟）集中带量采购的非中选产品，同意以不高于</w:t>
      </w:r>
      <w:r>
        <w:rPr>
          <w:rFonts w:hint="eastAsia" w:ascii="仿宋" w:hAnsi="仿宋" w:eastAsia="仿宋" w:cs="仿宋"/>
          <w:color w:val="auto"/>
          <w:sz w:val="32"/>
          <w:szCs w:val="32"/>
          <w:lang w:val="en-US" w:eastAsia="zh-CN"/>
        </w:rPr>
        <w:t>同产品分类下</w:t>
      </w:r>
      <w:r>
        <w:rPr>
          <w:rFonts w:hint="eastAsia" w:ascii="仿宋" w:hAnsi="仿宋" w:eastAsia="仿宋" w:cs="仿宋"/>
          <w:color w:val="auto"/>
          <w:sz w:val="32"/>
          <w:szCs w:val="32"/>
        </w:rPr>
        <w:t>第一条产生的新的</w:t>
      </w:r>
      <w:r>
        <w:rPr>
          <w:rFonts w:hint="eastAsia" w:ascii="仿宋" w:hAnsi="仿宋" w:eastAsia="仿宋" w:cs="仿宋"/>
          <w:color w:val="auto"/>
          <w:sz w:val="32"/>
          <w:szCs w:val="32"/>
          <w:lang w:val="en-US" w:eastAsia="zh-CN"/>
        </w:rPr>
        <w:t>平均</w:t>
      </w:r>
      <w:r>
        <w:rPr>
          <w:rFonts w:hint="eastAsia" w:ascii="仿宋" w:hAnsi="仿宋" w:eastAsia="仿宋" w:cs="仿宋"/>
          <w:color w:val="auto"/>
          <w:sz w:val="32"/>
          <w:szCs w:val="32"/>
        </w:rPr>
        <w:t>中选价格供应</w:t>
      </w:r>
      <w:r>
        <w:rPr>
          <w:rFonts w:hint="eastAsia" w:ascii="仿宋" w:hAnsi="仿宋" w:eastAsia="仿宋" w:cs="仿宋"/>
          <w:color w:val="auto"/>
          <w:sz w:val="32"/>
          <w:szCs w:val="32"/>
          <w:lang w:val="en-US" w:eastAsia="zh-CN"/>
        </w:rPr>
        <w:t>河北省</w:t>
      </w:r>
      <w:r>
        <w:rPr>
          <w:rFonts w:hint="eastAsia" w:ascii="仿宋" w:hAnsi="仿宋" w:eastAsia="仿宋" w:cs="仿宋"/>
          <w:color w:val="auto"/>
          <w:sz w:val="32"/>
          <w:szCs w:val="32"/>
        </w:rPr>
        <w:t>的，则成为本次带量联动的中选产品。</w:t>
      </w:r>
    </w:p>
    <w:p w14:paraId="31B95487">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申报</w:t>
      </w:r>
      <w:r>
        <w:rPr>
          <w:rFonts w:hint="eastAsia" w:ascii="仿宋" w:hAnsi="仿宋" w:eastAsia="仿宋" w:cs="仿宋"/>
          <w:color w:val="auto"/>
          <w:sz w:val="32"/>
          <w:szCs w:val="32"/>
        </w:rPr>
        <w:t>价格</w:t>
      </w:r>
      <w:r>
        <w:rPr>
          <w:rFonts w:hint="eastAsia" w:ascii="仿宋" w:hAnsi="仿宋" w:eastAsia="仿宋" w:cs="仿宋"/>
          <w:color w:val="auto"/>
          <w:sz w:val="32"/>
          <w:szCs w:val="32"/>
          <w:lang w:val="en-US" w:eastAsia="zh-CN"/>
        </w:rPr>
        <w:t>和中选后供应</w:t>
      </w:r>
      <w:r>
        <w:rPr>
          <w:rFonts w:hint="eastAsia" w:ascii="仿宋" w:hAnsi="仿宋" w:eastAsia="仿宋" w:cs="仿宋"/>
          <w:color w:val="auto"/>
          <w:sz w:val="32"/>
          <w:szCs w:val="32"/>
        </w:rPr>
        <w:t>价格</w:t>
      </w:r>
      <w:r>
        <w:rPr>
          <w:rFonts w:hint="eastAsia" w:ascii="仿宋" w:hAnsi="仿宋" w:eastAsia="仿宋" w:cs="仿宋"/>
          <w:color w:val="auto"/>
          <w:sz w:val="32"/>
          <w:szCs w:val="32"/>
          <w:lang w:val="en-US" w:eastAsia="zh-CN"/>
        </w:rPr>
        <w:t>不高于本</w:t>
      </w:r>
      <w:r>
        <w:rPr>
          <w:rFonts w:hint="eastAsia" w:ascii="仿宋" w:hAnsi="仿宋" w:eastAsia="仿宋" w:cs="仿宋"/>
          <w:color w:val="auto"/>
          <w:sz w:val="32"/>
          <w:szCs w:val="32"/>
        </w:rPr>
        <w:t>企业</w:t>
      </w:r>
      <w:r>
        <w:rPr>
          <w:rFonts w:hint="eastAsia" w:ascii="仿宋" w:hAnsi="仿宋" w:eastAsia="仿宋" w:cs="仿宋"/>
          <w:color w:val="auto"/>
          <w:sz w:val="32"/>
          <w:szCs w:val="32"/>
          <w:lang w:val="en-US" w:eastAsia="zh-CN"/>
        </w:rPr>
        <w:t>同产品分类下所有规格型号</w:t>
      </w:r>
      <w:r>
        <w:rPr>
          <w:rFonts w:hint="eastAsia" w:ascii="仿宋" w:hAnsi="仿宋" w:eastAsia="仿宋" w:cs="仿宋"/>
          <w:color w:val="auto"/>
          <w:sz w:val="32"/>
          <w:szCs w:val="32"/>
        </w:rPr>
        <w:t>产品在</w:t>
      </w:r>
      <w:r>
        <w:rPr>
          <w:rFonts w:hint="eastAsia" w:ascii="仿宋" w:hAnsi="仿宋" w:eastAsia="仿宋" w:cs="仿宋"/>
          <w:color w:val="auto"/>
          <w:sz w:val="32"/>
          <w:szCs w:val="32"/>
          <w:lang w:val="en-US" w:eastAsia="zh-CN"/>
        </w:rPr>
        <w:t>河北省的实际交易价格</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同计量单位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不高于本企业</w:t>
      </w:r>
      <w:r>
        <w:rPr>
          <w:rFonts w:hint="eastAsia" w:ascii="仿宋" w:hAnsi="仿宋" w:eastAsia="仿宋" w:cs="仿宋"/>
          <w:color w:val="auto"/>
          <w:sz w:val="32"/>
          <w:szCs w:val="32"/>
          <w:lang w:val="en-US" w:eastAsia="zh-CN"/>
        </w:rPr>
        <w:t>同产品分类下</w:t>
      </w:r>
      <w:r>
        <w:rPr>
          <w:rFonts w:hint="eastAsia" w:ascii="仿宋" w:hAnsi="仿宋" w:eastAsia="仿宋" w:cs="仿宋"/>
          <w:color w:val="auto"/>
          <w:sz w:val="32"/>
          <w:szCs w:val="32"/>
        </w:rPr>
        <w:t>所</w:t>
      </w:r>
      <w:r>
        <w:rPr>
          <w:rFonts w:hint="eastAsia" w:ascii="仿宋" w:hAnsi="仿宋" w:eastAsia="仿宋" w:cs="仿宋"/>
          <w:color w:val="auto"/>
          <w:sz w:val="32"/>
          <w:szCs w:val="32"/>
          <w:lang w:val="en-US" w:eastAsia="zh-CN"/>
        </w:rPr>
        <w:t>有</w:t>
      </w:r>
      <w:r>
        <w:rPr>
          <w:rFonts w:hint="eastAsia" w:ascii="仿宋" w:hAnsi="仿宋" w:eastAsia="仿宋" w:cs="仿宋"/>
          <w:color w:val="auto"/>
          <w:sz w:val="32"/>
          <w:szCs w:val="32"/>
        </w:rPr>
        <w:t>规格型号</w:t>
      </w:r>
      <w:r>
        <w:rPr>
          <w:rFonts w:hint="eastAsia" w:ascii="仿宋" w:hAnsi="仿宋" w:eastAsia="仿宋" w:cs="仿宋"/>
          <w:color w:val="auto"/>
          <w:sz w:val="32"/>
          <w:szCs w:val="32"/>
          <w:lang w:val="en-US" w:eastAsia="zh-CN"/>
        </w:rPr>
        <w:t>产品</w:t>
      </w:r>
      <w:r>
        <w:rPr>
          <w:rFonts w:hint="eastAsia" w:ascii="仿宋" w:hAnsi="仿宋" w:eastAsia="仿宋" w:cs="仿宋"/>
          <w:color w:val="auto"/>
          <w:sz w:val="32"/>
          <w:szCs w:val="32"/>
        </w:rPr>
        <w:t>在全国省级集中采购机构的最低有效</w:t>
      </w:r>
      <w:r>
        <w:rPr>
          <w:rFonts w:hint="eastAsia" w:ascii="仿宋" w:hAnsi="仿宋" w:eastAsia="仿宋" w:cs="仿宋"/>
          <w:color w:val="auto"/>
          <w:sz w:val="32"/>
          <w:szCs w:val="32"/>
          <w:lang w:val="en-US" w:eastAsia="zh-CN"/>
        </w:rPr>
        <w:t>挂网</w:t>
      </w:r>
      <w:r>
        <w:rPr>
          <w:rFonts w:hint="eastAsia" w:ascii="仿宋" w:hAnsi="仿宋" w:eastAsia="仿宋" w:cs="仿宋"/>
          <w:color w:val="auto"/>
          <w:sz w:val="32"/>
          <w:szCs w:val="32"/>
        </w:rPr>
        <w:t>价格</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同计量单位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如中选，</w:t>
      </w:r>
      <w:r>
        <w:rPr>
          <w:rFonts w:hint="eastAsia" w:ascii="仿宋" w:hAnsi="仿宋" w:eastAsia="仿宋" w:cs="仿宋"/>
          <w:color w:val="auto"/>
          <w:sz w:val="32"/>
          <w:szCs w:val="32"/>
        </w:rPr>
        <w:t>申报企业供应</w:t>
      </w:r>
      <w:r>
        <w:rPr>
          <w:rFonts w:hint="eastAsia" w:ascii="仿宋" w:hAnsi="仿宋" w:eastAsia="仿宋" w:cs="仿宋"/>
          <w:color w:val="auto"/>
          <w:sz w:val="32"/>
          <w:szCs w:val="32"/>
          <w:lang w:val="en-US" w:eastAsia="zh-CN"/>
        </w:rPr>
        <w:t>品种</w:t>
      </w:r>
      <w:r>
        <w:rPr>
          <w:rFonts w:hint="eastAsia" w:ascii="仿宋" w:hAnsi="仿宋" w:eastAsia="仿宋" w:cs="仿宋"/>
          <w:color w:val="auto"/>
          <w:sz w:val="32"/>
          <w:szCs w:val="32"/>
        </w:rPr>
        <w:t>清单中有产品超出限价，</w:t>
      </w:r>
      <w:r>
        <w:rPr>
          <w:rFonts w:hint="eastAsia" w:ascii="仿宋" w:hAnsi="仿宋" w:eastAsia="仿宋" w:cs="仿宋"/>
          <w:color w:val="auto"/>
          <w:sz w:val="32"/>
          <w:szCs w:val="32"/>
          <w:lang w:val="en-US" w:eastAsia="zh-CN"/>
        </w:rPr>
        <w:t>则按照上述最低价格供应河北省</w:t>
      </w:r>
      <w:r>
        <w:rPr>
          <w:rFonts w:hint="eastAsia" w:ascii="仿宋" w:hAnsi="仿宋" w:eastAsia="仿宋" w:cs="仿宋"/>
          <w:color w:val="auto"/>
          <w:sz w:val="32"/>
          <w:szCs w:val="32"/>
        </w:rPr>
        <w:t>。报价为0</w:t>
      </w:r>
      <w:r>
        <w:rPr>
          <w:rFonts w:hint="eastAsia" w:ascii="仿宋" w:hAnsi="仿宋" w:eastAsia="仿宋" w:cs="仿宋"/>
          <w:color w:val="auto"/>
          <w:sz w:val="32"/>
          <w:szCs w:val="32"/>
          <w:lang w:val="en-US" w:eastAsia="zh-CN"/>
        </w:rPr>
        <w:t>或</w:t>
      </w:r>
      <w:r>
        <w:rPr>
          <w:rFonts w:hint="eastAsia" w:ascii="仿宋" w:hAnsi="仿宋" w:eastAsia="仿宋" w:cs="仿宋"/>
          <w:color w:val="auto"/>
          <w:sz w:val="32"/>
          <w:szCs w:val="32"/>
        </w:rPr>
        <w:t>未报价</w:t>
      </w:r>
      <w:r>
        <w:rPr>
          <w:rFonts w:hint="eastAsia" w:ascii="仿宋" w:hAnsi="仿宋" w:eastAsia="仿宋" w:cs="仿宋"/>
          <w:color w:val="auto"/>
          <w:sz w:val="32"/>
          <w:szCs w:val="32"/>
          <w:lang w:val="en-US" w:eastAsia="zh-CN"/>
        </w:rPr>
        <w:t>或无效报价</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均</w:t>
      </w:r>
      <w:r>
        <w:rPr>
          <w:rFonts w:hint="eastAsia" w:ascii="仿宋" w:hAnsi="仿宋" w:eastAsia="仿宋" w:cs="仿宋"/>
          <w:color w:val="auto"/>
          <w:sz w:val="32"/>
          <w:szCs w:val="32"/>
        </w:rPr>
        <w:t>视为自动放弃。</w:t>
      </w:r>
    </w:p>
    <w:p w14:paraId="0C2A751C">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ascii="仿宋" w:hAnsi="仿宋" w:eastAsia="仿宋" w:cs="仿宋"/>
          <w:color w:val="auto"/>
          <w:sz w:val="32"/>
          <w:szCs w:val="32"/>
          <w:lang w:val="en-US" w:eastAsia="zh-CN"/>
        </w:rPr>
        <w:t>（三）产品实际交易价格为上一年度河北省各级医疗机构实际采购产生的价格，由医疗机构按照河北省医用药品器械集中采购中心要求如实填报。对医疗机构不如实填报实际交易价格，影响中选结果的，由医疗机构承担相应责任，并按照相关规定处理。</w:t>
      </w:r>
    </w:p>
    <w:p w14:paraId="739D5BE8">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七、协议采购量的分配规则</w:t>
      </w:r>
    </w:p>
    <w:p w14:paraId="102C32D8">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协议</w:t>
      </w:r>
      <w:r>
        <w:rPr>
          <w:rFonts w:hint="eastAsia" w:ascii="仿宋" w:hAnsi="仿宋" w:eastAsia="仿宋" w:cs="仿宋"/>
          <w:color w:val="auto"/>
          <w:sz w:val="32"/>
          <w:szCs w:val="32"/>
        </w:rPr>
        <w:t>采购量</w:t>
      </w:r>
      <w:r>
        <w:rPr>
          <w:rFonts w:hint="eastAsia" w:ascii="仿宋" w:hAnsi="仿宋" w:eastAsia="仿宋" w:cs="仿宋"/>
          <w:color w:val="auto"/>
          <w:sz w:val="32"/>
          <w:szCs w:val="32"/>
          <w:lang w:val="en-US" w:eastAsia="zh-CN"/>
        </w:rPr>
        <w:t>由医疗机构依据自身配备设备情况，结合临床需求及中选产品特征，在中选产品中自主分配。</w:t>
      </w:r>
    </w:p>
    <w:p w14:paraId="17CD48A0">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八、工作流程</w:t>
      </w:r>
    </w:p>
    <w:p w14:paraId="34C665F9">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（一）</w:t>
      </w:r>
      <w:r>
        <w:rPr>
          <w:rFonts w:hint="eastAsia" w:ascii="仿宋" w:hAnsi="仿宋" w:eastAsia="仿宋" w:cs="仿宋"/>
          <w:color w:val="auto"/>
          <w:sz w:val="32"/>
          <w:szCs w:val="32"/>
          <w:lang w:val="en-US" w:eastAsia="zh-CN"/>
        </w:rPr>
        <w:t>申报企业维护产品信息</w:t>
      </w:r>
    </w:p>
    <w:p w14:paraId="64386377">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符合本次血液透析浓缩物带量联动采购申报要求的企业</w:t>
      </w:r>
      <w:r>
        <w:rPr>
          <w:rFonts w:hint="default" w:ascii="仿宋" w:hAnsi="仿宋" w:eastAsia="仿宋" w:cs="仿宋"/>
          <w:color w:val="auto"/>
          <w:sz w:val="32"/>
          <w:szCs w:val="32"/>
          <w:lang w:val="en-US" w:eastAsia="zh-CN"/>
        </w:rPr>
        <w:t>登录</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河北</w:t>
      </w:r>
      <w:r>
        <w:rPr>
          <w:rFonts w:hint="eastAsia" w:ascii="仿宋" w:hAnsi="仿宋" w:eastAsia="仿宋" w:cs="仿宋"/>
          <w:color w:val="auto"/>
          <w:sz w:val="32"/>
          <w:szCs w:val="32"/>
          <w:lang w:val="en-US" w:eastAsia="zh-CN"/>
        </w:rPr>
        <w:t>省</w:t>
      </w:r>
      <w:r>
        <w:rPr>
          <w:rFonts w:hint="default" w:ascii="仿宋" w:hAnsi="仿宋" w:eastAsia="仿宋" w:cs="仿宋"/>
          <w:color w:val="auto"/>
          <w:sz w:val="32"/>
          <w:szCs w:val="32"/>
          <w:lang w:val="en-US" w:eastAsia="zh-CN"/>
        </w:rPr>
        <w:t>药品和医用耗材招采管理子系统</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（http://ylbzj.hebei.gov.cn/pub/#/unitLogin），进行产品信息维护。</w:t>
      </w:r>
    </w:p>
    <w:p w14:paraId="220C445B">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采购主体填报</w:t>
      </w:r>
      <w:r>
        <w:rPr>
          <w:rFonts w:hint="eastAsia" w:ascii="仿宋" w:hAnsi="仿宋" w:eastAsia="仿宋" w:cs="仿宋"/>
          <w:color w:val="auto"/>
          <w:sz w:val="32"/>
          <w:szCs w:val="32"/>
          <w:lang w:val="en-US" w:eastAsia="zh-CN"/>
        </w:rPr>
        <w:t>采购需求量</w:t>
      </w:r>
    </w:p>
    <w:p w14:paraId="4391395E">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采购主体登录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河北省药品和医用耗材招采管理子系统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（http://ylbzj.hebei.gov.cn/pub/#/unitLogin）。填报</w:t>
      </w:r>
      <w:r>
        <w:rPr>
          <w:rFonts w:hint="eastAsia" w:ascii="仿宋" w:hAnsi="仿宋" w:eastAsia="仿宋" w:cs="仿宋"/>
          <w:color w:val="auto"/>
          <w:sz w:val="32"/>
          <w:szCs w:val="32"/>
          <w:lang w:val="en-US" w:eastAsia="zh-CN"/>
        </w:rPr>
        <w:t>血液透析浓缩物</w:t>
      </w:r>
      <w:r>
        <w:rPr>
          <w:rFonts w:hint="eastAsia" w:ascii="仿宋" w:hAnsi="仿宋" w:eastAsia="仿宋" w:cs="仿宋"/>
          <w:color w:val="auto"/>
          <w:sz w:val="32"/>
          <w:szCs w:val="32"/>
        </w:rPr>
        <w:t>未来一年的采购需求量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按人份填报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填报到产品分类，不</w:t>
      </w:r>
      <w:r>
        <w:rPr>
          <w:rFonts w:hint="eastAsia" w:ascii="仿宋" w:hAnsi="仿宋" w:eastAsia="仿宋" w:cs="仿宋"/>
          <w:color w:val="auto"/>
          <w:sz w:val="32"/>
          <w:szCs w:val="32"/>
        </w:rPr>
        <w:t>具体</w:t>
      </w:r>
      <w:r>
        <w:rPr>
          <w:rFonts w:hint="eastAsia" w:ascii="仿宋" w:hAnsi="仿宋" w:eastAsia="仿宋" w:cs="仿宋"/>
          <w:color w:val="auto"/>
          <w:sz w:val="32"/>
          <w:szCs w:val="32"/>
          <w:lang w:val="en-US" w:eastAsia="zh-CN"/>
        </w:rPr>
        <w:t>填报到生产企业</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河北省医用药品器械集中采购中心汇总</w:t>
      </w:r>
      <w:r>
        <w:rPr>
          <w:rFonts w:hint="eastAsia" w:ascii="仿宋" w:hAnsi="仿宋" w:eastAsia="仿宋" w:cs="仿宋"/>
          <w:color w:val="auto"/>
          <w:sz w:val="32"/>
          <w:szCs w:val="32"/>
        </w:rPr>
        <w:t>形成</w:t>
      </w:r>
      <w:r>
        <w:rPr>
          <w:rFonts w:hint="eastAsia" w:ascii="仿宋" w:hAnsi="仿宋" w:eastAsia="仿宋" w:cs="仿宋"/>
          <w:color w:val="auto"/>
          <w:sz w:val="32"/>
          <w:szCs w:val="32"/>
          <w:lang w:eastAsia="zh-CN"/>
        </w:rPr>
        <w:t>约定</w:t>
      </w:r>
      <w:r>
        <w:rPr>
          <w:rFonts w:hint="eastAsia" w:ascii="仿宋" w:hAnsi="仿宋" w:eastAsia="仿宋" w:cs="仿宋"/>
          <w:color w:val="auto"/>
          <w:sz w:val="32"/>
          <w:szCs w:val="32"/>
        </w:rPr>
        <w:t>采购量。为保证数据填报工作的严肃性、准确性，各采购主体在平台内填报相关数据时，须上传经采购主体主要负责人签章确认的授权承诺书。</w:t>
      </w:r>
    </w:p>
    <w:p w14:paraId="32D9F08C">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申报企业填报</w:t>
      </w:r>
      <w:r>
        <w:rPr>
          <w:rFonts w:hint="eastAsia" w:ascii="仿宋" w:hAnsi="仿宋" w:eastAsia="仿宋" w:cs="仿宋"/>
          <w:color w:val="auto"/>
          <w:sz w:val="32"/>
          <w:szCs w:val="32"/>
          <w:lang w:val="en-US" w:eastAsia="zh-CN"/>
        </w:rPr>
        <w:t>价格</w:t>
      </w:r>
    </w:p>
    <w:p w14:paraId="33F80692">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所有参加本次带量联动采购的申报企业只进行一次价格填报。申报企业</w:t>
      </w:r>
      <w:r>
        <w:rPr>
          <w:rFonts w:hint="eastAsia" w:ascii="仿宋" w:hAnsi="仿宋" w:eastAsia="仿宋" w:cs="仿宋"/>
          <w:color w:val="auto"/>
          <w:sz w:val="32"/>
          <w:szCs w:val="32"/>
        </w:rPr>
        <w:t>登录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河北省药品和医用耗材招采管理子系统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（http://ylbzj.hebei.gov.cn/pub/#/unitLogin），查看本企业</w:t>
      </w:r>
      <w:r>
        <w:rPr>
          <w:rFonts w:hint="eastAsia" w:ascii="仿宋" w:hAnsi="仿宋" w:eastAsia="仿宋" w:cs="仿宋"/>
          <w:color w:val="auto"/>
          <w:sz w:val="32"/>
          <w:szCs w:val="32"/>
          <w:lang w:val="en-US" w:eastAsia="zh-CN"/>
        </w:rPr>
        <w:t>血液透析浓缩物</w:t>
      </w:r>
      <w:r>
        <w:rPr>
          <w:rFonts w:hint="eastAsia" w:ascii="仿宋" w:hAnsi="仿宋" w:eastAsia="仿宋" w:cs="仿宋"/>
          <w:color w:val="auto"/>
          <w:sz w:val="32"/>
          <w:szCs w:val="32"/>
        </w:rPr>
        <w:t>产品信息，填报产品价格。</w:t>
      </w:r>
    </w:p>
    <w:p w14:paraId="64369B2F">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填报价格时间：202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日。</w:t>
      </w:r>
    </w:p>
    <w:p w14:paraId="302A41F7">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（四）确定拟中选产品</w:t>
      </w:r>
    </w:p>
    <w:p w14:paraId="5234A7AA">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按照本方案中选产品的确定</w:t>
      </w:r>
      <w:r>
        <w:rPr>
          <w:rFonts w:hint="eastAsia" w:ascii="仿宋" w:hAnsi="仿宋" w:eastAsia="仿宋" w:cs="仿宋"/>
          <w:color w:val="auto"/>
          <w:sz w:val="32"/>
          <w:szCs w:val="32"/>
          <w:lang w:val="en-US" w:eastAsia="zh-CN"/>
        </w:rPr>
        <w:t>规则</w:t>
      </w:r>
      <w:r>
        <w:rPr>
          <w:rFonts w:hint="eastAsia" w:ascii="仿宋" w:hAnsi="仿宋" w:eastAsia="仿宋" w:cs="仿宋"/>
          <w:color w:val="auto"/>
          <w:sz w:val="32"/>
          <w:szCs w:val="32"/>
        </w:rPr>
        <w:t>，确定拟中选产品。</w:t>
      </w:r>
    </w:p>
    <w:p w14:paraId="62A2D29D">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确定</w:t>
      </w:r>
      <w:r>
        <w:rPr>
          <w:rFonts w:hint="eastAsia" w:ascii="仿宋" w:hAnsi="仿宋" w:eastAsia="仿宋" w:cs="仿宋"/>
          <w:color w:val="auto"/>
          <w:sz w:val="32"/>
          <w:szCs w:val="32"/>
        </w:rPr>
        <w:t>中选产品</w:t>
      </w:r>
    </w:p>
    <w:p w14:paraId="73DF79CE">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拟中选产品经公示无异议即为中选产品。河北省医用药品器械集中采购中心在“河北省医用药品器械集中采购中心网站”公布中选产品。中选企业为保障供应第一责任人，确保临床用量。</w:t>
      </w:r>
    </w:p>
    <w:p w14:paraId="51D38125">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）签订协议，执行网上采购</w:t>
      </w:r>
    </w:p>
    <w:p w14:paraId="15BFFA20">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采购主体、中选企业、中选企业确定的配送企业按中选价格签订三方采购协议。协议要明确品种、数量、价格、供货时限、付款程序和时间、履约方式、违约责任等。采购主体应按要求，严格执行医用耗材网上采购。</w:t>
      </w:r>
    </w:p>
    <w:p w14:paraId="439525AF">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p>
    <w:p w14:paraId="53BB321D">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kern w:val="2"/>
          <w:sz w:val="32"/>
          <w:szCs w:val="32"/>
          <w:highlight w:val="none"/>
          <w:u w:val="none"/>
          <w:lang w:val="en-US" w:eastAsia="zh-CN" w:bidi="ar-SA"/>
        </w:rPr>
        <w:t>河北省医用药品器械集中采购中心</w:t>
      </w:r>
    </w:p>
    <w:p w14:paraId="712A2D37">
      <w:pPr>
        <w:keepNext w:val="0"/>
        <w:keepLines w:val="0"/>
        <w:pageBreakBefore w:val="0"/>
        <w:kinsoku/>
        <w:overflowPunct/>
        <w:topLinePunct w:val="0"/>
        <w:autoSpaceDE/>
        <w:autoSpaceDN/>
        <w:bidi w:val="0"/>
        <w:adjustRightInd/>
        <w:snapToGrid/>
        <w:spacing w:line="560" w:lineRule="exact"/>
        <w:ind w:left="0" w:leftChars="0" w:firstLine="4480" w:firstLineChars="14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日</w:t>
      </w:r>
    </w:p>
    <w:sectPr>
      <w:footerReference r:id="rId3" w:type="default"/>
      <w:pgSz w:w="11906" w:h="16838"/>
      <w:pgMar w:top="2041" w:right="1559" w:bottom="1701" w:left="1559"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5AF84">
    <w:pPr>
      <w:pStyle w:val="6"/>
      <w:jc w:val="center"/>
    </w:pPr>
    <w:r>
      <w:fldChar w:fldCharType="begin"/>
    </w:r>
    <w:r>
      <w:instrText xml:space="preserve">PAGE   \* MERGEFORMAT</w:instrText>
    </w:r>
    <w:r>
      <w:fldChar w:fldCharType="separate"/>
    </w:r>
    <w:r>
      <w:rPr>
        <w:lang w:val="zh-CN"/>
      </w:rPr>
      <w:t>3</w:t>
    </w:r>
    <w:r>
      <w:fldChar w:fldCharType="end"/>
    </w:r>
  </w:p>
  <w:p w14:paraId="5C7AD280">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ZiMjMzYTAwY2MxOWRiNDM5MGZjOWMwMDFiZjJkMzQifQ=="/>
  </w:docVars>
  <w:rsids>
    <w:rsidRoot w:val="00B43474"/>
    <w:rsid w:val="00017FAB"/>
    <w:rsid w:val="00043543"/>
    <w:rsid w:val="000575E0"/>
    <w:rsid w:val="00067280"/>
    <w:rsid w:val="0007530E"/>
    <w:rsid w:val="00094076"/>
    <w:rsid w:val="000A6C3F"/>
    <w:rsid w:val="000A6CDE"/>
    <w:rsid w:val="000C2854"/>
    <w:rsid w:val="000F249B"/>
    <w:rsid w:val="00136A3D"/>
    <w:rsid w:val="00145BA4"/>
    <w:rsid w:val="00166E68"/>
    <w:rsid w:val="00190A04"/>
    <w:rsid w:val="00197F07"/>
    <w:rsid w:val="001A5DA9"/>
    <w:rsid w:val="001E1673"/>
    <w:rsid w:val="001E78F0"/>
    <w:rsid w:val="001F04AE"/>
    <w:rsid w:val="00206CC5"/>
    <w:rsid w:val="0026767A"/>
    <w:rsid w:val="002D104C"/>
    <w:rsid w:val="002E3F02"/>
    <w:rsid w:val="002F105B"/>
    <w:rsid w:val="00314F27"/>
    <w:rsid w:val="00341E5C"/>
    <w:rsid w:val="003B3B95"/>
    <w:rsid w:val="003B577E"/>
    <w:rsid w:val="003C00C8"/>
    <w:rsid w:val="003D18A5"/>
    <w:rsid w:val="003F5CBB"/>
    <w:rsid w:val="00411408"/>
    <w:rsid w:val="0041512D"/>
    <w:rsid w:val="00436072"/>
    <w:rsid w:val="0044683F"/>
    <w:rsid w:val="004D7FD5"/>
    <w:rsid w:val="004E5B77"/>
    <w:rsid w:val="005002DF"/>
    <w:rsid w:val="00517619"/>
    <w:rsid w:val="005372A1"/>
    <w:rsid w:val="00542542"/>
    <w:rsid w:val="00544459"/>
    <w:rsid w:val="00566E20"/>
    <w:rsid w:val="0058654B"/>
    <w:rsid w:val="005976BC"/>
    <w:rsid w:val="005C1D5E"/>
    <w:rsid w:val="005F00B1"/>
    <w:rsid w:val="00615EA1"/>
    <w:rsid w:val="00623409"/>
    <w:rsid w:val="0062521C"/>
    <w:rsid w:val="0063079E"/>
    <w:rsid w:val="00631B09"/>
    <w:rsid w:val="00631B9B"/>
    <w:rsid w:val="00650646"/>
    <w:rsid w:val="00671FB4"/>
    <w:rsid w:val="00681A4D"/>
    <w:rsid w:val="0069144D"/>
    <w:rsid w:val="0069580F"/>
    <w:rsid w:val="006C7211"/>
    <w:rsid w:val="006D21A8"/>
    <w:rsid w:val="006E0314"/>
    <w:rsid w:val="00702B5A"/>
    <w:rsid w:val="007106B8"/>
    <w:rsid w:val="007113A9"/>
    <w:rsid w:val="0071559B"/>
    <w:rsid w:val="00730E46"/>
    <w:rsid w:val="007312B2"/>
    <w:rsid w:val="00731388"/>
    <w:rsid w:val="0074087C"/>
    <w:rsid w:val="00761BCE"/>
    <w:rsid w:val="007951A8"/>
    <w:rsid w:val="007969FA"/>
    <w:rsid w:val="007B170D"/>
    <w:rsid w:val="007B2879"/>
    <w:rsid w:val="00812451"/>
    <w:rsid w:val="00815322"/>
    <w:rsid w:val="00820F28"/>
    <w:rsid w:val="00847BF3"/>
    <w:rsid w:val="00873509"/>
    <w:rsid w:val="009051A4"/>
    <w:rsid w:val="00927224"/>
    <w:rsid w:val="0093560D"/>
    <w:rsid w:val="0095711C"/>
    <w:rsid w:val="00984805"/>
    <w:rsid w:val="00990D0A"/>
    <w:rsid w:val="009A754D"/>
    <w:rsid w:val="009B440E"/>
    <w:rsid w:val="009C197C"/>
    <w:rsid w:val="009D2291"/>
    <w:rsid w:val="009E6101"/>
    <w:rsid w:val="00A028BD"/>
    <w:rsid w:val="00A07A10"/>
    <w:rsid w:val="00A106A9"/>
    <w:rsid w:val="00A233E2"/>
    <w:rsid w:val="00A2769E"/>
    <w:rsid w:val="00A32D16"/>
    <w:rsid w:val="00A35AC5"/>
    <w:rsid w:val="00A61C2A"/>
    <w:rsid w:val="00AD2802"/>
    <w:rsid w:val="00AE65BD"/>
    <w:rsid w:val="00B10A9B"/>
    <w:rsid w:val="00B12D17"/>
    <w:rsid w:val="00B43474"/>
    <w:rsid w:val="00B603D3"/>
    <w:rsid w:val="00B64040"/>
    <w:rsid w:val="00B8250C"/>
    <w:rsid w:val="00B95CDD"/>
    <w:rsid w:val="00BA0350"/>
    <w:rsid w:val="00BA794C"/>
    <w:rsid w:val="00BB6862"/>
    <w:rsid w:val="00C30F83"/>
    <w:rsid w:val="00C40028"/>
    <w:rsid w:val="00C40D6B"/>
    <w:rsid w:val="00C41596"/>
    <w:rsid w:val="00C43D13"/>
    <w:rsid w:val="00C60A12"/>
    <w:rsid w:val="00C8267D"/>
    <w:rsid w:val="00CD3536"/>
    <w:rsid w:val="00CF7592"/>
    <w:rsid w:val="00D10FDA"/>
    <w:rsid w:val="00D31D37"/>
    <w:rsid w:val="00D91225"/>
    <w:rsid w:val="00D94867"/>
    <w:rsid w:val="00DA0AF9"/>
    <w:rsid w:val="00DD5A71"/>
    <w:rsid w:val="00DE7961"/>
    <w:rsid w:val="00E124AD"/>
    <w:rsid w:val="00E2618B"/>
    <w:rsid w:val="00E45C06"/>
    <w:rsid w:val="00E6315E"/>
    <w:rsid w:val="00E81E23"/>
    <w:rsid w:val="00EB389A"/>
    <w:rsid w:val="00EC601A"/>
    <w:rsid w:val="00ED0546"/>
    <w:rsid w:val="00EF651C"/>
    <w:rsid w:val="00F37E33"/>
    <w:rsid w:val="00F4036C"/>
    <w:rsid w:val="00F70157"/>
    <w:rsid w:val="00FD495A"/>
    <w:rsid w:val="01023BAD"/>
    <w:rsid w:val="01374E54"/>
    <w:rsid w:val="014852B3"/>
    <w:rsid w:val="01540E45"/>
    <w:rsid w:val="02003BEB"/>
    <w:rsid w:val="020B07BA"/>
    <w:rsid w:val="02300221"/>
    <w:rsid w:val="024B2BEF"/>
    <w:rsid w:val="025F0B06"/>
    <w:rsid w:val="027A5D44"/>
    <w:rsid w:val="029167E5"/>
    <w:rsid w:val="029307AF"/>
    <w:rsid w:val="02EA0CF5"/>
    <w:rsid w:val="02FC6355"/>
    <w:rsid w:val="03033783"/>
    <w:rsid w:val="033041D5"/>
    <w:rsid w:val="036363D4"/>
    <w:rsid w:val="036A52AF"/>
    <w:rsid w:val="038A62D1"/>
    <w:rsid w:val="039D7B38"/>
    <w:rsid w:val="03A32C74"/>
    <w:rsid w:val="03D10E92"/>
    <w:rsid w:val="041D6583"/>
    <w:rsid w:val="050701B0"/>
    <w:rsid w:val="05350205"/>
    <w:rsid w:val="05480CB8"/>
    <w:rsid w:val="05960333"/>
    <w:rsid w:val="05CF5740"/>
    <w:rsid w:val="05DC421B"/>
    <w:rsid w:val="0626380A"/>
    <w:rsid w:val="06316470"/>
    <w:rsid w:val="06640499"/>
    <w:rsid w:val="066C1A43"/>
    <w:rsid w:val="06783F44"/>
    <w:rsid w:val="068412F3"/>
    <w:rsid w:val="069A2D0C"/>
    <w:rsid w:val="06E4782C"/>
    <w:rsid w:val="06E577B0"/>
    <w:rsid w:val="06EB721C"/>
    <w:rsid w:val="070E62E0"/>
    <w:rsid w:val="07300C48"/>
    <w:rsid w:val="073E6F3C"/>
    <w:rsid w:val="078431BA"/>
    <w:rsid w:val="07B74B7E"/>
    <w:rsid w:val="07C808F9"/>
    <w:rsid w:val="07CF5DE6"/>
    <w:rsid w:val="07DE0D5C"/>
    <w:rsid w:val="07F56756"/>
    <w:rsid w:val="083A0C0C"/>
    <w:rsid w:val="08534C69"/>
    <w:rsid w:val="08563DDD"/>
    <w:rsid w:val="087370B9"/>
    <w:rsid w:val="08F83980"/>
    <w:rsid w:val="08FF0D8F"/>
    <w:rsid w:val="095742E5"/>
    <w:rsid w:val="09A3752A"/>
    <w:rsid w:val="0A38348D"/>
    <w:rsid w:val="0A8B47BC"/>
    <w:rsid w:val="0AA7129C"/>
    <w:rsid w:val="0AF5096A"/>
    <w:rsid w:val="0AF618DB"/>
    <w:rsid w:val="0B447EA2"/>
    <w:rsid w:val="0B64718D"/>
    <w:rsid w:val="0B705B32"/>
    <w:rsid w:val="0B79449C"/>
    <w:rsid w:val="0BAF62FB"/>
    <w:rsid w:val="0BB04180"/>
    <w:rsid w:val="0BBE4AEF"/>
    <w:rsid w:val="0BC1638D"/>
    <w:rsid w:val="0BD04822"/>
    <w:rsid w:val="0BDB0ED0"/>
    <w:rsid w:val="0BDC6E36"/>
    <w:rsid w:val="0C3E4CA2"/>
    <w:rsid w:val="0CC25F19"/>
    <w:rsid w:val="0CDB6FDB"/>
    <w:rsid w:val="0CF06F2A"/>
    <w:rsid w:val="0D5E192B"/>
    <w:rsid w:val="0D992951"/>
    <w:rsid w:val="0DBA7538"/>
    <w:rsid w:val="0DCD10C0"/>
    <w:rsid w:val="0DD04666"/>
    <w:rsid w:val="0DEA6C8D"/>
    <w:rsid w:val="0DF540CC"/>
    <w:rsid w:val="0E582E21"/>
    <w:rsid w:val="0EE02FCE"/>
    <w:rsid w:val="0FC33D94"/>
    <w:rsid w:val="10376C1E"/>
    <w:rsid w:val="103F7F1B"/>
    <w:rsid w:val="109375F4"/>
    <w:rsid w:val="10D10E21"/>
    <w:rsid w:val="10F605F6"/>
    <w:rsid w:val="112D34E8"/>
    <w:rsid w:val="11895257"/>
    <w:rsid w:val="11AC7198"/>
    <w:rsid w:val="11B85B3D"/>
    <w:rsid w:val="120B566C"/>
    <w:rsid w:val="122356AC"/>
    <w:rsid w:val="12343D0E"/>
    <w:rsid w:val="12500FEA"/>
    <w:rsid w:val="12635AA8"/>
    <w:rsid w:val="12C329EB"/>
    <w:rsid w:val="132878E0"/>
    <w:rsid w:val="13385187"/>
    <w:rsid w:val="13517FF7"/>
    <w:rsid w:val="138F0B1F"/>
    <w:rsid w:val="139879D4"/>
    <w:rsid w:val="14011A1D"/>
    <w:rsid w:val="14083304"/>
    <w:rsid w:val="14231DA0"/>
    <w:rsid w:val="14341A1C"/>
    <w:rsid w:val="145D0B4E"/>
    <w:rsid w:val="14BA748E"/>
    <w:rsid w:val="150E2F2F"/>
    <w:rsid w:val="151412DC"/>
    <w:rsid w:val="153320AA"/>
    <w:rsid w:val="155314CB"/>
    <w:rsid w:val="156F5A0C"/>
    <w:rsid w:val="157224A6"/>
    <w:rsid w:val="15796ADC"/>
    <w:rsid w:val="15A33119"/>
    <w:rsid w:val="16184DFC"/>
    <w:rsid w:val="1633267B"/>
    <w:rsid w:val="16345E1A"/>
    <w:rsid w:val="1638724C"/>
    <w:rsid w:val="165431D1"/>
    <w:rsid w:val="165A18B8"/>
    <w:rsid w:val="165D1651"/>
    <w:rsid w:val="169326D4"/>
    <w:rsid w:val="16A05B2E"/>
    <w:rsid w:val="16C2410C"/>
    <w:rsid w:val="16E573D4"/>
    <w:rsid w:val="16F03DC2"/>
    <w:rsid w:val="17824C23"/>
    <w:rsid w:val="178D5376"/>
    <w:rsid w:val="17C3523B"/>
    <w:rsid w:val="18811059"/>
    <w:rsid w:val="18AA620F"/>
    <w:rsid w:val="18E739CC"/>
    <w:rsid w:val="193851F6"/>
    <w:rsid w:val="194F4FD8"/>
    <w:rsid w:val="196547FC"/>
    <w:rsid w:val="196A3BC0"/>
    <w:rsid w:val="197E3419"/>
    <w:rsid w:val="19C340D1"/>
    <w:rsid w:val="19C47A22"/>
    <w:rsid w:val="19D45409"/>
    <w:rsid w:val="19DB6335"/>
    <w:rsid w:val="19F5582A"/>
    <w:rsid w:val="1A294A8B"/>
    <w:rsid w:val="1A3441CE"/>
    <w:rsid w:val="1A6B4094"/>
    <w:rsid w:val="1A8E38DF"/>
    <w:rsid w:val="1AC75042"/>
    <w:rsid w:val="1B102545"/>
    <w:rsid w:val="1B692C75"/>
    <w:rsid w:val="1BD20D2E"/>
    <w:rsid w:val="1BE51C24"/>
    <w:rsid w:val="1BFB4FA4"/>
    <w:rsid w:val="1C3D1C3B"/>
    <w:rsid w:val="1C3E5363"/>
    <w:rsid w:val="1CD21457"/>
    <w:rsid w:val="1D076B43"/>
    <w:rsid w:val="1D1232A7"/>
    <w:rsid w:val="1D2B73AA"/>
    <w:rsid w:val="1D526E45"/>
    <w:rsid w:val="1D7F3149"/>
    <w:rsid w:val="1D9430FD"/>
    <w:rsid w:val="1DCE646D"/>
    <w:rsid w:val="1DED54B8"/>
    <w:rsid w:val="1E2D340E"/>
    <w:rsid w:val="1E9D124C"/>
    <w:rsid w:val="1EDB5EF7"/>
    <w:rsid w:val="1EDF295B"/>
    <w:rsid w:val="1EF25A14"/>
    <w:rsid w:val="1FCF2FC1"/>
    <w:rsid w:val="203A06A2"/>
    <w:rsid w:val="204038CD"/>
    <w:rsid w:val="205C728D"/>
    <w:rsid w:val="206E043A"/>
    <w:rsid w:val="209918BD"/>
    <w:rsid w:val="213329F1"/>
    <w:rsid w:val="21C91382"/>
    <w:rsid w:val="222B5EB7"/>
    <w:rsid w:val="22A30143"/>
    <w:rsid w:val="22D622C7"/>
    <w:rsid w:val="237C10C0"/>
    <w:rsid w:val="23C40371"/>
    <w:rsid w:val="244C167D"/>
    <w:rsid w:val="24A24B56"/>
    <w:rsid w:val="24A73F1B"/>
    <w:rsid w:val="25102EC3"/>
    <w:rsid w:val="253226D7"/>
    <w:rsid w:val="25676217"/>
    <w:rsid w:val="25EB0A93"/>
    <w:rsid w:val="261455E0"/>
    <w:rsid w:val="26233A75"/>
    <w:rsid w:val="26323CB8"/>
    <w:rsid w:val="26B226FB"/>
    <w:rsid w:val="26E72CF4"/>
    <w:rsid w:val="26EA6341"/>
    <w:rsid w:val="273E0248"/>
    <w:rsid w:val="27547C5E"/>
    <w:rsid w:val="279308D8"/>
    <w:rsid w:val="27B9574A"/>
    <w:rsid w:val="27C06809"/>
    <w:rsid w:val="27E47554"/>
    <w:rsid w:val="27E64ACE"/>
    <w:rsid w:val="27FA25B3"/>
    <w:rsid w:val="281B7617"/>
    <w:rsid w:val="2832424B"/>
    <w:rsid w:val="28664DC9"/>
    <w:rsid w:val="288E6A40"/>
    <w:rsid w:val="289C7B0E"/>
    <w:rsid w:val="28B5472C"/>
    <w:rsid w:val="28C826B1"/>
    <w:rsid w:val="29057462"/>
    <w:rsid w:val="2924166B"/>
    <w:rsid w:val="298365D8"/>
    <w:rsid w:val="298C7B83"/>
    <w:rsid w:val="2995302D"/>
    <w:rsid w:val="29967194"/>
    <w:rsid w:val="29AF561F"/>
    <w:rsid w:val="29AF73CD"/>
    <w:rsid w:val="29CC34BC"/>
    <w:rsid w:val="2A41271B"/>
    <w:rsid w:val="2A482036"/>
    <w:rsid w:val="2A7F27EA"/>
    <w:rsid w:val="2AAE420F"/>
    <w:rsid w:val="2AD52E64"/>
    <w:rsid w:val="2AE35581"/>
    <w:rsid w:val="2B2C33CC"/>
    <w:rsid w:val="2B65068C"/>
    <w:rsid w:val="2B936FA7"/>
    <w:rsid w:val="2BBD04C8"/>
    <w:rsid w:val="2BF67536"/>
    <w:rsid w:val="2C31056E"/>
    <w:rsid w:val="2C624BCB"/>
    <w:rsid w:val="2CED7C4D"/>
    <w:rsid w:val="2DB66F7C"/>
    <w:rsid w:val="2E21030F"/>
    <w:rsid w:val="2E3C79FF"/>
    <w:rsid w:val="2E5844D8"/>
    <w:rsid w:val="2E757A2F"/>
    <w:rsid w:val="2E876B6B"/>
    <w:rsid w:val="2E921798"/>
    <w:rsid w:val="2F0F103A"/>
    <w:rsid w:val="2F430CE4"/>
    <w:rsid w:val="2F8C4439"/>
    <w:rsid w:val="2FB454E3"/>
    <w:rsid w:val="303B19BB"/>
    <w:rsid w:val="3062163D"/>
    <w:rsid w:val="30683E50"/>
    <w:rsid w:val="30753757"/>
    <w:rsid w:val="30A47560"/>
    <w:rsid w:val="30E3452C"/>
    <w:rsid w:val="30F1651D"/>
    <w:rsid w:val="317320B1"/>
    <w:rsid w:val="318F27BC"/>
    <w:rsid w:val="31C60F4A"/>
    <w:rsid w:val="3210344F"/>
    <w:rsid w:val="32566F80"/>
    <w:rsid w:val="32847DD5"/>
    <w:rsid w:val="32B31868"/>
    <w:rsid w:val="32B37F2E"/>
    <w:rsid w:val="32FC2C44"/>
    <w:rsid w:val="33042DA2"/>
    <w:rsid w:val="330B48C2"/>
    <w:rsid w:val="334212B2"/>
    <w:rsid w:val="33802506"/>
    <w:rsid w:val="338F5B04"/>
    <w:rsid w:val="33A55D48"/>
    <w:rsid w:val="33EA5BD2"/>
    <w:rsid w:val="33EF7CC8"/>
    <w:rsid w:val="33F26834"/>
    <w:rsid w:val="34254E5C"/>
    <w:rsid w:val="34515C51"/>
    <w:rsid w:val="34533777"/>
    <w:rsid w:val="34662AD6"/>
    <w:rsid w:val="346638E0"/>
    <w:rsid w:val="34935C08"/>
    <w:rsid w:val="34BB24A6"/>
    <w:rsid w:val="34D4418C"/>
    <w:rsid w:val="350A5248"/>
    <w:rsid w:val="353E5526"/>
    <w:rsid w:val="35B446E9"/>
    <w:rsid w:val="35C85010"/>
    <w:rsid w:val="35D02BA5"/>
    <w:rsid w:val="35D408E8"/>
    <w:rsid w:val="35F66AB0"/>
    <w:rsid w:val="35FD77AD"/>
    <w:rsid w:val="363B2715"/>
    <w:rsid w:val="366A0C1D"/>
    <w:rsid w:val="367E6AA5"/>
    <w:rsid w:val="36DA1F2E"/>
    <w:rsid w:val="36EC3A0F"/>
    <w:rsid w:val="3704143D"/>
    <w:rsid w:val="371D0FDC"/>
    <w:rsid w:val="374E46CA"/>
    <w:rsid w:val="376815D6"/>
    <w:rsid w:val="37906A90"/>
    <w:rsid w:val="379977E0"/>
    <w:rsid w:val="37BC5AD7"/>
    <w:rsid w:val="37F27B04"/>
    <w:rsid w:val="3809239F"/>
    <w:rsid w:val="38AF3856"/>
    <w:rsid w:val="38D567A9"/>
    <w:rsid w:val="38FF45C3"/>
    <w:rsid w:val="391556D9"/>
    <w:rsid w:val="39427E9B"/>
    <w:rsid w:val="39650B88"/>
    <w:rsid w:val="39822409"/>
    <w:rsid w:val="39947647"/>
    <w:rsid w:val="39A2172F"/>
    <w:rsid w:val="39F552D0"/>
    <w:rsid w:val="39FA2382"/>
    <w:rsid w:val="3A410516"/>
    <w:rsid w:val="3A437DEA"/>
    <w:rsid w:val="3A7B2C12"/>
    <w:rsid w:val="3A9643BE"/>
    <w:rsid w:val="3A9C574C"/>
    <w:rsid w:val="3AE93197"/>
    <w:rsid w:val="3B111C96"/>
    <w:rsid w:val="3B687C2C"/>
    <w:rsid w:val="3B857FC4"/>
    <w:rsid w:val="3BC74A4B"/>
    <w:rsid w:val="3C0D6F64"/>
    <w:rsid w:val="3C145F0B"/>
    <w:rsid w:val="3C3E24F3"/>
    <w:rsid w:val="3C60501F"/>
    <w:rsid w:val="3CEB6517"/>
    <w:rsid w:val="3D384D4F"/>
    <w:rsid w:val="3D86459F"/>
    <w:rsid w:val="3D864BBD"/>
    <w:rsid w:val="3D891FB8"/>
    <w:rsid w:val="3E05568B"/>
    <w:rsid w:val="3E444130"/>
    <w:rsid w:val="3E73713A"/>
    <w:rsid w:val="3EEF6830"/>
    <w:rsid w:val="3EF029C7"/>
    <w:rsid w:val="3F145A7F"/>
    <w:rsid w:val="3F3E3276"/>
    <w:rsid w:val="3F4C0AAE"/>
    <w:rsid w:val="3F7B1DD4"/>
    <w:rsid w:val="3F993726"/>
    <w:rsid w:val="3FD13F70"/>
    <w:rsid w:val="401364B0"/>
    <w:rsid w:val="403C77B5"/>
    <w:rsid w:val="406805AA"/>
    <w:rsid w:val="406E1616"/>
    <w:rsid w:val="40793F9C"/>
    <w:rsid w:val="40B51316"/>
    <w:rsid w:val="40BD0C45"/>
    <w:rsid w:val="40CD2566"/>
    <w:rsid w:val="41122DB1"/>
    <w:rsid w:val="41212590"/>
    <w:rsid w:val="414C3A28"/>
    <w:rsid w:val="41782A6F"/>
    <w:rsid w:val="418635AD"/>
    <w:rsid w:val="418B7627"/>
    <w:rsid w:val="41A84607"/>
    <w:rsid w:val="41BD4926"/>
    <w:rsid w:val="42380450"/>
    <w:rsid w:val="423A7D24"/>
    <w:rsid w:val="42654C09"/>
    <w:rsid w:val="429513FF"/>
    <w:rsid w:val="42975177"/>
    <w:rsid w:val="42D737C5"/>
    <w:rsid w:val="43751720"/>
    <w:rsid w:val="438576C5"/>
    <w:rsid w:val="43B6162D"/>
    <w:rsid w:val="43B6792B"/>
    <w:rsid w:val="43E814B4"/>
    <w:rsid w:val="43F75351"/>
    <w:rsid w:val="449A0F4E"/>
    <w:rsid w:val="44CF28A8"/>
    <w:rsid w:val="451E1B7F"/>
    <w:rsid w:val="45280308"/>
    <w:rsid w:val="452C5561"/>
    <w:rsid w:val="454C301F"/>
    <w:rsid w:val="455C6204"/>
    <w:rsid w:val="456B1EEC"/>
    <w:rsid w:val="45DA3175"/>
    <w:rsid w:val="45DC10F2"/>
    <w:rsid w:val="45F4468E"/>
    <w:rsid w:val="4681393A"/>
    <w:rsid w:val="471072A6"/>
    <w:rsid w:val="47347438"/>
    <w:rsid w:val="47492EC3"/>
    <w:rsid w:val="47AE0482"/>
    <w:rsid w:val="47BB1907"/>
    <w:rsid w:val="47EA5D49"/>
    <w:rsid w:val="483005FB"/>
    <w:rsid w:val="484418FD"/>
    <w:rsid w:val="48733F90"/>
    <w:rsid w:val="48B63E7D"/>
    <w:rsid w:val="48D52555"/>
    <w:rsid w:val="48F30C2D"/>
    <w:rsid w:val="48F50E49"/>
    <w:rsid w:val="4902167F"/>
    <w:rsid w:val="49274542"/>
    <w:rsid w:val="49370211"/>
    <w:rsid w:val="493F365F"/>
    <w:rsid w:val="494D2A33"/>
    <w:rsid w:val="49A33231"/>
    <w:rsid w:val="49E50EBD"/>
    <w:rsid w:val="49F978F3"/>
    <w:rsid w:val="4A8F43A4"/>
    <w:rsid w:val="4AA00081"/>
    <w:rsid w:val="4AAB6C73"/>
    <w:rsid w:val="4ADF590D"/>
    <w:rsid w:val="4AE922E8"/>
    <w:rsid w:val="4AF92706"/>
    <w:rsid w:val="4B047121"/>
    <w:rsid w:val="4B0C4228"/>
    <w:rsid w:val="4BC30D8B"/>
    <w:rsid w:val="4BE27349"/>
    <w:rsid w:val="4BF0515F"/>
    <w:rsid w:val="4C0D2AAF"/>
    <w:rsid w:val="4C76404F"/>
    <w:rsid w:val="4D3E01B2"/>
    <w:rsid w:val="4D675BEC"/>
    <w:rsid w:val="4D716903"/>
    <w:rsid w:val="4D754D28"/>
    <w:rsid w:val="4D944988"/>
    <w:rsid w:val="4D9F64B9"/>
    <w:rsid w:val="4DC1524F"/>
    <w:rsid w:val="4DC332C4"/>
    <w:rsid w:val="4DCA28A4"/>
    <w:rsid w:val="4DD059E1"/>
    <w:rsid w:val="4DE16672"/>
    <w:rsid w:val="4E2E2F7A"/>
    <w:rsid w:val="4E4F3A82"/>
    <w:rsid w:val="4EC05A55"/>
    <w:rsid w:val="4ED522E9"/>
    <w:rsid w:val="4F7800DE"/>
    <w:rsid w:val="4F9F1B0F"/>
    <w:rsid w:val="4FAF0BF7"/>
    <w:rsid w:val="4FB73D82"/>
    <w:rsid w:val="4FBC621D"/>
    <w:rsid w:val="4FEB4D54"/>
    <w:rsid w:val="4FED2D96"/>
    <w:rsid w:val="502A1EA5"/>
    <w:rsid w:val="50504BB7"/>
    <w:rsid w:val="506A34E8"/>
    <w:rsid w:val="50715218"/>
    <w:rsid w:val="50C77E23"/>
    <w:rsid w:val="51024103"/>
    <w:rsid w:val="511B51C5"/>
    <w:rsid w:val="512E1286"/>
    <w:rsid w:val="51327BA7"/>
    <w:rsid w:val="518C7D56"/>
    <w:rsid w:val="518F2933"/>
    <w:rsid w:val="51C50382"/>
    <w:rsid w:val="520C21E7"/>
    <w:rsid w:val="52126C0E"/>
    <w:rsid w:val="5221680B"/>
    <w:rsid w:val="52354064"/>
    <w:rsid w:val="52833022"/>
    <w:rsid w:val="529A34FD"/>
    <w:rsid w:val="529C4898"/>
    <w:rsid w:val="52C553E8"/>
    <w:rsid w:val="52D47D21"/>
    <w:rsid w:val="52ED493F"/>
    <w:rsid w:val="5311687F"/>
    <w:rsid w:val="53163654"/>
    <w:rsid w:val="53277E51"/>
    <w:rsid w:val="535648F9"/>
    <w:rsid w:val="539B439B"/>
    <w:rsid w:val="539E23BA"/>
    <w:rsid w:val="53C9715A"/>
    <w:rsid w:val="53E126F6"/>
    <w:rsid w:val="54533F36"/>
    <w:rsid w:val="54CD6782"/>
    <w:rsid w:val="54D9517B"/>
    <w:rsid w:val="552D196B"/>
    <w:rsid w:val="55B1434A"/>
    <w:rsid w:val="55B349E4"/>
    <w:rsid w:val="55BB6F76"/>
    <w:rsid w:val="560F2F6A"/>
    <w:rsid w:val="563B5197"/>
    <w:rsid w:val="563D3E2F"/>
    <w:rsid w:val="56570A4D"/>
    <w:rsid w:val="56BF6D29"/>
    <w:rsid w:val="56E30533"/>
    <w:rsid w:val="57034731"/>
    <w:rsid w:val="572C1074"/>
    <w:rsid w:val="575A68DC"/>
    <w:rsid w:val="57A25B69"/>
    <w:rsid w:val="57B26712"/>
    <w:rsid w:val="57D7F694"/>
    <w:rsid w:val="57FF5F0D"/>
    <w:rsid w:val="58011C9B"/>
    <w:rsid w:val="5853384B"/>
    <w:rsid w:val="58550FBC"/>
    <w:rsid w:val="58555460"/>
    <w:rsid w:val="587054D4"/>
    <w:rsid w:val="58DF2F7C"/>
    <w:rsid w:val="58E04578"/>
    <w:rsid w:val="5915328E"/>
    <w:rsid w:val="59302EA0"/>
    <w:rsid w:val="598558D1"/>
    <w:rsid w:val="59A65848"/>
    <w:rsid w:val="59B812BD"/>
    <w:rsid w:val="59B94A33"/>
    <w:rsid w:val="59BD150F"/>
    <w:rsid w:val="59DB1995"/>
    <w:rsid w:val="5A04694A"/>
    <w:rsid w:val="5A1F169A"/>
    <w:rsid w:val="5A3A2E18"/>
    <w:rsid w:val="5A4B2018"/>
    <w:rsid w:val="5A4F6157"/>
    <w:rsid w:val="5A7A11AE"/>
    <w:rsid w:val="5A8262B5"/>
    <w:rsid w:val="5ABA7384"/>
    <w:rsid w:val="5AC17303"/>
    <w:rsid w:val="5AC727D6"/>
    <w:rsid w:val="5AE2473B"/>
    <w:rsid w:val="5B127639"/>
    <w:rsid w:val="5B231846"/>
    <w:rsid w:val="5B582CE3"/>
    <w:rsid w:val="5B8A421A"/>
    <w:rsid w:val="5BAC6543"/>
    <w:rsid w:val="5C413946"/>
    <w:rsid w:val="5C427AAA"/>
    <w:rsid w:val="5C465DB6"/>
    <w:rsid w:val="5C471564"/>
    <w:rsid w:val="5C515F3F"/>
    <w:rsid w:val="5C58107B"/>
    <w:rsid w:val="5C8E7193"/>
    <w:rsid w:val="5CB858BF"/>
    <w:rsid w:val="5D3513BC"/>
    <w:rsid w:val="5D3A2E77"/>
    <w:rsid w:val="5E45453E"/>
    <w:rsid w:val="5E65459D"/>
    <w:rsid w:val="5F444562"/>
    <w:rsid w:val="5F775CBC"/>
    <w:rsid w:val="5F9920D6"/>
    <w:rsid w:val="5F9A19AB"/>
    <w:rsid w:val="5F9F5213"/>
    <w:rsid w:val="5FDB4FE7"/>
    <w:rsid w:val="6071159A"/>
    <w:rsid w:val="60A56528"/>
    <w:rsid w:val="60D45CAF"/>
    <w:rsid w:val="60FD075A"/>
    <w:rsid w:val="61214191"/>
    <w:rsid w:val="616B39BC"/>
    <w:rsid w:val="618A29D7"/>
    <w:rsid w:val="619A3EE4"/>
    <w:rsid w:val="61BC437E"/>
    <w:rsid w:val="61C64CD9"/>
    <w:rsid w:val="61E0223F"/>
    <w:rsid w:val="61EB2991"/>
    <w:rsid w:val="62031A89"/>
    <w:rsid w:val="62141EE8"/>
    <w:rsid w:val="622163B3"/>
    <w:rsid w:val="624D53FA"/>
    <w:rsid w:val="630F7BDD"/>
    <w:rsid w:val="63181501"/>
    <w:rsid w:val="63281BD4"/>
    <w:rsid w:val="63B84AF5"/>
    <w:rsid w:val="63DA2CBD"/>
    <w:rsid w:val="64144421"/>
    <w:rsid w:val="64EF5B97"/>
    <w:rsid w:val="64F67403"/>
    <w:rsid w:val="651D1622"/>
    <w:rsid w:val="653D52B2"/>
    <w:rsid w:val="65544838"/>
    <w:rsid w:val="655E7935"/>
    <w:rsid w:val="65A2522A"/>
    <w:rsid w:val="65E14F4E"/>
    <w:rsid w:val="65F07AC3"/>
    <w:rsid w:val="65FE1683"/>
    <w:rsid w:val="666920D7"/>
    <w:rsid w:val="66BC48FC"/>
    <w:rsid w:val="66F2724E"/>
    <w:rsid w:val="672062C4"/>
    <w:rsid w:val="6729338F"/>
    <w:rsid w:val="673D77EB"/>
    <w:rsid w:val="67582877"/>
    <w:rsid w:val="675C250A"/>
    <w:rsid w:val="6767497A"/>
    <w:rsid w:val="679D64DC"/>
    <w:rsid w:val="67ED6930"/>
    <w:rsid w:val="67FC1454"/>
    <w:rsid w:val="67FE0C67"/>
    <w:rsid w:val="6834471A"/>
    <w:rsid w:val="68A613C0"/>
    <w:rsid w:val="68FE744E"/>
    <w:rsid w:val="691C1682"/>
    <w:rsid w:val="6954706E"/>
    <w:rsid w:val="697D0373"/>
    <w:rsid w:val="69A71FBE"/>
    <w:rsid w:val="69DE4E04"/>
    <w:rsid w:val="6AAE27AE"/>
    <w:rsid w:val="6AFE7291"/>
    <w:rsid w:val="6B4975F8"/>
    <w:rsid w:val="6B4E041B"/>
    <w:rsid w:val="6B5E5A2A"/>
    <w:rsid w:val="6B8668D1"/>
    <w:rsid w:val="6BE6790B"/>
    <w:rsid w:val="6C103720"/>
    <w:rsid w:val="6C46023F"/>
    <w:rsid w:val="6C633514"/>
    <w:rsid w:val="6C691900"/>
    <w:rsid w:val="6C6A15EA"/>
    <w:rsid w:val="6C886D6E"/>
    <w:rsid w:val="6C99727F"/>
    <w:rsid w:val="6CC60283"/>
    <w:rsid w:val="6CD04C5E"/>
    <w:rsid w:val="6CE61934"/>
    <w:rsid w:val="6D0E7A2E"/>
    <w:rsid w:val="6D1C64A8"/>
    <w:rsid w:val="6D301BA0"/>
    <w:rsid w:val="6D3D7679"/>
    <w:rsid w:val="6D750D63"/>
    <w:rsid w:val="6D97577B"/>
    <w:rsid w:val="6D9B526C"/>
    <w:rsid w:val="6DEE108F"/>
    <w:rsid w:val="6E027280"/>
    <w:rsid w:val="6E0E1EE1"/>
    <w:rsid w:val="6E201C15"/>
    <w:rsid w:val="6E2B258C"/>
    <w:rsid w:val="6E2C2368"/>
    <w:rsid w:val="6E810905"/>
    <w:rsid w:val="6E894E9F"/>
    <w:rsid w:val="6ED924EF"/>
    <w:rsid w:val="6EFF7A7C"/>
    <w:rsid w:val="6F101C1B"/>
    <w:rsid w:val="6F244378"/>
    <w:rsid w:val="6F863CF9"/>
    <w:rsid w:val="6F997ED1"/>
    <w:rsid w:val="6F9B1553"/>
    <w:rsid w:val="6FB10D76"/>
    <w:rsid w:val="6FD93B19"/>
    <w:rsid w:val="70046180"/>
    <w:rsid w:val="70066957"/>
    <w:rsid w:val="70180DF5"/>
    <w:rsid w:val="702E686B"/>
    <w:rsid w:val="70390D6C"/>
    <w:rsid w:val="705234B1"/>
    <w:rsid w:val="70574D6F"/>
    <w:rsid w:val="707A1AB0"/>
    <w:rsid w:val="70AE175A"/>
    <w:rsid w:val="70C525FF"/>
    <w:rsid w:val="710E2EDC"/>
    <w:rsid w:val="71463740"/>
    <w:rsid w:val="71614A1E"/>
    <w:rsid w:val="71864485"/>
    <w:rsid w:val="71F66F14"/>
    <w:rsid w:val="720C094E"/>
    <w:rsid w:val="72616DCA"/>
    <w:rsid w:val="72963DC0"/>
    <w:rsid w:val="72A050D2"/>
    <w:rsid w:val="72BD7A32"/>
    <w:rsid w:val="72CC0ECA"/>
    <w:rsid w:val="72E43211"/>
    <w:rsid w:val="730E64E0"/>
    <w:rsid w:val="73125FD0"/>
    <w:rsid w:val="734E3EEC"/>
    <w:rsid w:val="735C486A"/>
    <w:rsid w:val="73685BF0"/>
    <w:rsid w:val="737A1423"/>
    <w:rsid w:val="738413DF"/>
    <w:rsid w:val="740F42BD"/>
    <w:rsid w:val="747C1C85"/>
    <w:rsid w:val="74B9247B"/>
    <w:rsid w:val="74C94DB4"/>
    <w:rsid w:val="74FA31C0"/>
    <w:rsid w:val="757A1C0A"/>
    <w:rsid w:val="759058D2"/>
    <w:rsid w:val="75C31803"/>
    <w:rsid w:val="75CC38E2"/>
    <w:rsid w:val="75F776FF"/>
    <w:rsid w:val="760D2A7F"/>
    <w:rsid w:val="76227FED"/>
    <w:rsid w:val="762878B8"/>
    <w:rsid w:val="76402E54"/>
    <w:rsid w:val="767825EE"/>
    <w:rsid w:val="76910B13"/>
    <w:rsid w:val="76AC322D"/>
    <w:rsid w:val="76B80C3C"/>
    <w:rsid w:val="76D53514"/>
    <w:rsid w:val="76E41A31"/>
    <w:rsid w:val="76F854DD"/>
    <w:rsid w:val="77130569"/>
    <w:rsid w:val="771728FF"/>
    <w:rsid w:val="77564543"/>
    <w:rsid w:val="77866F8C"/>
    <w:rsid w:val="77F82D18"/>
    <w:rsid w:val="782F3180"/>
    <w:rsid w:val="783469E8"/>
    <w:rsid w:val="785D5F3F"/>
    <w:rsid w:val="787A3C4C"/>
    <w:rsid w:val="787B4617"/>
    <w:rsid w:val="78C95383"/>
    <w:rsid w:val="78E977D3"/>
    <w:rsid w:val="79002D6F"/>
    <w:rsid w:val="79164340"/>
    <w:rsid w:val="798D4602"/>
    <w:rsid w:val="79A54A4E"/>
    <w:rsid w:val="79C8388C"/>
    <w:rsid w:val="79CC1437"/>
    <w:rsid w:val="79D33FDF"/>
    <w:rsid w:val="79D42231"/>
    <w:rsid w:val="79D4481E"/>
    <w:rsid w:val="7A000CE2"/>
    <w:rsid w:val="7A0E5017"/>
    <w:rsid w:val="7A3B2EE4"/>
    <w:rsid w:val="7A5A200A"/>
    <w:rsid w:val="7A881B2B"/>
    <w:rsid w:val="7A9A45EF"/>
    <w:rsid w:val="7AC92B01"/>
    <w:rsid w:val="7AE70703"/>
    <w:rsid w:val="7AE83ABA"/>
    <w:rsid w:val="7AF159BA"/>
    <w:rsid w:val="7B073F40"/>
    <w:rsid w:val="7B1E74DC"/>
    <w:rsid w:val="7B4B6523"/>
    <w:rsid w:val="7B5D0004"/>
    <w:rsid w:val="7B73BC76"/>
    <w:rsid w:val="7B786BEC"/>
    <w:rsid w:val="7B937ECA"/>
    <w:rsid w:val="7B946133"/>
    <w:rsid w:val="7B9A281F"/>
    <w:rsid w:val="7BF605FF"/>
    <w:rsid w:val="7C176405"/>
    <w:rsid w:val="7C480CB4"/>
    <w:rsid w:val="7C594C70"/>
    <w:rsid w:val="7C8B0BA1"/>
    <w:rsid w:val="7CA3413D"/>
    <w:rsid w:val="7CD12A58"/>
    <w:rsid w:val="7CD83A18"/>
    <w:rsid w:val="7CE840C9"/>
    <w:rsid w:val="7CED360A"/>
    <w:rsid w:val="7D032E2D"/>
    <w:rsid w:val="7D97463E"/>
    <w:rsid w:val="7DA16B80"/>
    <w:rsid w:val="7DA41F1A"/>
    <w:rsid w:val="7DAF266D"/>
    <w:rsid w:val="7DDD71DA"/>
    <w:rsid w:val="7E0646F7"/>
    <w:rsid w:val="7E140C79"/>
    <w:rsid w:val="7E7E4828"/>
    <w:rsid w:val="7EA21ACE"/>
    <w:rsid w:val="7EAD12A3"/>
    <w:rsid w:val="7EE639E4"/>
    <w:rsid w:val="7EEF13EE"/>
    <w:rsid w:val="7F45772D"/>
    <w:rsid w:val="7F4F4108"/>
    <w:rsid w:val="7F5A39EC"/>
    <w:rsid w:val="7F62208D"/>
    <w:rsid w:val="C5F4A75F"/>
    <w:rsid w:val="CBFBC7D1"/>
    <w:rsid w:val="FEFBD3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宋体"/>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qFormat/>
    <w:uiPriority w:val="0"/>
    <w:rPr>
      <w:rFonts w:ascii="Arial" w:hAnsi="Arial"/>
      <w:sz w:val="24"/>
    </w:rPr>
  </w:style>
  <w:style w:type="paragraph" w:styleId="3">
    <w:name w:val="annotation text"/>
    <w:basedOn w:val="1"/>
    <w:autoRedefine/>
    <w:semiHidden/>
    <w:unhideWhenUsed/>
    <w:qFormat/>
    <w:uiPriority w:val="99"/>
    <w:pPr>
      <w:jc w:val="left"/>
    </w:pPr>
  </w:style>
  <w:style w:type="paragraph" w:styleId="4">
    <w:name w:val="Body Text"/>
    <w:basedOn w:val="1"/>
    <w:autoRedefine/>
    <w:qFormat/>
    <w:uiPriority w:val="0"/>
    <w:pPr>
      <w:jc w:val="center"/>
    </w:pPr>
    <w:rPr>
      <w:szCs w:val="21"/>
    </w:rPr>
  </w:style>
  <w:style w:type="paragraph" w:styleId="5">
    <w:name w:val="Balloon Text"/>
    <w:basedOn w:val="1"/>
    <w:link w:val="16"/>
    <w:autoRedefine/>
    <w:qFormat/>
    <w:uiPriority w:val="99"/>
    <w:rPr>
      <w:sz w:val="18"/>
      <w:szCs w:val="18"/>
    </w:rPr>
  </w:style>
  <w:style w:type="paragraph" w:styleId="6">
    <w:name w:val="footer"/>
    <w:basedOn w:val="1"/>
    <w:link w:val="13"/>
    <w:autoRedefine/>
    <w:qFormat/>
    <w:uiPriority w:val="99"/>
    <w:pPr>
      <w:tabs>
        <w:tab w:val="center" w:pos="4153"/>
        <w:tab w:val="right" w:pos="8306"/>
      </w:tabs>
      <w:snapToGrid w:val="0"/>
      <w:jc w:val="left"/>
    </w:pPr>
    <w:rPr>
      <w:sz w:val="18"/>
      <w:szCs w:val="18"/>
    </w:rPr>
  </w:style>
  <w:style w:type="paragraph" w:styleId="7">
    <w:name w:val="header"/>
    <w:basedOn w:val="1"/>
    <w:link w:val="12"/>
    <w:autoRedefine/>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3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autoRedefine/>
    <w:qFormat/>
    <w:uiPriority w:val="99"/>
    <w:rPr>
      <w:color w:val="0000FF"/>
      <w:u w:val="single"/>
    </w:rPr>
  </w:style>
  <w:style w:type="character" w:customStyle="1" w:styleId="12">
    <w:name w:val="页眉 Char"/>
    <w:basedOn w:val="10"/>
    <w:link w:val="7"/>
    <w:autoRedefine/>
    <w:qFormat/>
    <w:uiPriority w:val="99"/>
    <w:rPr>
      <w:sz w:val="18"/>
      <w:szCs w:val="18"/>
    </w:rPr>
  </w:style>
  <w:style w:type="character" w:customStyle="1" w:styleId="13">
    <w:name w:val="页脚 Char"/>
    <w:basedOn w:val="10"/>
    <w:link w:val="6"/>
    <w:autoRedefine/>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Unresolved Mention"/>
    <w:basedOn w:val="10"/>
    <w:autoRedefine/>
    <w:qFormat/>
    <w:uiPriority w:val="99"/>
    <w:rPr>
      <w:color w:val="605E5C"/>
      <w:shd w:val="clear" w:color="auto" w:fill="E1DFDD"/>
    </w:rPr>
  </w:style>
  <w:style w:type="character" w:customStyle="1" w:styleId="16">
    <w:name w:val="批注框文本 Char"/>
    <w:basedOn w:val="10"/>
    <w:link w:val="5"/>
    <w:autoRedefine/>
    <w:qFormat/>
    <w:uiPriority w:val="99"/>
    <w:rPr>
      <w:rFonts w:ascii="等线" w:hAnsi="等线" w:eastAsia="等线"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8</Pages>
  <Words>3019</Words>
  <Characters>3371</Characters>
  <Lines>20</Lines>
  <Paragraphs>5</Paragraphs>
  <TotalTime>7</TotalTime>
  <ScaleCrop>false</ScaleCrop>
  <LinksUpToDate>false</LinksUpToDate>
  <CharactersWithSpaces>3395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2021-03-13T06:16:00Z</dcterms:created>
  <dc:creator>张 明慧</dc:creator>
  <cp:lastModifiedBy>代中军</cp:lastModifiedBy>
  <cp:lastPrinted>2025-08-06T09:48:00Z</cp:lastPrinted>
  <dcterms:modified xsi:type="dcterms:W3CDTF">2025-08-13T06:02:26Z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16915B58825E4C3CB7A033B17EE78653_13</vt:lpwstr>
  </property>
  <property fmtid="{D5CDD505-2E9C-101B-9397-08002B2CF9AE}" pid="4" name="KSOTemplateDocerSaveRecord">
    <vt:lpwstr>eyJoZGlkIjoiMzZiMjMzYTAwY2MxOWRiNDM5MGZjOWMwMDFiZjJkMzQiLCJ1c2VySWQiOiIxNjkzOTc2Nzc2In0=</vt:lpwstr>
  </property>
</Properties>
</file>