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8AAD7">
      <w:pPr>
        <w:spacing w:before="312" w:beforeLines="100" w:after="312" w:afterLines="100"/>
        <w:jc w:val="center"/>
        <w:rPr>
          <w:rFonts w:hint="eastAsia" w:ascii="黑体" w:hAnsi="金山简标宋" w:eastAsia="黑体"/>
          <w:b/>
          <w:sz w:val="30"/>
        </w:rPr>
      </w:pPr>
      <w:bookmarkStart w:id="5" w:name="_GoBack"/>
      <w:bookmarkEnd w:id="5"/>
      <w:r>
        <w:rPr>
          <w:rFonts w:hint="eastAsia" w:ascii="黑体" w:hAnsi="金山简标宋" w:eastAsia="黑体"/>
          <w:b/>
          <w:sz w:val="30"/>
        </w:rPr>
        <w:t>《医疗器械 临床可靠性 测评指南》广东省地方标准</w:t>
      </w:r>
    </w:p>
    <w:p w14:paraId="5AFFEEE9">
      <w:pPr>
        <w:spacing w:before="312" w:beforeLines="100" w:after="312" w:afterLines="100"/>
        <w:jc w:val="center"/>
        <w:rPr>
          <w:rFonts w:hint="eastAsia" w:ascii="宋体" w:hAnsi="金山简标宋"/>
          <w:b/>
          <w:color w:val="FF0000"/>
          <w:sz w:val="24"/>
        </w:rPr>
      </w:pPr>
      <w:r>
        <w:rPr>
          <w:rFonts w:hint="eastAsia" w:ascii="宋体" w:hAnsi="金山简标宋"/>
          <w:b/>
          <w:sz w:val="36"/>
        </w:rPr>
        <w:t>编 制 说 明</w:t>
      </w:r>
    </w:p>
    <w:p w14:paraId="0A1A1B59">
      <w:pPr>
        <w:spacing w:before="156" w:beforeLines="50" w:after="156" w:afterLines="50"/>
        <w:outlineLvl w:val="0"/>
        <w:rPr>
          <w:rFonts w:hint="eastAsia" w:ascii="黑体" w:hAnsi="金山简标宋" w:eastAsia="黑体"/>
          <w:b/>
          <w:sz w:val="28"/>
          <w:szCs w:val="28"/>
        </w:rPr>
      </w:pPr>
      <w:r>
        <w:rPr>
          <w:rFonts w:hint="eastAsia" w:ascii="黑体" w:hAnsi="金山简标宋" w:eastAsia="黑体"/>
          <w:b/>
          <w:sz w:val="28"/>
          <w:szCs w:val="28"/>
        </w:rPr>
        <w:t>一、任务来源</w:t>
      </w:r>
    </w:p>
    <w:p w14:paraId="6AB916AC">
      <w:pPr>
        <w:spacing w:before="312" w:beforeLines="100" w:after="312" w:afterLines="100"/>
        <w:ind w:firstLine="560" w:firstLineChars="200"/>
        <w:outlineLvl w:val="0"/>
        <w:rPr>
          <w:rFonts w:hint="eastAsia" w:ascii="宋体" w:hAnsi="宋体"/>
          <w:sz w:val="28"/>
          <w:szCs w:val="28"/>
        </w:rPr>
      </w:pPr>
      <w:r>
        <w:rPr>
          <w:rFonts w:hint="eastAsia" w:ascii="宋体" w:hAnsi="宋体"/>
          <w:sz w:val="28"/>
          <w:szCs w:val="28"/>
        </w:rPr>
        <w:t>《医疗器械 临床可靠性 测评指南》广东省地方标准已于2024年5月经广东省市场监督管理局正式批准立项，项目预计开发周期为2024年5月至2025年11月。广东省药品监督管理局提出制定该标准，广东省医疗器械质量监督检验所将作为本标准的归口单位。本地方标准的主要起草单位为广东省医疗器械质量监督检验所、重庆医疗器械质量检验中心。</w:t>
      </w:r>
    </w:p>
    <w:p w14:paraId="57DD53E1">
      <w:pPr>
        <w:spacing w:before="156" w:beforeLines="50" w:after="156" w:afterLines="50"/>
        <w:outlineLvl w:val="0"/>
        <w:rPr>
          <w:rFonts w:hint="eastAsia" w:ascii="黑体" w:hAnsi="金山简标宋" w:eastAsia="黑体"/>
          <w:b/>
          <w:sz w:val="28"/>
          <w:szCs w:val="28"/>
        </w:rPr>
      </w:pPr>
      <w:r>
        <w:rPr>
          <w:rFonts w:hint="eastAsia" w:ascii="黑体" w:hAnsi="金山简标宋" w:eastAsia="黑体"/>
          <w:b/>
          <w:sz w:val="28"/>
          <w:szCs w:val="28"/>
        </w:rPr>
        <w:t>二、目的和意义</w:t>
      </w:r>
    </w:p>
    <w:p w14:paraId="3CE5A985">
      <w:pPr>
        <w:pStyle w:val="9"/>
        <w:ind w:firstLine="560" w:firstLineChars="200"/>
        <w:rPr>
          <w:rFonts w:hint="eastAsia"/>
          <w:sz w:val="28"/>
          <w:szCs w:val="28"/>
        </w:rPr>
      </w:pPr>
      <w:r>
        <w:rPr>
          <w:rFonts w:hint="eastAsia"/>
          <w:sz w:val="28"/>
          <w:szCs w:val="28"/>
        </w:rPr>
        <w:t>《医疗器械 临床可靠性 测评指南》旨在规范广东省内医疗机构及相关单位对医疗器械临床可靠性的测评工作，为医疗器械在临床使用过程中的安全性、有效性和稳定性提供参考。本指南的制定，有助于医疗机构更系统化地开展医疗器械临床可靠性测评，加强对长期使用医疗器械的质量管理，延长设备的安全有效使用周期，降低医疗器械临床使用风险。</w:t>
      </w:r>
    </w:p>
    <w:p w14:paraId="1592749E">
      <w:pPr>
        <w:spacing w:before="156" w:beforeLines="50" w:after="156" w:afterLines="50"/>
        <w:outlineLvl w:val="0"/>
        <w:rPr>
          <w:rFonts w:hint="eastAsia" w:ascii="黑体" w:hAnsi="金山简标宋" w:eastAsia="黑体"/>
          <w:b/>
          <w:sz w:val="28"/>
          <w:szCs w:val="28"/>
        </w:rPr>
      </w:pPr>
      <w:r>
        <w:rPr>
          <w:rFonts w:hint="eastAsia" w:ascii="黑体" w:hAnsi="金山简标宋" w:eastAsia="黑体"/>
          <w:b/>
          <w:sz w:val="28"/>
          <w:szCs w:val="28"/>
        </w:rPr>
        <w:t>三、标准制定原则及主要内容</w:t>
      </w:r>
    </w:p>
    <w:p w14:paraId="3BAEE608">
      <w:pPr>
        <w:ind w:left="420" w:leftChars="200"/>
        <w:outlineLvl w:val="1"/>
        <w:rPr>
          <w:rFonts w:hint="eastAsia" w:ascii="宋体" w:hAnsi="宋体"/>
          <w:b/>
          <w:bCs/>
          <w:sz w:val="28"/>
          <w:szCs w:val="28"/>
        </w:rPr>
      </w:pPr>
      <w:r>
        <w:rPr>
          <w:rFonts w:hint="eastAsia" w:ascii="宋体" w:hAnsi="宋体"/>
          <w:b/>
          <w:bCs/>
          <w:sz w:val="28"/>
          <w:szCs w:val="28"/>
        </w:rPr>
        <w:t>（一）标准编制原则</w:t>
      </w:r>
    </w:p>
    <w:p w14:paraId="379162C1">
      <w:pPr>
        <w:ind w:left="420" w:leftChars="200"/>
        <w:outlineLvl w:val="2"/>
        <w:rPr>
          <w:rFonts w:hint="eastAsia" w:ascii="宋体" w:hAnsi="宋体"/>
          <w:b/>
          <w:sz w:val="28"/>
          <w:szCs w:val="28"/>
        </w:rPr>
      </w:pPr>
      <w:r>
        <w:rPr>
          <w:rFonts w:hint="eastAsia" w:ascii="宋体" w:hAnsi="宋体"/>
          <w:b/>
          <w:sz w:val="28"/>
          <w:szCs w:val="28"/>
        </w:rPr>
        <w:t xml:space="preserve"> 1.科学性</w:t>
      </w:r>
    </w:p>
    <w:p w14:paraId="2AFD2766">
      <w:pPr>
        <w:ind w:firstLine="560" w:firstLineChars="200"/>
        <w:rPr>
          <w:rFonts w:hint="eastAsia" w:ascii="宋体" w:hAnsi="宋体"/>
          <w:sz w:val="28"/>
          <w:szCs w:val="28"/>
          <w:highlight w:val="yellow"/>
        </w:rPr>
      </w:pPr>
      <w:r>
        <w:rPr>
          <w:rFonts w:hint="eastAsia" w:ascii="宋体" w:hAnsi="宋体"/>
          <w:sz w:val="28"/>
          <w:szCs w:val="28"/>
        </w:rPr>
        <w:t>本标准的制定充分遵照国内相关法律法规，标准主要内容科学合理。本标准严格按照GB/T 1.1-2020的规定编写，且确保与国家标准、行业标准中的术语和词汇保持一致，采用国家标准中规定的术语和广大用户熟悉的词汇。</w:t>
      </w:r>
    </w:p>
    <w:p w14:paraId="4818F6A7">
      <w:pPr>
        <w:ind w:left="420" w:leftChars="200"/>
        <w:outlineLvl w:val="2"/>
        <w:rPr>
          <w:rFonts w:hint="eastAsia" w:ascii="宋体" w:hAnsi="宋体"/>
          <w:b/>
          <w:sz w:val="28"/>
          <w:szCs w:val="28"/>
        </w:rPr>
      </w:pPr>
      <w:r>
        <w:rPr>
          <w:rFonts w:hint="eastAsia" w:ascii="宋体" w:hAnsi="宋体"/>
          <w:b/>
          <w:sz w:val="28"/>
          <w:szCs w:val="28"/>
        </w:rPr>
        <w:t xml:space="preserve"> 2.适用性</w:t>
      </w:r>
    </w:p>
    <w:p w14:paraId="52ECE785">
      <w:pPr>
        <w:ind w:firstLine="560" w:firstLineChars="200"/>
        <w:rPr>
          <w:rFonts w:hint="eastAsia" w:ascii="宋体" w:hAnsi="宋体"/>
          <w:sz w:val="28"/>
          <w:szCs w:val="28"/>
        </w:rPr>
      </w:pPr>
      <w:r>
        <w:rPr>
          <w:rFonts w:hint="eastAsia" w:ascii="宋体" w:hAnsi="宋体"/>
          <w:sz w:val="28"/>
          <w:szCs w:val="28"/>
        </w:rPr>
        <w:t>本标准旨在规范医疗器械临床可靠性测评的工作流程和技术要求，提升医疗机构和相关单位对长期使用医疗器械的质量监管能力，减少设备使用过程中的安全风险，延长医疗器械的有效使用周期。</w:t>
      </w:r>
    </w:p>
    <w:p w14:paraId="1CD9985B">
      <w:pPr>
        <w:ind w:left="420" w:leftChars="200"/>
        <w:outlineLvl w:val="2"/>
        <w:rPr>
          <w:rFonts w:hint="eastAsia" w:ascii="宋体" w:hAnsi="宋体"/>
          <w:b/>
          <w:sz w:val="28"/>
          <w:szCs w:val="28"/>
        </w:rPr>
      </w:pPr>
      <w:r>
        <w:rPr>
          <w:rFonts w:hint="eastAsia" w:ascii="宋体" w:hAnsi="宋体"/>
          <w:b/>
          <w:sz w:val="28"/>
          <w:szCs w:val="28"/>
        </w:rPr>
        <w:t xml:space="preserve"> 3.协调性</w:t>
      </w:r>
    </w:p>
    <w:p w14:paraId="2694B9F2">
      <w:pPr>
        <w:spacing w:before="156" w:beforeLines="50" w:after="156" w:afterLines="50"/>
        <w:ind w:firstLine="560"/>
        <w:outlineLvl w:val="2"/>
        <w:rPr>
          <w:rFonts w:hint="eastAsia" w:ascii="宋体" w:hAnsi="宋体"/>
          <w:sz w:val="28"/>
          <w:szCs w:val="28"/>
        </w:rPr>
      </w:pPr>
      <w:r>
        <w:rPr>
          <w:rFonts w:hint="eastAsia" w:ascii="宋体" w:hAnsi="宋体"/>
          <w:sz w:val="28"/>
          <w:szCs w:val="28"/>
        </w:rPr>
        <w:t>本标准的协调</w:t>
      </w:r>
      <w:r>
        <w:rPr>
          <w:rFonts w:hint="eastAsia" w:ascii="宋体" w:hAnsi="宋体"/>
          <w:bCs/>
          <w:sz w:val="28"/>
          <w:szCs w:val="28"/>
        </w:rPr>
        <w:t>性</w:t>
      </w:r>
      <w:r>
        <w:rPr>
          <w:rFonts w:hint="eastAsia" w:ascii="宋体" w:hAnsi="宋体"/>
          <w:sz w:val="28"/>
          <w:szCs w:val="28"/>
        </w:rPr>
        <w:t>是指本标准符合国家的政策，贯彻了国家的法律法规，与医疗器械注册、备案、生产、运营及使用等环节相关的技术标准、行业规范保持一致、衔接配套，符合国家、行业、地方管理部门、社会团体、企业的需求。</w:t>
      </w:r>
    </w:p>
    <w:p w14:paraId="6FF461A9">
      <w:pPr>
        <w:ind w:firstLine="562" w:firstLineChars="200"/>
        <w:outlineLvl w:val="2"/>
        <w:rPr>
          <w:rFonts w:hint="eastAsia" w:ascii="宋体" w:hAnsi="宋体"/>
          <w:b/>
          <w:sz w:val="28"/>
          <w:szCs w:val="28"/>
        </w:rPr>
      </w:pPr>
      <w:r>
        <w:rPr>
          <w:rFonts w:hint="eastAsia" w:ascii="宋体" w:hAnsi="宋体"/>
          <w:b/>
          <w:sz w:val="28"/>
          <w:szCs w:val="28"/>
        </w:rPr>
        <w:t>4.可操作性</w:t>
      </w:r>
    </w:p>
    <w:p w14:paraId="28D9150B">
      <w:pPr>
        <w:spacing w:before="156" w:beforeLines="50" w:after="156" w:afterLines="50"/>
        <w:outlineLvl w:val="2"/>
        <w:rPr>
          <w:rFonts w:hint="eastAsia" w:ascii="宋体" w:hAnsi="宋体"/>
          <w:sz w:val="28"/>
          <w:szCs w:val="28"/>
        </w:rPr>
      </w:pPr>
      <w:r>
        <w:rPr>
          <w:rFonts w:hint="eastAsia" w:ascii="宋体" w:hAnsi="宋体"/>
          <w:sz w:val="28"/>
          <w:szCs w:val="28"/>
        </w:rPr>
        <w:t xml:space="preserve">    本标准的可操作性是力求标准文本结构清楚、准确、相互协调、易于理解，具有适用性和可操作性。</w:t>
      </w:r>
    </w:p>
    <w:p w14:paraId="3CCFA279">
      <w:pPr>
        <w:ind w:left="420" w:leftChars="200"/>
        <w:outlineLvl w:val="1"/>
        <w:rPr>
          <w:rFonts w:hint="eastAsia" w:ascii="宋体" w:hAnsi="宋体"/>
          <w:b/>
          <w:bCs/>
          <w:sz w:val="28"/>
          <w:szCs w:val="28"/>
        </w:rPr>
      </w:pPr>
      <w:r>
        <w:rPr>
          <w:rFonts w:hint="eastAsia" w:ascii="宋体" w:hAnsi="宋体"/>
          <w:b/>
          <w:bCs/>
          <w:sz w:val="28"/>
          <w:szCs w:val="28"/>
        </w:rPr>
        <w:t>（二）标准制订主要依据</w:t>
      </w:r>
    </w:p>
    <w:p w14:paraId="169E180F">
      <w:pPr>
        <w:ind w:firstLine="560" w:firstLineChars="200"/>
        <w:outlineLvl w:val="1"/>
        <w:rPr>
          <w:rFonts w:hint="eastAsia" w:ascii="宋体" w:hAnsi="宋体"/>
          <w:sz w:val="28"/>
          <w:szCs w:val="28"/>
        </w:rPr>
      </w:pPr>
      <w:r>
        <w:rPr>
          <w:rFonts w:hint="eastAsia" w:ascii="宋体" w:hAnsi="宋体"/>
          <w:sz w:val="28"/>
          <w:szCs w:val="28"/>
        </w:rPr>
        <w:t>GB 9706.1-2020 医用电气设备 第1部分：基本安全和基本性能的通用要求</w:t>
      </w:r>
    </w:p>
    <w:p w14:paraId="5C98FC1B">
      <w:pPr>
        <w:ind w:firstLine="560" w:firstLineChars="200"/>
        <w:outlineLvl w:val="1"/>
        <w:rPr>
          <w:rFonts w:hint="eastAsia" w:ascii="宋体" w:hAnsi="宋体"/>
          <w:sz w:val="28"/>
          <w:szCs w:val="28"/>
        </w:rPr>
      </w:pPr>
      <w:r>
        <w:rPr>
          <w:rFonts w:hint="eastAsia" w:ascii="宋体" w:hAnsi="宋体"/>
          <w:sz w:val="28"/>
          <w:szCs w:val="28"/>
        </w:rPr>
        <w:t>GB/T 37079-2018 设备可靠性 可靠性评估方法</w:t>
      </w:r>
    </w:p>
    <w:p w14:paraId="3A2FD62B">
      <w:pPr>
        <w:ind w:firstLine="560" w:firstLineChars="200"/>
        <w:outlineLvl w:val="1"/>
        <w:rPr>
          <w:rFonts w:hint="eastAsia" w:ascii="宋体" w:hAnsi="宋体"/>
          <w:sz w:val="28"/>
          <w:szCs w:val="28"/>
        </w:rPr>
      </w:pPr>
      <w:r>
        <w:rPr>
          <w:rFonts w:hint="eastAsia" w:ascii="宋体" w:hAnsi="宋体"/>
          <w:sz w:val="28"/>
          <w:szCs w:val="28"/>
        </w:rPr>
        <w:t>GB/T 42062-2022 医疗器械 风险管理对医疗器械的应用</w:t>
      </w:r>
    </w:p>
    <w:p w14:paraId="1F5FBBBC">
      <w:pPr>
        <w:ind w:left="420" w:leftChars="200"/>
        <w:outlineLvl w:val="1"/>
        <w:rPr>
          <w:rFonts w:hint="eastAsia" w:ascii="宋体" w:hAnsi="宋体"/>
          <w:b/>
          <w:bCs/>
          <w:sz w:val="28"/>
          <w:szCs w:val="28"/>
        </w:rPr>
      </w:pPr>
      <w:r>
        <w:rPr>
          <w:rFonts w:hint="eastAsia" w:ascii="宋体" w:hAnsi="宋体"/>
          <w:b/>
          <w:bCs/>
          <w:sz w:val="28"/>
          <w:szCs w:val="28"/>
        </w:rPr>
        <w:t>（三）本标准的主要内容</w:t>
      </w:r>
    </w:p>
    <w:p w14:paraId="468F0F0C">
      <w:pPr>
        <w:ind w:firstLine="560" w:firstLineChars="200"/>
        <w:rPr>
          <w:rFonts w:hint="eastAsia" w:ascii="宋体" w:hAnsi="宋体"/>
          <w:sz w:val="28"/>
          <w:szCs w:val="28"/>
        </w:rPr>
      </w:pPr>
      <w:r>
        <w:rPr>
          <w:rFonts w:hint="eastAsia" w:ascii="宋体" w:hAnsi="宋体"/>
          <w:sz w:val="28"/>
          <w:szCs w:val="28"/>
        </w:rPr>
        <w:t>本文件编写遵循“统一、协调、简化、优化”标准化原理。在文件的主要结构框架、规范性要素的确定上仔细斟酌。在主要规范性技术要素的选择上进行了重点研究，本文件主要包括以下主要内容：</w:t>
      </w:r>
    </w:p>
    <w:p w14:paraId="3E006926">
      <w:pPr>
        <w:ind w:left="420" w:leftChars="200" w:firstLine="281" w:firstLineChars="100"/>
        <w:outlineLvl w:val="2"/>
        <w:rPr>
          <w:rFonts w:hint="eastAsia" w:ascii="宋体" w:hAnsi="宋体"/>
          <w:b/>
          <w:sz w:val="28"/>
          <w:szCs w:val="28"/>
        </w:rPr>
      </w:pPr>
      <w:r>
        <w:rPr>
          <w:rFonts w:hint="eastAsia" w:ascii="宋体" w:hAnsi="宋体"/>
          <w:b/>
          <w:sz w:val="28"/>
          <w:szCs w:val="28"/>
        </w:rPr>
        <w:t>1.</w:t>
      </w:r>
      <w:r>
        <w:rPr>
          <w:rFonts w:ascii="宋体" w:hAnsi="宋体"/>
          <w:b/>
          <w:sz w:val="28"/>
          <w:szCs w:val="28"/>
        </w:rPr>
        <w:t>测评原则</w:t>
      </w:r>
    </w:p>
    <w:p w14:paraId="7F399821">
      <w:pPr>
        <w:ind w:firstLine="560" w:firstLineChars="200"/>
        <w:rPr>
          <w:rFonts w:hint="eastAsia" w:ascii="宋体" w:hAnsi="宋体"/>
          <w:sz w:val="28"/>
          <w:szCs w:val="28"/>
        </w:rPr>
      </w:pPr>
      <w:r>
        <w:rPr>
          <w:rFonts w:ascii="宋体" w:hAnsi="宋体"/>
          <w:sz w:val="28"/>
          <w:szCs w:val="28"/>
        </w:rPr>
        <w:t>文件第4章</w:t>
      </w:r>
      <w:r>
        <w:rPr>
          <w:rFonts w:hint="eastAsia" w:ascii="宋体" w:hAnsi="宋体"/>
          <w:sz w:val="28"/>
          <w:szCs w:val="28"/>
        </w:rPr>
        <w:t>描述</w:t>
      </w:r>
      <w:r>
        <w:rPr>
          <w:rFonts w:ascii="宋体" w:hAnsi="宋体"/>
          <w:sz w:val="28"/>
          <w:szCs w:val="28"/>
        </w:rPr>
        <w:t>了医疗器械临床可靠性测评的基本原则，包括测评过程的</w:t>
      </w:r>
      <w:r>
        <w:rPr>
          <w:rFonts w:hint="eastAsia" w:ascii="宋体" w:hAnsi="宋体"/>
          <w:sz w:val="28"/>
          <w:szCs w:val="28"/>
        </w:rPr>
        <w:t>失效影响</w:t>
      </w:r>
      <w:r>
        <w:rPr>
          <w:rFonts w:ascii="宋体" w:hAnsi="宋体"/>
          <w:sz w:val="28"/>
          <w:szCs w:val="28"/>
        </w:rPr>
        <w:t>、测评方案与测评对象的适配性、关键控制点的管理以及测评信息的可追溯性。</w:t>
      </w:r>
    </w:p>
    <w:p w14:paraId="400DD11E">
      <w:pPr>
        <w:ind w:left="420" w:leftChars="200" w:firstLine="281" w:firstLineChars="100"/>
        <w:outlineLvl w:val="2"/>
        <w:rPr>
          <w:rFonts w:hint="eastAsia" w:ascii="宋体" w:hAnsi="宋体"/>
          <w:b/>
          <w:sz w:val="28"/>
          <w:szCs w:val="28"/>
        </w:rPr>
      </w:pPr>
      <w:r>
        <w:rPr>
          <w:rFonts w:hint="eastAsia" w:ascii="宋体" w:hAnsi="宋体"/>
          <w:b/>
          <w:sz w:val="28"/>
          <w:szCs w:val="28"/>
        </w:rPr>
        <w:t>2.</w:t>
      </w:r>
      <w:r>
        <w:rPr>
          <w:rFonts w:ascii="宋体" w:hAnsi="宋体"/>
          <w:b/>
          <w:sz w:val="28"/>
          <w:szCs w:val="28"/>
        </w:rPr>
        <w:t>测评指标体系</w:t>
      </w:r>
    </w:p>
    <w:p w14:paraId="721D533B">
      <w:pPr>
        <w:ind w:firstLine="560" w:firstLineChars="200"/>
        <w:rPr>
          <w:rFonts w:hint="eastAsia" w:ascii="宋体" w:hAnsi="宋体"/>
          <w:sz w:val="28"/>
          <w:szCs w:val="28"/>
        </w:rPr>
      </w:pPr>
      <w:r>
        <w:rPr>
          <w:rFonts w:ascii="宋体" w:hAnsi="宋体"/>
          <w:sz w:val="28"/>
          <w:szCs w:val="28"/>
        </w:rPr>
        <w:t>文件第5章构建了医疗器械临床可靠性的测评指标体系，涵盖使用环境、外观、功能、性能、安全及临床使用信息六个方面。</w:t>
      </w:r>
    </w:p>
    <w:p w14:paraId="41856FC7">
      <w:pPr>
        <w:ind w:left="420" w:leftChars="200" w:firstLine="281" w:firstLineChars="100"/>
        <w:outlineLvl w:val="2"/>
        <w:rPr>
          <w:rFonts w:hint="eastAsia" w:ascii="宋体" w:hAnsi="宋体"/>
          <w:b/>
          <w:sz w:val="28"/>
          <w:szCs w:val="28"/>
        </w:rPr>
      </w:pPr>
      <w:r>
        <w:rPr>
          <w:rFonts w:hint="eastAsia" w:ascii="宋体" w:hAnsi="宋体"/>
          <w:b/>
          <w:sz w:val="28"/>
          <w:szCs w:val="28"/>
        </w:rPr>
        <w:t>3.</w:t>
      </w:r>
      <w:r>
        <w:rPr>
          <w:rFonts w:ascii="宋体" w:hAnsi="宋体"/>
          <w:b/>
          <w:sz w:val="28"/>
          <w:szCs w:val="28"/>
        </w:rPr>
        <w:t>取值规则</w:t>
      </w:r>
    </w:p>
    <w:p w14:paraId="462E7B97">
      <w:pPr>
        <w:ind w:firstLine="560" w:firstLineChars="200"/>
        <w:rPr>
          <w:rFonts w:hint="eastAsia" w:ascii="宋体" w:hAnsi="宋体"/>
          <w:sz w:val="28"/>
          <w:szCs w:val="28"/>
        </w:rPr>
      </w:pPr>
      <w:r>
        <w:rPr>
          <w:rFonts w:ascii="宋体" w:hAnsi="宋体"/>
          <w:sz w:val="28"/>
          <w:szCs w:val="28"/>
        </w:rPr>
        <w:t>文件第6章规定了测评指标的赋值方法及计算规则，涵盖环境因素、设备状态、性能参数、故障率等多个维度，并提供了标准化的测评数据采集方法。</w:t>
      </w:r>
    </w:p>
    <w:p w14:paraId="4CB5C184">
      <w:pPr>
        <w:ind w:left="420" w:leftChars="200" w:firstLine="281" w:firstLineChars="100"/>
        <w:outlineLvl w:val="2"/>
        <w:rPr>
          <w:rFonts w:hint="eastAsia" w:ascii="宋体" w:hAnsi="宋体"/>
          <w:b/>
          <w:sz w:val="28"/>
          <w:szCs w:val="28"/>
        </w:rPr>
      </w:pPr>
      <w:r>
        <w:rPr>
          <w:rFonts w:hint="eastAsia" w:ascii="宋体" w:hAnsi="宋体"/>
          <w:b/>
          <w:sz w:val="28"/>
          <w:szCs w:val="28"/>
        </w:rPr>
        <w:t>4.</w:t>
      </w:r>
      <w:r>
        <w:rPr>
          <w:rFonts w:ascii="宋体" w:hAnsi="宋体"/>
          <w:b/>
          <w:sz w:val="28"/>
          <w:szCs w:val="28"/>
        </w:rPr>
        <w:t>测评结论的形成规则</w:t>
      </w:r>
    </w:p>
    <w:p w14:paraId="397B6C31">
      <w:pPr>
        <w:ind w:firstLine="560" w:firstLineChars="200"/>
        <w:rPr>
          <w:rFonts w:hint="eastAsia" w:ascii="宋体" w:hAnsi="宋体"/>
          <w:sz w:val="28"/>
          <w:szCs w:val="28"/>
        </w:rPr>
      </w:pPr>
      <w:r>
        <w:rPr>
          <w:rFonts w:ascii="宋体" w:hAnsi="宋体"/>
          <w:sz w:val="28"/>
          <w:szCs w:val="28"/>
        </w:rPr>
        <w:t>文件第7章提出了临床使用可靠性风险值的计算方法，并依据风险程度划分测评结果等级。</w:t>
      </w:r>
    </w:p>
    <w:p w14:paraId="17FD1C36">
      <w:pPr>
        <w:ind w:left="420" w:leftChars="200" w:firstLine="281" w:firstLineChars="100"/>
        <w:outlineLvl w:val="2"/>
        <w:rPr>
          <w:rFonts w:hint="eastAsia" w:ascii="宋体" w:hAnsi="宋体"/>
          <w:b/>
          <w:sz w:val="28"/>
          <w:szCs w:val="28"/>
        </w:rPr>
      </w:pPr>
      <w:r>
        <w:rPr>
          <w:rFonts w:hint="eastAsia" w:ascii="宋体" w:hAnsi="宋体"/>
          <w:b/>
          <w:sz w:val="28"/>
          <w:szCs w:val="28"/>
        </w:rPr>
        <w:t>5.</w:t>
      </w:r>
      <w:r>
        <w:rPr>
          <w:rFonts w:ascii="宋体" w:hAnsi="宋体"/>
          <w:b/>
          <w:sz w:val="28"/>
          <w:szCs w:val="28"/>
        </w:rPr>
        <w:t>测评活动的组织实施</w:t>
      </w:r>
    </w:p>
    <w:p w14:paraId="6B6079BF">
      <w:pPr>
        <w:ind w:firstLine="560" w:firstLineChars="200"/>
        <w:rPr>
          <w:rFonts w:hint="eastAsia" w:ascii="宋体" w:hAnsi="宋体"/>
          <w:sz w:val="28"/>
          <w:szCs w:val="28"/>
        </w:rPr>
      </w:pPr>
      <w:r>
        <w:rPr>
          <w:rFonts w:ascii="宋体" w:hAnsi="宋体"/>
          <w:sz w:val="28"/>
          <w:szCs w:val="28"/>
        </w:rPr>
        <w:t>文件第8章说明了测评活动的组织实施流程，包括测评准备、方案编制、现场测评、测评数据统计及报告编制五个基本环节。</w:t>
      </w:r>
    </w:p>
    <w:p w14:paraId="14370D19">
      <w:pPr>
        <w:spacing w:before="156" w:beforeLines="50" w:after="156" w:afterLines="50"/>
        <w:outlineLvl w:val="0"/>
        <w:rPr>
          <w:rFonts w:hint="eastAsia" w:ascii="黑体" w:hAnsi="金山简标宋" w:eastAsia="黑体"/>
          <w:b/>
          <w:sz w:val="28"/>
          <w:szCs w:val="28"/>
        </w:rPr>
      </w:pPr>
      <w:r>
        <w:rPr>
          <w:rFonts w:hint="eastAsia" w:ascii="黑体" w:hAnsi="金山简标宋" w:eastAsia="黑体"/>
          <w:b/>
          <w:sz w:val="28"/>
          <w:szCs w:val="28"/>
        </w:rPr>
        <w:t>四、主要工作过程</w:t>
      </w:r>
    </w:p>
    <w:p w14:paraId="6F0C1F03">
      <w:pPr>
        <w:ind w:left="420" w:leftChars="200"/>
        <w:outlineLvl w:val="1"/>
        <w:rPr>
          <w:rFonts w:hint="eastAsia" w:ascii="宋体" w:hAnsi="宋体"/>
          <w:b/>
          <w:bCs/>
          <w:sz w:val="28"/>
          <w:szCs w:val="28"/>
        </w:rPr>
      </w:pPr>
      <w:bookmarkStart w:id="0" w:name="_Toc83614624"/>
      <w:bookmarkStart w:id="1" w:name="_Toc49768203"/>
      <w:bookmarkStart w:id="2" w:name="_Toc81550534"/>
      <w:bookmarkStart w:id="3" w:name="_Toc38550203"/>
      <w:bookmarkStart w:id="4" w:name="_Toc38452413"/>
      <w:r>
        <w:rPr>
          <w:rFonts w:hint="eastAsia" w:ascii="宋体" w:hAnsi="宋体"/>
          <w:b/>
          <w:bCs/>
          <w:sz w:val="28"/>
          <w:szCs w:val="28"/>
        </w:rPr>
        <w:t>（一）成立工作组，确认需求，制定工作计划</w:t>
      </w:r>
    </w:p>
    <w:p w14:paraId="12D64152">
      <w:pPr>
        <w:ind w:firstLine="560" w:firstLineChars="200"/>
        <w:rPr>
          <w:rFonts w:hint="eastAsia" w:ascii="宋体" w:hAnsi="宋体"/>
          <w:sz w:val="28"/>
          <w:szCs w:val="28"/>
        </w:rPr>
      </w:pPr>
      <w:r>
        <w:rPr>
          <w:rFonts w:hint="eastAsia" w:ascii="宋体" w:hAnsi="宋体"/>
          <w:sz w:val="28"/>
          <w:szCs w:val="28"/>
        </w:rPr>
        <w:t>标准研究工作启动后，广东省医疗器械质量监督检验所第一时间成立了标准编制工作组，负责项目的指导与具体实施工作。标准编制工作组完成了《标准设计规范》，其中规定了整体工作计划、识别了相关影响因素、制定了应对措施，通过召开编制组工作人员会议，明确了任务要求，为推进项目顺利实施奠定了良好的基础。</w:t>
      </w:r>
    </w:p>
    <w:p w14:paraId="71E79738">
      <w:pPr>
        <w:ind w:left="420" w:leftChars="200"/>
        <w:outlineLvl w:val="1"/>
        <w:rPr>
          <w:rFonts w:hint="eastAsia" w:ascii="宋体" w:hAnsi="宋体"/>
          <w:b/>
          <w:bCs/>
          <w:sz w:val="28"/>
          <w:szCs w:val="28"/>
        </w:rPr>
      </w:pPr>
      <w:r>
        <w:rPr>
          <w:rFonts w:hint="eastAsia" w:ascii="宋体" w:hAnsi="宋体"/>
          <w:b/>
          <w:bCs/>
          <w:sz w:val="28"/>
          <w:szCs w:val="28"/>
        </w:rPr>
        <w:t>（二）深入研究，优化了标准草案和编制说明</w:t>
      </w:r>
    </w:p>
    <w:p w14:paraId="25AA4AC6">
      <w:pPr>
        <w:ind w:firstLine="560" w:firstLineChars="200"/>
        <w:rPr>
          <w:rFonts w:hint="eastAsia" w:ascii="宋体" w:hAnsi="宋体"/>
          <w:sz w:val="28"/>
          <w:szCs w:val="28"/>
        </w:rPr>
      </w:pPr>
      <w:r>
        <w:rPr>
          <w:rFonts w:hint="eastAsia" w:ascii="宋体" w:hAnsi="宋体"/>
          <w:sz w:val="28"/>
          <w:szCs w:val="28"/>
        </w:rPr>
        <w:t>标准起草工作小组在广泛调研的基础上，按照标准化、通用化等要求，根据标准起草相关规则，进一步梳理研究医疗器械临床可靠性测评流程，明确了医疗器械临床可靠性测评指南的内容。依据GB/T 1.1-2020《标准化工作导则 第1部分：标准化文件的结构和起草规则》和GB/T 20001.7-2017《标准编写规则 第7部分：指南标准》，对《医疗器械 临床可靠性 测评指南》标准草案的逻辑性和语言表达开展了优化工作，并经过编制组专家多次修改与讨论，于2024年8月形成了《标准草案》和《编制说明》。</w:t>
      </w:r>
    </w:p>
    <w:p w14:paraId="15AC5671">
      <w:pPr>
        <w:ind w:left="420" w:leftChars="200"/>
        <w:outlineLvl w:val="1"/>
        <w:rPr>
          <w:rFonts w:hint="eastAsia" w:ascii="宋体" w:hAnsi="宋体"/>
          <w:b/>
          <w:bCs/>
          <w:sz w:val="28"/>
          <w:szCs w:val="28"/>
        </w:rPr>
      </w:pPr>
      <w:r>
        <w:rPr>
          <w:rFonts w:hint="eastAsia" w:ascii="宋体" w:hAnsi="宋体"/>
          <w:b/>
          <w:bCs/>
          <w:sz w:val="28"/>
          <w:szCs w:val="28"/>
        </w:rPr>
        <w:t>（三）工作组集中工作，形成征求意见稿</w:t>
      </w:r>
    </w:p>
    <w:p w14:paraId="53015ADB">
      <w:pPr>
        <w:ind w:firstLine="560" w:firstLineChars="200"/>
        <w:rPr>
          <w:rFonts w:hint="eastAsia" w:ascii="宋体" w:hAnsi="宋体"/>
          <w:sz w:val="28"/>
          <w:szCs w:val="28"/>
        </w:rPr>
      </w:pPr>
      <w:r>
        <w:rPr>
          <w:rFonts w:hint="eastAsia" w:ascii="宋体" w:hAnsi="宋体"/>
          <w:sz w:val="28"/>
          <w:szCs w:val="28"/>
        </w:rPr>
        <w:t>2025年3月，标准编制工作组召开了多次工作组会议集中工作，标准编制工作组及相关专家主要成员参加了会议。会议从标准文本框架、内容、格式等方面进行了全面讨论。经过标准编制工作组多次修改，形成了《征求意见稿》和《编制说明》。</w:t>
      </w:r>
    </w:p>
    <w:p w14:paraId="01195DF0">
      <w:pPr>
        <w:spacing w:before="156" w:beforeLines="50" w:after="156" w:afterLines="50"/>
        <w:ind w:left="420" w:leftChars="200"/>
        <w:outlineLvl w:val="1"/>
        <w:rPr>
          <w:rFonts w:hint="eastAsia" w:ascii="宋体" w:hAnsi="宋体"/>
          <w:b/>
          <w:bCs/>
          <w:sz w:val="28"/>
          <w:szCs w:val="28"/>
        </w:rPr>
      </w:pPr>
      <w:r>
        <w:rPr>
          <w:rFonts w:hint="eastAsia" w:ascii="宋体" w:hAnsi="宋体"/>
          <w:b/>
          <w:bCs/>
          <w:sz w:val="28"/>
          <w:szCs w:val="28"/>
        </w:rPr>
        <w:t>（四）广泛征求意见形成送审稿</w:t>
      </w:r>
    </w:p>
    <w:p w14:paraId="4786CA2F">
      <w:pPr>
        <w:ind w:firstLine="560" w:firstLineChars="200"/>
        <w:rPr>
          <w:rFonts w:hint="eastAsia" w:ascii="宋体" w:hAnsi="宋体"/>
          <w:sz w:val="28"/>
          <w:szCs w:val="28"/>
        </w:rPr>
      </w:pPr>
      <w:r>
        <w:rPr>
          <w:rFonts w:hint="eastAsia" w:ascii="宋体" w:hAnsi="宋体"/>
          <w:sz w:val="28"/>
          <w:szCs w:val="28"/>
        </w:rPr>
        <w:t>2025年3月14日至2025年</w:t>
      </w:r>
      <w:r>
        <w:rPr>
          <w:rFonts w:hint="eastAsia" w:ascii="宋体" w:hAnsi="宋体"/>
          <w:sz w:val="28"/>
          <w:szCs w:val="28"/>
          <w:lang w:val="en-US" w:eastAsia="zh-CN"/>
        </w:rPr>
        <w:t>5</w:t>
      </w:r>
      <w:r>
        <w:rPr>
          <w:rFonts w:hint="eastAsia" w:ascii="宋体" w:hAnsi="宋体"/>
          <w:sz w:val="28"/>
          <w:szCs w:val="28"/>
        </w:rPr>
        <w:t>月14日，该标准在广东省药品监督管理局</w:t>
      </w:r>
      <w:r>
        <w:rPr>
          <w:rFonts w:hint="eastAsia" w:ascii="宋体" w:hAnsi="宋体"/>
          <w:sz w:val="28"/>
          <w:szCs w:val="28"/>
          <w:lang w:eastAsia="zh-CN"/>
        </w:rPr>
        <w:t>、广东省医疗器械质量监督检验所</w:t>
      </w:r>
      <w:r>
        <w:rPr>
          <w:rFonts w:hint="eastAsia" w:ascii="宋体" w:hAnsi="宋体"/>
          <w:sz w:val="28"/>
          <w:szCs w:val="28"/>
        </w:rPr>
        <w:t>公开征求意见</w:t>
      </w:r>
      <w:r>
        <w:rPr>
          <w:rFonts w:hint="eastAsia" w:ascii="宋体" w:hAnsi="宋体"/>
          <w:sz w:val="28"/>
          <w:szCs w:val="28"/>
          <w:lang w:val="en-US" w:eastAsia="zh-CN"/>
        </w:rPr>
        <w:t>6</w:t>
      </w:r>
      <w:r>
        <w:rPr>
          <w:rFonts w:hint="eastAsia" w:ascii="宋体" w:hAnsi="宋体"/>
          <w:sz w:val="28"/>
          <w:szCs w:val="28"/>
        </w:rPr>
        <w:t>0天</w:t>
      </w:r>
      <w:r>
        <w:rPr>
          <w:rFonts w:hint="eastAsia" w:ascii="宋体" w:hAnsi="宋体"/>
          <w:sz w:val="28"/>
          <w:szCs w:val="28"/>
          <w:lang w:eastAsia="zh-CN"/>
        </w:rPr>
        <w:t>。</w:t>
      </w:r>
      <w:r>
        <w:rPr>
          <w:rFonts w:hint="eastAsia" w:ascii="宋体" w:hAnsi="宋体"/>
          <w:sz w:val="28"/>
          <w:szCs w:val="28"/>
        </w:rPr>
        <w:t>发送《征求意见稿》单位数50个，收到《征求意见稿》后回函的单位数24个</w:t>
      </w:r>
      <w:r>
        <w:rPr>
          <w:rFonts w:hint="eastAsia" w:ascii="宋体" w:hAnsi="宋体"/>
          <w:sz w:val="28"/>
          <w:szCs w:val="28"/>
          <w:lang w:eastAsia="zh-CN"/>
        </w:rPr>
        <w:t>，</w:t>
      </w:r>
      <w:r>
        <w:rPr>
          <w:rFonts w:hint="eastAsia" w:ascii="宋体" w:hAnsi="宋体"/>
          <w:sz w:val="28"/>
          <w:szCs w:val="28"/>
        </w:rPr>
        <w:t>没有回函的单位数26个</w:t>
      </w:r>
      <w:r>
        <w:rPr>
          <w:rFonts w:hint="eastAsia" w:ascii="宋体" w:hAnsi="宋体"/>
          <w:sz w:val="28"/>
          <w:szCs w:val="28"/>
          <w:lang w:eastAsia="zh-CN"/>
        </w:rPr>
        <w:t>。</w:t>
      </w:r>
      <w:r>
        <w:rPr>
          <w:rFonts w:hint="eastAsia" w:ascii="宋体" w:hAnsi="宋体"/>
          <w:sz w:val="28"/>
          <w:szCs w:val="28"/>
          <w:lang w:val="en-US" w:eastAsia="zh-CN"/>
        </w:rPr>
        <w:t>收到意见共计120条</w:t>
      </w:r>
      <w:r>
        <w:rPr>
          <w:rFonts w:hint="eastAsia" w:ascii="宋体" w:hAnsi="宋体"/>
          <w:sz w:val="28"/>
          <w:szCs w:val="28"/>
        </w:rPr>
        <w:t>，其中采纳107条，部分采纳6条，不采纳7条</w:t>
      </w:r>
      <w:r>
        <w:rPr>
          <w:rFonts w:hint="eastAsia" w:ascii="宋体" w:hAnsi="宋体"/>
          <w:sz w:val="28"/>
          <w:szCs w:val="28"/>
          <w:lang w:eastAsia="zh-CN"/>
        </w:rPr>
        <w:t>，</w:t>
      </w:r>
      <w:r>
        <w:rPr>
          <w:rFonts w:hint="eastAsia" w:ascii="宋体" w:hAnsi="宋体"/>
          <w:sz w:val="28"/>
          <w:szCs w:val="28"/>
        </w:rPr>
        <w:t>形成《送审稿》。</w:t>
      </w:r>
    </w:p>
    <w:bookmarkEnd w:id="0"/>
    <w:bookmarkEnd w:id="1"/>
    <w:bookmarkEnd w:id="2"/>
    <w:bookmarkEnd w:id="3"/>
    <w:bookmarkEnd w:id="4"/>
    <w:p w14:paraId="70686792">
      <w:pPr>
        <w:spacing w:before="156" w:beforeLines="50" w:after="156" w:afterLines="50"/>
        <w:outlineLvl w:val="0"/>
        <w:rPr>
          <w:rFonts w:hint="eastAsia" w:ascii="黑体" w:hAnsi="金山简标宋" w:eastAsia="黑体"/>
          <w:b/>
          <w:sz w:val="28"/>
          <w:szCs w:val="28"/>
        </w:rPr>
      </w:pPr>
      <w:r>
        <w:rPr>
          <w:rFonts w:hint="eastAsia" w:ascii="黑体" w:hAnsi="金山简标宋" w:eastAsia="黑体"/>
          <w:b/>
          <w:sz w:val="28"/>
          <w:szCs w:val="28"/>
        </w:rPr>
        <w:t>五、标准重大分歧意见的处理经过和依据</w:t>
      </w:r>
    </w:p>
    <w:p w14:paraId="02AAA31F">
      <w:pPr>
        <w:ind w:firstLine="560" w:firstLineChars="200"/>
        <w:rPr>
          <w:rFonts w:hint="eastAsia" w:ascii="宋体" w:hAnsi="宋体"/>
          <w:sz w:val="28"/>
          <w:szCs w:val="28"/>
        </w:rPr>
      </w:pPr>
      <w:r>
        <w:rPr>
          <w:rFonts w:hint="eastAsia" w:ascii="宋体" w:hAnsi="宋体"/>
          <w:sz w:val="28"/>
          <w:szCs w:val="28"/>
        </w:rPr>
        <w:t>本文件的制定过程中未出现重大的分歧意见。</w:t>
      </w:r>
    </w:p>
    <w:p w14:paraId="5021685D">
      <w:pPr>
        <w:spacing w:before="156" w:beforeLines="50" w:after="156" w:afterLines="50"/>
        <w:outlineLvl w:val="0"/>
        <w:rPr>
          <w:rFonts w:hint="eastAsia" w:ascii="黑体" w:hAnsi="金山简标宋" w:eastAsia="黑体"/>
          <w:b/>
          <w:sz w:val="28"/>
          <w:szCs w:val="28"/>
        </w:rPr>
      </w:pPr>
      <w:r>
        <w:rPr>
          <w:rFonts w:hint="eastAsia" w:ascii="黑体" w:hAnsi="金山简标宋" w:eastAsia="黑体"/>
          <w:b/>
          <w:sz w:val="28"/>
          <w:szCs w:val="28"/>
        </w:rPr>
        <w:t>六、是否与法律法规强标相协调</w:t>
      </w:r>
    </w:p>
    <w:p w14:paraId="68CB68A9">
      <w:pPr>
        <w:ind w:firstLine="560" w:firstLineChars="200"/>
        <w:rPr>
          <w:rFonts w:hint="eastAsia" w:ascii="宋体" w:hAnsi="宋体"/>
          <w:sz w:val="28"/>
          <w:szCs w:val="28"/>
        </w:rPr>
      </w:pPr>
      <w:r>
        <w:rPr>
          <w:rFonts w:hint="eastAsia" w:ascii="宋体" w:hAnsi="宋体"/>
          <w:sz w:val="28"/>
          <w:szCs w:val="28"/>
        </w:rPr>
        <w:t>本文件的制定过程中比对了《医疗器械监督管理条例》《医疗器械注册与备案管理办法》《医疗器械生产监督管理办法》和《医疗器械使用质量监督管理办法》等相关法律法规和标准规范，并与相关管理规范相协调一致。</w:t>
      </w:r>
    </w:p>
    <w:p w14:paraId="3C0AF8F9">
      <w:pPr>
        <w:spacing w:before="156" w:beforeLines="50" w:after="156" w:afterLines="50"/>
        <w:outlineLvl w:val="0"/>
        <w:rPr>
          <w:rFonts w:hint="eastAsia" w:ascii="黑体" w:hAnsi="金山简标宋" w:eastAsia="黑体"/>
          <w:b/>
          <w:sz w:val="28"/>
          <w:szCs w:val="28"/>
        </w:rPr>
      </w:pPr>
      <w:r>
        <w:rPr>
          <w:rFonts w:hint="eastAsia" w:ascii="黑体" w:hAnsi="金山简标宋" w:eastAsia="黑体"/>
          <w:b/>
          <w:sz w:val="28"/>
          <w:szCs w:val="28"/>
        </w:rPr>
        <w:t>七、贯彻标准的要求措施建议</w:t>
      </w:r>
    </w:p>
    <w:p w14:paraId="7A001FF5">
      <w:pPr>
        <w:ind w:firstLine="560" w:firstLineChars="200"/>
        <w:rPr>
          <w:rFonts w:hint="eastAsia" w:ascii="宋体" w:hAnsi="宋体"/>
          <w:sz w:val="28"/>
          <w:szCs w:val="28"/>
        </w:rPr>
      </w:pPr>
      <w:r>
        <w:rPr>
          <w:rFonts w:hint="eastAsia" w:ascii="宋体" w:hAnsi="宋体"/>
          <w:sz w:val="28"/>
          <w:szCs w:val="28"/>
        </w:rPr>
        <w:t>在文件的后续应用实践过程中，起草单位的主要落实措施如下：</w:t>
      </w:r>
    </w:p>
    <w:p w14:paraId="7827D115">
      <w:pPr>
        <w:ind w:left="420" w:leftChars="200"/>
        <w:outlineLvl w:val="1"/>
        <w:rPr>
          <w:rFonts w:hint="eastAsia" w:ascii="宋体" w:hAnsi="宋体"/>
          <w:b/>
          <w:bCs/>
          <w:sz w:val="28"/>
          <w:szCs w:val="28"/>
        </w:rPr>
      </w:pPr>
      <w:r>
        <w:rPr>
          <w:rFonts w:hint="eastAsia" w:ascii="宋体" w:hAnsi="宋体"/>
          <w:b/>
          <w:bCs/>
          <w:sz w:val="28"/>
          <w:szCs w:val="28"/>
        </w:rPr>
        <w:t>（一）组织宣贯</w:t>
      </w:r>
    </w:p>
    <w:p w14:paraId="718C5CE5">
      <w:pPr>
        <w:ind w:firstLine="560" w:firstLineChars="200"/>
        <w:rPr>
          <w:rFonts w:hint="eastAsia" w:ascii="宋体" w:hAnsi="宋体"/>
          <w:sz w:val="28"/>
          <w:szCs w:val="28"/>
        </w:rPr>
      </w:pPr>
      <w:r>
        <w:rPr>
          <w:rFonts w:hint="eastAsia" w:ascii="宋体" w:hAnsi="宋体"/>
          <w:sz w:val="28"/>
          <w:szCs w:val="28"/>
        </w:rPr>
        <w:t>本文件发布实施后，起草单位计划组织标准宣贯活动，围绕《医疗器械 临床可靠性 测评指南》的测评原则、指标体系和实施方法等关键内容，向医疗机构、医疗器械生产企业、第三方测评机构及相关管理部门进行宣贯和培训，促进标准的有效应用，提高行业对医疗器械临床可靠性测评的认识和重视。</w:t>
      </w:r>
    </w:p>
    <w:p w14:paraId="0E3B786E">
      <w:pPr>
        <w:ind w:left="420" w:leftChars="200"/>
        <w:outlineLvl w:val="1"/>
        <w:rPr>
          <w:rFonts w:hint="eastAsia" w:ascii="宋体" w:hAnsi="宋体"/>
          <w:b/>
          <w:bCs/>
          <w:sz w:val="28"/>
          <w:szCs w:val="28"/>
        </w:rPr>
      </w:pPr>
      <w:r>
        <w:rPr>
          <w:rFonts w:hint="eastAsia" w:ascii="宋体" w:hAnsi="宋体"/>
          <w:b/>
          <w:bCs/>
          <w:sz w:val="28"/>
          <w:szCs w:val="28"/>
        </w:rPr>
        <w:t>（二）推广实施</w:t>
      </w:r>
    </w:p>
    <w:p w14:paraId="14CC1FFB">
      <w:pPr>
        <w:spacing w:line="336" w:lineRule="auto"/>
        <w:ind w:firstLine="560" w:firstLineChars="200"/>
        <w:rPr>
          <w:rFonts w:hint="eastAsia" w:ascii="宋体" w:hAnsi="宋体"/>
          <w:sz w:val="28"/>
          <w:szCs w:val="28"/>
        </w:rPr>
      </w:pPr>
      <w:r>
        <w:rPr>
          <w:rFonts w:hint="eastAsia" w:ascii="宋体" w:hAnsi="宋体"/>
          <w:sz w:val="28"/>
          <w:szCs w:val="28"/>
        </w:rPr>
        <w:t>本文件发布后，广东省医疗器械行业协会、医疗机构设备管理单位、医疗器械生产企业联盟等相关方将通过专业培训、技术研讨和实践应用，推动《医疗器械 临床可靠性 测评指南》的实施。同时，将与医疗机构、医疗器械生产企业、第三方测评机构、监管部门等行业相关方加强合作，共同推进医疗器械临床可靠性测评工作的标准化和规范化，确保标准在行业内得到广泛应用。</w:t>
      </w:r>
    </w:p>
    <w:p w14:paraId="5BCDC7AB">
      <w:pPr>
        <w:spacing w:before="156" w:beforeLines="50" w:after="156" w:afterLines="50"/>
        <w:outlineLvl w:val="0"/>
        <w:rPr>
          <w:rFonts w:hint="eastAsia" w:ascii="黑体" w:hAnsi="金山简标宋" w:eastAsia="黑体"/>
          <w:b/>
          <w:sz w:val="28"/>
          <w:szCs w:val="28"/>
        </w:rPr>
      </w:pPr>
      <w:r>
        <w:rPr>
          <w:rFonts w:hint="eastAsia" w:ascii="黑体" w:hAnsi="金山简标宋" w:eastAsia="黑体"/>
          <w:b/>
          <w:sz w:val="28"/>
          <w:szCs w:val="28"/>
        </w:rPr>
        <w:t>八、废止现行有关标准的建议</w:t>
      </w:r>
    </w:p>
    <w:p w14:paraId="73FC99C9">
      <w:pPr>
        <w:ind w:firstLine="560" w:firstLineChars="200"/>
        <w:rPr>
          <w:rFonts w:hint="eastAsia" w:ascii="宋体" w:hAnsi="宋体"/>
          <w:sz w:val="28"/>
          <w:szCs w:val="28"/>
        </w:rPr>
      </w:pPr>
      <w:r>
        <w:rPr>
          <w:rFonts w:hint="eastAsia" w:ascii="宋体" w:hAnsi="宋体"/>
          <w:sz w:val="28"/>
          <w:szCs w:val="28"/>
        </w:rPr>
        <w:t>不存在可废除的对应文件。</w:t>
      </w:r>
    </w:p>
    <w:p w14:paraId="141510E0">
      <w:pPr>
        <w:spacing w:before="156" w:beforeLines="50" w:after="156" w:afterLines="50"/>
        <w:outlineLvl w:val="0"/>
        <w:rPr>
          <w:rFonts w:hint="eastAsia" w:ascii="黑体" w:hAnsi="金山简标宋" w:eastAsia="黑体"/>
          <w:b/>
          <w:sz w:val="28"/>
          <w:szCs w:val="28"/>
        </w:rPr>
      </w:pPr>
      <w:r>
        <w:rPr>
          <w:rFonts w:hint="eastAsia" w:ascii="黑体" w:hAnsi="金山简标宋" w:eastAsia="黑体"/>
          <w:b/>
          <w:sz w:val="28"/>
          <w:szCs w:val="28"/>
        </w:rPr>
        <w:t>九、本标准编制说明的附件</w:t>
      </w:r>
    </w:p>
    <w:p w14:paraId="7A41A2A4">
      <w:pPr>
        <w:ind w:firstLine="560" w:firstLineChars="200"/>
        <w:rPr>
          <w:rFonts w:hint="eastAsia" w:ascii="宋体" w:hAnsi="宋体"/>
          <w:sz w:val="28"/>
          <w:szCs w:val="28"/>
        </w:rPr>
      </w:pPr>
      <w:r>
        <w:rPr>
          <w:rFonts w:hint="eastAsia" w:ascii="宋体" w:hAnsi="宋体"/>
          <w:sz w:val="28"/>
          <w:szCs w:val="28"/>
        </w:rPr>
        <w:t>无。</w:t>
      </w:r>
    </w:p>
    <w:p w14:paraId="0D98A617">
      <w:pPr>
        <w:ind w:firstLine="560" w:firstLineChars="200"/>
        <w:rPr>
          <w:rFonts w:hint="eastAsia" w:ascii="宋体" w:hAnsi="宋体"/>
          <w:sz w:val="28"/>
          <w:szCs w:val="28"/>
        </w:rPr>
      </w:pPr>
    </w:p>
    <w:p w14:paraId="34D7A1D0">
      <w:pPr>
        <w:ind w:firstLine="560" w:firstLineChars="200"/>
        <w:rPr>
          <w:rFonts w:hint="eastAsia" w:ascii="宋体" w:hAnsi="宋体"/>
          <w:sz w:val="28"/>
          <w:szCs w:val="28"/>
        </w:rPr>
      </w:pPr>
    </w:p>
    <w:p w14:paraId="7721BA1A">
      <w:pPr>
        <w:jc w:val="right"/>
        <w:rPr>
          <w:rFonts w:hint="eastAsia" w:ascii="宋体" w:hAnsi="宋体"/>
          <w:sz w:val="28"/>
          <w:szCs w:val="28"/>
        </w:rPr>
      </w:pPr>
      <w:r>
        <w:rPr>
          <w:rFonts w:hint="eastAsia" w:ascii="宋体" w:hAnsi="宋体"/>
          <w:sz w:val="28"/>
          <w:szCs w:val="28"/>
        </w:rPr>
        <w:t xml:space="preserve">  《医疗器械 临床可靠性 测评指南》广东省地方标准起草工作小组</w:t>
      </w:r>
    </w:p>
    <w:p w14:paraId="3FA8D8DF">
      <w:pPr>
        <w:ind w:firstLine="560" w:firstLineChars="200"/>
        <w:jc w:val="right"/>
        <w:rPr>
          <w:rFonts w:hint="eastAsia" w:ascii="宋体" w:hAnsi="宋体"/>
          <w:sz w:val="28"/>
          <w:szCs w:val="28"/>
        </w:rPr>
      </w:pPr>
      <w:r>
        <w:rPr>
          <w:rFonts w:hint="eastAsia" w:ascii="宋体" w:hAnsi="宋体"/>
          <w:sz w:val="28"/>
          <w:szCs w:val="28"/>
        </w:rPr>
        <w:t>2025年5月</w:t>
      </w:r>
    </w:p>
    <w:sectPr>
      <w:headerReference r:id="rId3"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Malgun Gothic Semilight"/>
    <w:panose1 w:val="020B0604020202020204"/>
    <w:charset w:val="86"/>
    <w:family w:val="swiss"/>
    <w:pitch w:val="default"/>
    <w:sig w:usb0="00000000" w:usb1="00000000" w:usb2="00000000" w:usb3="00000000" w:csb0="003E0000" w:csb1="00000000"/>
  </w:font>
  <w:font w:name="Malgun Gothic Semilight">
    <w:panose1 w:val="020B0502040204020203"/>
    <w:charset w:val="86"/>
    <w:family w:val="auto"/>
    <w:pitch w:val="default"/>
    <w:sig w:usb0="900002AF" w:usb1="01D77CFB" w:usb2="00000012" w:usb3="00000000" w:csb0="203E01BD" w:csb1="D7FF0000"/>
  </w:font>
  <w:font w:name="金山简标宋">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21DDE">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黑体"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jZWUxNGYyYjkyYmQyMGYxZTZlYzZkMTQ1OGIyM2YifQ=="/>
  </w:docVars>
  <w:rsids>
    <w:rsidRoot w:val="00184A38"/>
    <w:rsid w:val="0001127C"/>
    <w:rsid w:val="00013F9C"/>
    <w:rsid w:val="00017C7D"/>
    <w:rsid w:val="00023D6F"/>
    <w:rsid w:val="000451BD"/>
    <w:rsid w:val="00045C45"/>
    <w:rsid w:val="000933EB"/>
    <w:rsid w:val="00097565"/>
    <w:rsid w:val="000A0D03"/>
    <w:rsid w:val="000A43BD"/>
    <w:rsid w:val="000B67C6"/>
    <w:rsid w:val="000D2790"/>
    <w:rsid w:val="000D3B64"/>
    <w:rsid w:val="000D64B6"/>
    <w:rsid w:val="000D6DA9"/>
    <w:rsid w:val="000E007C"/>
    <w:rsid w:val="000E1E3E"/>
    <w:rsid w:val="00102CFA"/>
    <w:rsid w:val="00113F5D"/>
    <w:rsid w:val="00127B7C"/>
    <w:rsid w:val="00137951"/>
    <w:rsid w:val="00142D85"/>
    <w:rsid w:val="00153CE5"/>
    <w:rsid w:val="00163C9C"/>
    <w:rsid w:val="00184A38"/>
    <w:rsid w:val="001925C1"/>
    <w:rsid w:val="00194DDC"/>
    <w:rsid w:val="001A0EC6"/>
    <w:rsid w:val="001A169F"/>
    <w:rsid w:val="001A2271"/>
    <w:rsid w:val="001A73DB"/>
    <w:rsid w:val="001B1187"/>
    <w:rsid w:val="001B7A37"/>
    <w:rsid w:val="001E1A42"/>
    <w:rsid w:val="001E7DAC"/>
    <w:rsid w:val="001F5A6E"/>
    <w:rsid w:val="001F6089"/>
    <w:rsid w:val="0020190C"/>
    <w:rsid w:val="00215266"/>
    <w:rsid w:val="002256A9"/>
    <w:rsid w:val="0023454C"/>
    <w:rsid w:val="002419BB"/>
    <w:rsid w:val="0025060E"/>
    <w:rsid w:val="00252CA7"/>
    <w:rsid w:val="00256390"/>
    <w:rsid w:val="00261D55"/>
    <w:rsid w:val="002716B2"/>
    <w:rsid w:val="00294A3C"/>
    <w:rsid w:val="00296D3E"/>
    <w:rsid w:val="002A3C95"/>
    <w:rsid w:val="002A47CB"/>
    <w:rsid w:val="002A5AA8"/>
    <w:rsid w:val="002A7453"/>
    <w:rsid w:val="002C24EF"/>
    <w:rsid w:val="002D40A2"/>
    <w:rsid w:val="002D5931"/>
    <w:rsid w:val="002F0C55"/>
    <w:rsid w:val="002F49B9"/>
    <w:rsid w:val="00303F84"/>
    <w:rsid w:val="00312D98"/>
    <w:rsid w:val="00316164"/>
    <w:rsid w:val="0033446C"/>
    <w:rsid w:val="003609B6"/>
    <w:rsid w:val="00371338"/>
    <w:rsid w:val="00391B2C"/>
    <w:rsid w:val="00391DC1"/>
    <w:rsid w:val="003933A6"/>
    <w:rsid w:val="00395908"/>
    <w:rsid w:val="00397E24"/>
    <w:rsid w:val="003A0025"/>
    <w:rsid w:val="003B0552"/>
    <w:rsid w:val="003B0C3E"/>
    <w:rsid w:val="003C0700"/>
    <w:rsid w:val="003C354F"/>
    <w:rsid w:val="003D6471"/>
    <w:rsid w:val="003E3A8D"/>
    <w:rsid w:val="003F0628"/>
    <w:rsid w:val="004050BA"/>
    <w:rsid w:val="00412194"/>
    <w:rsid w:val="00415F8B"/>
    <w:rsid w:val="004171B0"/>
    <w:rsid w:val="00421BD4"/>
    <w:rsid w:val="00422CA4"/>
    <w:rsid w:val="00430F36"/>
    <w:rsid w:val="00437A3A"/>
    <w:rsid w:val="00441058"/>
    <w:rsid w:val="00451ABD"/>
    <w:rsid w:val="00464D42"/>
    <w:rsid w:val="00476294"/>
    <w:rsid w:val="00477393"/>
    <w:rsid w:val="004818C9"/>
    <w:rsid w:val="004919D3"/>
    <w:rsid w:val="004B12E2"/>
    <w:rsid w:val="004D4C71"/>
    <w:rsid w:val="004E2D22"/>
    <w:rsid w:val="004F2205"/>
    <w:rsid w:val="004F5917"/>
    <w:rsid w:val="004F664A"/>
    <w:rsid w:val="005055D2"/>
    <w:rsid w:val="00505810"/>
    <w:rsid w:val="00507715"/>
    <w:rsid w:val="005100EB"/>
    <w:rsid w:val="00514B1A"/>
    <w:rsid w:val="00525E46"/>
    <w:rsid w:val="00533030"/>
    <w:rsid w:val="00536D43"/>
    <w:rsid w:val="005429D5"/>
    <w:rsid w:val="00543388"/>
    <w:rsid w:val="005507F5"/>
    <w:rsid w:val="00553982"/>
    <w:rsid w:val="005548F9"/>
    <w:rsid w:val="00554A0E"/>
    <w:rsid w:val="005568E1"/>
    <w:rsid w:val="00557021"/>
    <w:rsid w:val="00557E49"/>
    <w:rsid w:val="00572DC1"/>
    <w:rsid w:val="005900D5"/>
    <w:rsid w:val="005A3B87"/>
    <w:rsid w:val="005B575C"/>
    <w:rsid w:val="005C0CE2"/>
    <w:rsid w:val="005C3962"/>
    <w:rsid w:val="005D1648"/>
    <w:rsid w:val="005D3E46"/>
    <w:rsid w:val="005D6BE6"/>
    <w:rsid w:val="005E439A"/>
    <w:rsid w:val="005F1FF5"/>
    <w:rsid w:val="00601295"/>
    <w:rsid w:val="00603ABD"/>
    <w:rsid w:val="00612C6D"/>
    <w:rsid w:val="00616855"/>
    <w:rsid w:val="00622F38"/>
    <w:rsid w:val="006377D1"/>
    <w:rsid w:val="00637BE8"/>
    <w:rsid w:val="00643C36"/>
    <w:rsid w:val="0065243F"/>
    <w:rsid w:val="0065627B"/>
    <w:rsid w:val="00657EDF"/>
    <w:rsid w:val="0067515F"/>
    <w:rsid w:val="00677F50"/>
    <w:rsid w:val="00682AEB"/>
    <w:rsid w:val="006942B2"/>
    <w:rsid w:val="00696667"/>
    <w:rsid w:val="006B5354"/>
    <w:rsid w:val="006C3372"/>
    <w:rsid w:val="006C6B96"/>
    <w:rsid w:val="006E57A2"/>
    <w:rsid w:val="007021F3"/>
    <w:rsid w:val="00707193"/>
    <w:rsid w:val="00716980"/>
    <w:rsid w:val="00720B85"/>
    <w:rsid w:val="0076564D"/>
    <w:rsid w:val="007706CA"/>
    <w:rsid w:val="00771E83"/>
    <w:rsid w:val="007735DD"/>
    <w:rsid w:val="00776ED3"/>
    <w:rsid w:val="007826A6"/>
    <w:rsid w:val="00783299"/>
    <w:rsid w:val="007837BF"/>
    <w:rsid w:val="007840F2"/>
    <w:rsid w:val="007975A4"/>
    <w:rsid w:val="007A0279"/>
    <w:rsid w:val="007B19F2"/>
    <w:rsid w:val="007B31EB"/>
    <w:rsid w:val="007B320A"/>
    <w:rsid w:val="007D01E7"/>
    <w:rsid w:val="007D43A2"/>
    <w:rsid w:val="007D43C3"/>
    <w:rsid w:val="007F1235"/>
    <w:rsid w:val="007F56FA"/>
    <w:rsid w:val="007F75EC"/>
    <w:rsid w:val="00804B11"/>
    <w:rsid w:val="00804C0E"/>
    <w:rsid w:val="008064A0"/>
    <w:rsid w:val="00806D5E"/>
    <w:rsid w:val="00826318"/>
    <w:rsid w:val="00831815"/>
    <w:rsid w:val="00831FEC"/>
    <w:rsid w:val="0083498A"/>
    <w:rsid w:val="00841EE4"/>
    <w:rsid w:val="00843D22"/>
    <w:rsid w:val="00843D2F"/>
    <w:rsid w:val="0088614C"/>
    <w:rsid w:val="0088730C"/>
    <w:rsid w:val="00890213"/>
    <w:rsid w:val="008A5483"/>
    <w:rsid w:val="008B6660"/>
    <w:rsid w:val="008B6B82"/>
    <w:rsid w:val="008C4CB8"/>
    <w:rsid w:val="008E4A58"/>
    <w:rsid w:val="008F1A9D"/>
    <w:rsid w:val="008F32F4"/>
    <w:rsid w:val="009135EC"/>
    <w:rsid w:val="00916581"/>
    <w:rsid w:val="00916CD9"/>
    <w:rsid w:val="00917CC5"/>
    <w:rsid w:val="00940933"/>
    <w:rsid w:val="00955A11"/>
    <w:rsid w:val="0096090F"/>
    <w:rsid w:val="00960ED9"/>
    <w:rsid w:val="00962AEE"/>
    <w:rsid w:val="00971F85"/>
    <w:rsid w:val="00975474"/>
    <w:rsid w:val="00975939"/>
    <w:rsid w:val="009820E9"/>
    <w:rsid w:val="009908D2"/>
    <w:rsid w:val="00990C7A"/>
    <w:rsid w:val="009972EC"/>
    <w:rsid w:val="009A3B15"/>
    <w:rsid w:val="009A3B1A"/>
    <w:rsid w:val="009B0A4C"/>
    <w:rsid w:val="009C63C0"/>
    <w:rsid w:val="009D361F"/>
    <w:rsid w:val="009E053A"/>
    <w:rsid w:val="009E3E6C"/>
    <w:rsid w:val="009E714F"/>
    <w:rsid w:val="009F32DE"/>
    <w:rsid w:val="009F43E2"/>
    <w:rsid w:val="009F7843"/>
    <w:rsid w:val="00A018D1"/>
    <w:rsid w:val="00A07E12"/>
    <w:rsid w:val="00A1406E"/>
    <w:rsid w:val="00A15CC1"/>
    <w:rsid w:val="00A17836"/>
    <w:rsid w:val="00A2041E"/>
    <w:rsid w:val="00A2656A"/>
    <w:rsid w:val="00A27BFE"/>
    <w:rsid w:val="00A34A43"/>
    <w:rsid w:val="00A34AC0"/>
    <w:rsid w:val="00A353D1"/>
    <w:rsid w:val="00A41AEF"/>
    <w:rsid w:val="00A511AC"/>
    <w:rsid w:val="00A519E4"/>
    <w:rsid w:val="00A613C3"/>
    <w:rsid w:val="00A634F9"/>
    <w:rsid w:val="00A63673"/>
    <w:rsid w:val="00A678B2"/>
    <w:rsid w:val="00A76FCA"/>
    <w:rsid w:val="00A9332B"/>
    <w:rsid w:val="00A93980"/>
    <w:rsid w:val="00A96244"/>
    <w:rsid w:val="00AA09A0"/>
    <w:rsid w:val="00AA2F26"/>
    <w:rsid w:val="00AA41D3"/>
    <w:rsid w:val="00AA627F"/>
    <w:rsid w:val="00AB14BC"/>
    <w:rsid w:val="00AB20CB"/>
    <w:rsid w:val="00AB2D30"/>
    <w:rsid w:val="00AB5609"/>
    <w:rsid w:val="00AC08A7"/>
    <w:rsid w:val="00B11059"/>
    <w:rsid w:val="00B336A5"/>
    <w:rsid w:val="00B3789C"/>
    <w:rsid w:val="00B46664"/>
    <w:rsid w:val="00B579C6"/>
    <w:rsid w:val="00B6505C"/>
    <w:rsid w:val="00B8725B"/>
    <w:rsid w:val="00B91548"/>
    <w:rsid w:val="00BA2C17"/>
    <w:rsid w:val="00BA77AD"/>
    <w:rsid w:val="00BB47D1"/>
    <w:rsid w:val="00BC474C"/>
    <w:rsid w:val="00BE03C1"/>
    <w:rsid w:val="00BE3567"/>
    <w:rsid w:val="00C0590D"/>
    <w:rsid w:val="00C154D6"/>
    <w:rsid w:val="00C21ABC"/>
    <w:rsid w:val="00C23740"/>
    <w:rsid w:val="00C2479F"/>
    <w:rsid w:val="00C24873"/>
    <w:rsid w:val="00C263CA"/>
    <w:rsid w:val="00C30B27"/>
    <w:rsid w:val="00C3419E"/>
    <w:rsid w:val="00C344C8"/>
    <w:rsid w:val="00C34F49"/>
    <w:rsid w:val="00C5730D"/>
    <w:rsid w:val="00C74A51"/>
    <w:rsid w:val="00C814C5"/>
    <w:rsid w:val="00C83376"/>
    <w:rsid w:val="00C90E68"/>
    <w:rsid w:val="00CA1FC9"/>
    <w:rsid w:val="00CB42B3"/>
    <w:rsid w:val="00CE3AAA"/>
    <w:rsid w:val="00CF2A9D"/>
    <w:rsid w:val="00D06872"/>
    <w:rsid w:val="00D27D6D"/>
    <w:rsid w:val="00D33196"/>
    <w:rsid w:val="00D37A68"/>
    <w:rsid w:val="00D4044E"/>
    <w:rsid w:val="00D419BD"/>
    <w:rsid w:val="00D44AC9"/>
    <w:rsid w:val="00D47E23"/>
    <w:rsid w:val="00D662F7"/>
    <w:rsid w:val="00D71618"/>
    <w:rsid w:val="00D75ED4"/>
    <w:rsid w:val="00D86C24"/>
    <w:rsid w:val="00D92A44"/>
    <w:rsid w:val="00D94BEA"/>
    <w:rsid w:val="00D97197"/>
    <w:rsid w:val="00DB77A3"/>
    <w:rsid w:val="00DC6FEC"/>
    <w:rsid w:val="00DD05F8"/>
    <w:rsid w:val="00E06ECD"/>
    <w:rsid w:val="00E073FD"/>
    <w:rsid w:val="00E1432A"/>
    <w:rsid w:val="00E35731"/>
    <w:rsid w:val="00E56503"/>
    <w:rsid w:val="00E60B7D"/>
    <w:rsid w:val="00E65FE9"/>
    <w:rsid w:val="00E77D99"/>
    <w:rsid w:val="00E91B19"/>
    <w:rsid w:val="00E94051"/>
    <w:rsid w:val="00EA1E3C"/>
    <w:rsid w:val="00EA4607"/>
    <w:rsid w:val="00EB6AE8"/>
    <w:rsid w:val="00EC0AFD"/>
    <w:rsid w:val="00ED0CB6"/>
    <w:rsid w:val="00ED769A"/>
    <w:rsid w:val="00EF1C12"/>
    <w:rsid w:val="00F02ECA"/>
    <w:rsid w:val="00F07AB1"/>
    <w:rsid w:val="00F236EC"/>
    <w:rsid w:val="00F27DF8"/>
    <w:rsid w:val="00F32F99"/>
    <w:rsid w:val="00F36DBD"/>
    <w:rsid w:val="00F45401"/>
    <w:rsid w:val="00F5374F"/>
    <w:rsid w:val="00F53E09"/>
    <w:rsid w:val="00F60D58"/>
    <w:rsid w:val="00F65B09"/>
    <w:rsid w:val="00F752A6"/>
    <w:rsid w:val="00F815E1"/>
    <w:rsid w:val="00F816C0"/>
    <w:rsid w:val="00F82931"/>
    <w:rsid w:val="00F83E96"/>
    <w:rsid w:val="00F8537F"/>
    <w:rsid w:val="00FA7AD1"/>
    <w:rsid w:val="00FB2B9E"/>
    <w:rsid w:val="00FD6EF2"/>
    <w:rsid w:val="00FE63E2"/>
    <w:rsid w:val="00FF1B8A"/>
    <w:rsid w:val="00FF42D6"/>
    <w:rsid w:val="010E51A3"/>
    <w:rsid w:val="015E575A"/>
    <w:rsid w:val="019D72D4"/>
    <w:rsid w:val="022A5AA7"/>
    <w:rsid w:val="023965CA"/>
    <w:rsid w:val="03B72053"/>
    <w:rsid w:val="03F00CD0"/>
    <w:rsid w:val="047F4228"/>
    <w:rsid w:val="04EF0EAD"/>
    <w:rsid w:val="056674A4"/>
    <w:rsid w:val="0657347E"/>
    <w:rsid w:val="069E4F81"/>
    <w:rsid w:val="0793244C"/>
    <w:rsid w:val="07F007B3"/>
    <w:rsid w:val="08483072"/>
    <w:rsid w:val="086B29F2"/>
    <w:rsid w:val="088D1B7A"/>
    <w:rsid w:val="0897720D"/>
    <w:rsid w:val="08DB2D17"/>
    <w:rsid w:val="08EB7DE5"/>
    <w:rsid w:val="098A1584"/>
    <w:rsid w:val="0A01744B"/>
    <w:rsid w:val="0CB4162A"/>
    <w:rsid w:val="0CC10F93"/>
    <w:rsid w:val="0CCE7127"/>
    <w:rsid w:val="0DA95627"/>
    <w:rsid w:val="0DFE7425"/>
    <w:rsid w:val="0E1C05FC"/>
    <w:rsid w:val="0F1024A4"/>
    <w:rsid w:val="0F4845C5"/>
    <w:rsid w:val="0F94091E"/>
    <w:rsid w:val="100106CE"/>
    <w:rsid w:val="10EB6046"/>
    <w:rsid w:val="11546752"/>
    <w:rsid w:val="11B07223"/>
    <w:rsid w:val="11EC4731"/>
    <w:rsid w:val="14233E05"/>
    <w:rsid w:val="14721DAE"/>
    <w:rsid w:val="14CC1D33"/>
    <w:rsid w:val="14DB226E"/>
    <w:rsid w:val="151802FB"/>
    <w:rsid w:val="15CB5543"/>
    <w:rsid w:val="15D30D58"/>
    <w:rsid w:val="16E16723"/>
    <w:rsid w:val="18E15A31"/>
    <w:rsid w:val="19863B80"/>
    <w:rsid w:val="199F5AF9"/>
    <w:rsid w:val="1A501715"/>
    <w:rsid w:val="1B153D75"/>
    <w:rsid w:val="1B2B3CB7"/>
    <w:rsid w:val="1C7E3620"/>
    <w:rsid w:val="1C9D4B60"/>
    <w:rsid w:val="1DD50587"/>
    <w:rsid w:val="1EBB6115"/>
    <w:rsid w:val="1F9118F4"/>
    <w:rsid w:val="204A3924"/>
    <w:rsid w:val="20CC33B3"/>
    <w:rsid w:val="215C64E4"/>
    <w:rsid w:val="22040B58"/>
    <w:rsid w:val="22D25C10"/>
    <w:rsid w:val="2365611E"/>
    <w:rsid w:val="24381077"/>
    <w:rsid w:val="24FC0BCC"/>
    <w:rsid w:val="250D37A0"/>
    <w:rsid w:val="252160CC"/>
    <w:rsid w:val="25391E8F"/>
    <w:rsid w:val="25C1725E"/>
    <w:rsid w:val="25E02548"/>
    <w:rsid w:val="264D0AF2"/>
    <w:rsid w:val="27292F06"/>
    <w:rsid w:val="283525B6"/>
    <w:rsid w:val="2A021050"/>
    <w:rsid w:val="2A6572C1"/>
    <w:rsid w:val="2BCE0A79"/>
    <w:rsid w:val="2C7229F1"/>
    <w:rsid w:val="2DA666FE"/>
    <w:rsid w:val="2E4126EF"/>
    <w:rsid w:val="2EA86337"/>
    <w:rsid w:val="2F08440B"/>
    <w:rsid w:val="2FC31CCB"/>
    <w:rsid w:val="2FCD06E2"/>
    <w:rsid w:val="303804AC"/>
    <w:rsid w:val="31506ACE"/>
    <w:rsid w:val="319324F1"/>
    <w:rsid w:val="31C44431"/>
    <w:rsid w:val="31C870AD"/>
    <w:rsid w:val="32843B1D"/>
    <w:rsid w:val="329D2EED"/>
    <w:rsid w:val="32FB6C99"/>
    <w:rsid w:val="33083032"/>
    <w:rsid w:val="33542BAC"/>
    <w:rsid w:val="33CA3E2B"/>
    <w:rsid w:val="34FB08BF"/>
    <w:rsid w:val="356A3EDC"/>
    <w:rsid w:val="366C400F"/>
    <w:rsid w:val="36F739B1"/>
    <w:rsid w:val="38673D65"/>
    <w:rsid w:val="38F21813"/>
    <w:rsid w:val="38FF5256"/>
    <w:rsid w:val="392A3F98"/>
    <w:rsid w:val="3A172C28"/>
    <w:rsid w:val="3AA82343"/>
    <w:rsid w:val="3DDF0BB3"/>
    <w:rsid w:val="3DFD29A9"/>
    <w:rsid w:val="3E64619E"/>
    <w:rsid w:val="3E862623"/>
    <w:rsid w:val="40475320"/>
    <w:rsid w:val="40D45667"/>
    <w:rsid w:val="40E55F43"/>
    <w:rsid w:val="41276683"/>
    <w:rsid w:val="416D38E9"/>
    <w:rsid w:val="425923E6"/>
    <w:rsid w:val="436A4639"/>
    <w:rsid w:val="43FE4B7B"/>
    <w:rsid w:val="445C23A7"/>
    <w:rsid w:val="44965CC7"/>
    <w:rsid w:val="45AB7E26"/>
    <w:rsid w:val="45B621B1"/>
    <w:rsid w:val="46484411"/>
    <w:rsid w:val="49552E38"/>
    <w:rsid w:val="49F70B0E"/>
    <w:rsid w:val="4A0E73A8"/>
    <w:rsid w:val="4AD949B5"/>
    <w:rsid w:val="4ADB5E1D"/>
    <w:rsid w:val="4BA41C4F"/>
    <w:rsid w:val="4D7D140D"/>
    <w:rsid w:val="4DD01EB8"/>
    <w:rsid w:val="4DFE2A04"/>
    <w:rsid w:val="50307FAD"/>
    <w:rsid w:val="52465077"/>
    <w:rsid w:val="528443B0"/>
    <w:rsid w:val="52DB356D"/>
    <w:rsid w:val="52EC41D5"/>
    <w:rsid w:val="542406F9"/>
    <w:rsid w:val="5484745B"/>
    <w:rsid w:val="553A5652"/>
    <w:rsid w:val="564C1511"/>
    <w:rsid w:val="569E4E93"/>
    <w:rsid w:val="56AC0E10"/>
    <w:rsid w:val="56D54594"/>
    <w:rsid w:val="579058D3"/>
    <w:rsid w:val="57DC6445"/>
    <w:rsid w:val="5830308B"/>
    <w:rsid w:val="583A7749"/>
    <w:rsid w:val="58720B4E"/>
    <w:rsid w:val="58CC6BBE"/>
    <w:rsid w:val="59605E6B"/>
    <w:rsid w:val="59667A12"/>
    <w:rsid w:val="598165C9"/>
    <w:rsid w:val="5AD86712"/>
    <w:rsid w:val="5B7F3088"/>
    <w:rsid w:val="5B8910ED"/>
    <w:rsid w:val="5BFA29A2"/>
    <w:rsid w:val="5BFE1F09"/>
    <w:rsid w:val="5EEA795E"/>
    <w:rsid w:val="5F5519EC"/>
    <w:rsid w:val="5F5A69B1"/>
    <w:rsid w:val="5F6D5270"/>
    <w:rsid w:val="5FCF5AF8"/>
    <w:rsid w:val="602760CB"/>
    <w:rsid w:val="60B63147"/>
    <w:rsid w:val="60EA4A61"/>
    <w:rsid w:val="619C7E55"/>
    <w:rsid w:val="61DF16E8"/>
    <w:rsid w:val="62903199"/>
    <w:rsid w:val="629D42B2"/>
    <w:rsid w:val="62A16C21"/>
    <w:rsid w:val="64185F2F"/>
    <w:rsid w:val="64537D32"/>
    <w:rsid w:val="64AD152A"/>
    <w:rsid w:val="65CC4543"/>
    <w:rsid w:val="663A0124"/>
    <w:rsid w:val="665D643A"/>
    <w:rsid w:val="665F74AA"/>
    <w:rsid w:val="66F26A2B"/>
    <w:rsid w:val="67CA4DF7"/>
    <w:rsid w:val="68833924"/>
    <w:rsid w:val="68D1591E"/>
    <w:rsid w:val="69B01FC8"/>
    <w:rsid w:val="6A3852DF"/>
    <w:rsid w:val="6A7A5EAE"/>
    <w:rsid w:val="6B8C2F94"/>
    <w:rsid w:val="6C5D26DE"/>
    <w:rsid w:val="6C861CC3"/>
    <w:rsid w:val="6D00650B"/>
    <w:rsid w:val="6DD05384"/>
    <w:rsid w:val="6E6E1BAC"/>
    <w:rsid w:val="6E8C14E7"/>
    <w:rsid w:val="6F624525"/>
    <w:rsid w:val="701A2297"/>
    <w:rsid w:val="70710E40"/>
    <w:rsid w:val="70BE6ABD"/>
    <w:rsid w:val="71575B54"/>
    <w:rsid w:val="719B7F30"/>
    <w:rsid w:val="721838C7"/>
    <w:rsid w:val="7259202C"/>
    <w:rsid w:val="73630A19"/>
    <w:rsid w:val="737C7E65"/>
    <w:rsid w:val="75431398"/>
    <w:rsid w:val="75C676DD"/>
    <w:rsid w:val="786E4432"/>
    <w:rsid w:val="7894021D"/>
    <w:rsid w:val="78AA6CAB"/>
    <w:rsid w:val="78D8438B"/>
    <w:rsid w:val="790A29F7"/>
    <w:rsid w:val="79585A4F"/>
    <w:rsid w:val="7B9C3E8F"/>
    <w:rsid w:val="7C3915B2"/>
    <w:rsid w:val="7C4D4FF4"/>
    <w:rsid w:val="7CCC3C96"/>
    <w:rsid w:val="7D1F2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Text"/>
    <w:autoRedefine/>
    <w:qFormat/>
    <w:uiPriority w:val="0"/>
    <w:pPr>
      <w:widowControl w:val="0"/>
      <w:spacing w:before="15"/>
      <w:ind w:left="120"/>
      <w:jc w:val="both"/>
      <w:textAlignment w:val="baseline"/>
    </w:pPr>
    <w:rPr>
      <w:rFonts w:ascii="Arial Unicode MS" w:hAnsi="Arial Unicode MS" w:eastAsia="Arial Unicode MS" w:cs="Times New Roman"/>
      <w:kern w:val="2"/>
      <w:sz w:val="32"/>
      <w:szCs w:val="32"/>
      <w:lang w:val="en-US" w:eastAsia="zh-CN" w:bidi="ar-SA"/>
    </w:rPr>
  </w:style>
  <w:style w:type="paragraph" w:styleId="3">
    <w:name w:val="annotation text"/>
    <w:basedOn w:val="1"/>
    <w:link w:val="24"/>
    <w:autoRedefine/>
    <w:semiHidden/>
    <w:unhideWhenUsed/>
    <w:qFormat/>
    <w:uiPriority w:val="99"/>
    <w:pPr>
      <w:jc w:val="left"/>
    </w:pPr>
  </w:style>
  <w:style w:type="paragraph" w:styleId="4">
    <w:name w:val="Body Text"/>
    <w:basedOn w:val="1"/>
    <w:next w:val="1"/>
    <w:link w:val="21"/>
    <w:autoRedefine/>
    <w:semiHidden/>
    <w:unhideWhenUsed/>
    <w:qFormat/>
    <w:uiPriority w:val="0"/>
    <w:pPr>
      <w:spacing w:after="120"/>
    </w:pPr>
    <w:rPr>
      <w:rFonts w:ascii="Times New Roman" w:hAnsi="Times New Roman"/>
      <w:szCs w:val="20"/>
    </w:rPr>
  </w:style>
  <w:style w:type="paragraph" w:styleId="5">
    <w:name w:val="Balloon Text"/>
    <w:basedOn w:val="1"/>
    <w:link w:val="20"/>
    <w:autoRedefine/>
    <w:semiHidden/>
    <w:unhideWhenUsed/>
    <w:qFormat/>
    <w:uiPriority w:val="99"/>
    <w:rPr>
      <w:sz w:val="18"/>
      <w:szCs w:val="18"/>
    </w:r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23"/>
    <w:autoRedefine/>
    <w:semiHidden/>
    <w:unhideWhenUsed/>
    <w:qFormat/>
    <w:uiPriority w:val="99"/>
    <w:pPr>
      <w:spacing w:after="120"/>
      <w:ind w:left="420" w:leftChars="200"/>
    </w:pPr>
    <w:rPr>
      <w:sz w:val="16"/>
      <w:szCs w:val="16"/>
    </w:rPr>
  </w:style>
  <w:style w:type="paragraph" w:styleId="9">
    <w:name w:val="Normal (Web)"/>
    <w:basedOn w:val="1"/>
    <w:autoRedefine/>
    <w:unhideWhenUsed/>
    <w:qFormat/>
    <w:uiPriority w:val="0"/>
    <w:pPr>
      <w:widowControl/>
      <w:spacing w:before="100" w:beforeAutospacing="1" w:after="100" w:afterAutospacing="1"/>
      <w:jc w:val="left"/>
    </w:pPr>
    <w:rPr>
      <w:rFonts w:ascii="宋体" w:hAnsi="宋体" w:cs="宋体"/>
      <w:kern w:val="0"/>
      <w:sz w:val="18"/>
      <w:szCs w:val="18"/>
    </w:rPr>
  </w:style>
  <w:style w:type="paragraph" w:styleId="10">
    <w:name w:val="annotation subject"/>
    <w:basedOn w:val="3"/>
    <w:next w:val="3"/>
    <w:link w:val="25"/>
    <w:autoRedefine/>
    <w:semiHidden/>
    <w:unhideWhenUsed/>
    <w:qFormat/>
    <w:uiPriority w:val="99"/>
    <w:rPr>
      <w:b/>
      <w:bCs/>
    </w:rPr>
  </w:style>
  <w:style w:type="character" w:styleId="13">
    <w:name w:val="Strong"/>
    <w:basedOn w:val="12"/>
    <w:qFormat/>
    <w:uiPriority w:val="22"/>
    <w:rPr>
      <w:b/>
    </w:rPr>
  </w:style>
  <w:style w:type="character" w:styleId="14">
    <w:name w:val="Emphasis"/>
    <w:autoRedefine/>
    <w:qFormat/>
    <w:uiPriority w:val="20"/>
    <w:rPr>
      <w:color w:val="CC0033"/>
    </w:rPr>
  </w:style>
  <w:style w:type="character" w:styleId="15">
    <w:name w:val="annotation reference"/>
    <w:basedOn w:val="12"/>
    <w:autoRedefine/>
    <w:semiHidden/>
    <w:unhideWhenUsed/>
    <w:qFormat/>
    <w:uiPriority w:val="99"/>
    <w:rPr>
      <w:sz w:val="21"/>
      <w:szCs w:val="21"/>
    </w:rPr>
  </w:style>
  <w:style w:type="character" w:customStyle="1" w:styleId="16">
    <w:name w:val="页眉 字符"/>
    <w:link w:val="7"/>
    <w:autoRedefine/>
    <w:qFormat/>
    <w:uiPriority w:val="99"/>
    <w:rPr>
      <w:sz w:val="18"/>
      <w:szCs w:val="18"/>
    </w:rPr>
  </w:style>
  <w:style w:type="character" w:customStyle="1" w:styleId="17">
    <w:name w:val="页脚 字符"/>
    <w:link w:val="6"/>
    <w:autoRedefine/>
    <w:qFormat/>
    <w:uiPriority w:val="99"/>
    <w:rPr>
      <w:sz w:val="18"/>
      <w:szCs w:val="18"/>
    </w:rPr>
  </w:style>
  <w:style w:type="paragraph" w:customStyle="1" w:styleId="1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
    <w:name w:val="st"/>
    <w:basedOn w:val="12"/>
    <w:autoRedefine/>
    <w:qFormat/>
    <w:uiPriority w:val="0"/>
  </w:style>
  <w:style w:type="character" w:customStyle="1" w:styleId="20">
    <w:name w:val="批注框文本 字符"/>
    <w:link w:val="5"/>
    <w:autoRedefine/>
    <w:semiHidden/>
    <w:qFormat/>
    <w:uiPriority w:val="99"/>
    <w:rPr>
      <w:sz w:val="18"/>
      <w:szCs w:val="18"/>
    </w:rPr>
  </w:style>
  <w:style w:type="character" w:customStyle="1" w:styleId="21">
    <w:name w:val="正文文本 字符"/>
    <w:link w:val="4"/>
    <w:autoRedefine/>
    <w:semiHidden/>
    <w:qFormat/>
    <w:uiPriority w:val="0"/>
    <w:rPr>
      <w:rFonts w:ascii="Times New Roman" w:hAnsi="Times New Roman"/>
      <w:kern w:val="2"/>
      <w:sz w:val="21"/>
    </w:rPr>
  </w:style>
  <w:style w:type="character" w:customStyle="1" w:styleId="22">
    <w:name w:val="ymy-zw"/>
    <w:autoRedefine/>
    <w:qFormat/>
    <w:uiPriority w:val="0"/>
  </w:style>
  <w:style w:type="character" w:customStyle="1" w:styleId="23">
    <w:name w:val="正文文本缩进 3 字符"/>
    <w:link w:val="8"/>
    <w:autoRedefine/>
    <w:semiHidden/>
    <w:qFormat/>
    <w:uiPriority w:val="99"/>
    <w:rPr>
      <w:kern w:val="2"/>
      <w:sz w:val="16"/>
      <w:szCs w:val="16"/>
    </w:rPr>
  </w:style>
  <w:style w:type="character" w:customStyle="1" w:styleId="24">
    <w:name w:val="批注文字 字符"/>
    <w:basedOn w:val="12"/>
    <w:link w:val="3"/>
    <w:autoRedefine/>
    <w:semiHidden/>
    <w:qFormat/>
    <w:uiPriority w:val="99"/>
    <w:rPr>
      <w:kern w:val="2"/>
      <w:sz w:val="21"/>
      <w:szCs w:val="22"/>
    </w:rPr>
  </w:style>
  <w:style w:type="character" w:customStyle="1" w:styleId="25">
    <w:name w:val="批注主题 字符"/>
    <w:basedOn w:val="24"/>
    <w:link w:val="10"/>
    <w:autoRedefine/>
    <w:semiHidden/>
    <w:qFormat/>
    <w:uiPriority w:val="99"/>
    <w:rPr>
      <w:b/>
      <w:bCs/>
      <w:kern w:val="2"/>
      <w:sz w:val="21"/>
      <w:szCs w:val="22"/>
    </w:rPr>
  </w:style>
  <w:style w:type="paragraph" w:customStyle="1" w:styleId="26">
    <w:name w:val="修订1"/>
    <w:autoRedefine/>
    <w:hidden/>
    <w:semiHidden/>
    <w:qFormat/>
    <w:uiPriority w:val="99"/>
    <w:rPr>
      <w:rFonts w:ascii="Calibri" w:hAnsi="Calibri" w:eastAsia="宋体" w:cs="Times New Roman"/>
      <w:kern w:val="2"/>
      <w:sz w:val="21"/>
      <w:szCs w:val="22"/>
      <w:lang w:val="en-US" w:eastAsia="zh-CN" w:bidi="ar-SA"/>
    </w:rPr>
  </w:style>
  <w:style w:type="paragraph" w:styleId="27">
    <w:name w:val="List Paragraph"/>
    <w:basedOn w:val="1"/>
    <w:autoRedefine/>
    <w:qFormat/>
    <w:uiPriority w:val="34"/>
    <w:pPr>
      <w:ind w:firstLine="420" w:firstLineChars="200"/>
    </w:pPr>
  </w:style>
  <w:style w:type="paragraph" w:customStyle="1" w:styleId="28">
    <w:name w:val="一级条标题"/>
    <w:next w:val="18"/>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3B6A4-A687-4769-A447-4AF3AFE8421A}">
  <ds:schemaRefs/>
</ds:datastoreItem>
</file>

<file path=docProps/app.xml><?xml version="1.0" encoding="utf-8"?>
<Properties xmlns="http://schemas.openxmlformats.org/officeDocument/2006/extended-properties" xmlns:vt="http://schemas.openxmlformats.org/officeDocument/2006/docPropsVTypes">
  <Template>Normal.dotm</Template>
  <Company>cnis</Company>
  <Pages>6</Pages>
  <Words>2446</Words>
  <Characters>2559</Characters>
  <Lines>115</Lines>
  <Paragraphs>118</Paragraphs>
  <TotalTime>3</TotalTime>
  <ScaleCrop>false</ScaleCrop>
  <LinksUpToDate>false</LinksUpToDate>
  <CharactersWithSpaces>2599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2025-05-14T01:34:00Z</dcterms:created>
  <dc:creator>Daniel</dc:creator>
  <cp:lastModifiedBy>456</cp:lastModifiedBy>
  <cp:lastPrinted>2013-10-24T02:46:00Z</cp:lastPrinted>
  <dcterms:modified xsi:type="dcterms:W3CDTF">2025-08-01T02:52:15Z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3DB3B8289AEF46D9BFBC52B8916053B2_13</vt:lpwstr>
  </property>
  <property fmtid="{D5CDD505-2E9C-101B-9397-08002B2CF9AE}" pid="4" name="KSOTemplateDocerSaveRecord">
    <vt:lpwstr>eyJoZGlkIjoiNjk2MDkxMmM4MWE0ZGJkZDQxNGJmZDhlYjQzZWExMDIiLCJ1c2VySWQiOiIyMDQ3MTI1NDUifQ==</vt:lpwstr>
  </property>
</Properties>
</file>