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250A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/>
        </w:rPr>
        <w:t>贵州省省本级、贵阳贵安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定点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/>
        </w:rPr>
        <w:t>医疗机构</w:t>
      </w:r>
    </w:p>
    <w:p w14:paraId="495E5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医疗保障服务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highlight w:val="none"/>
          <w:lang w:val="en-US" w:eastAsia="zh-CN" w:bidi="ar-SA"/>
        </w:rPr>
        <w:t>补充协议</w:t>
      </w:r>
    </w:p>
    <w:p w14:paraId="060AD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highlight w:val="none"/>
          <w:lang w:val="en-US" w:eastAsia="zh-CN" w:bidi="ar-SA"/>
        </w:rPr>
      </w:pPr>
    </w:p>
    <w:p w14:paraId="7CF61F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甲方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（医疗保障经办机构）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：</w:t>
      </w:r>
    </w:p>
    <w:p w14:paraId="3ECDA83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医疗保障经办机构代码：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法定代表人：</w:t>
      </w:r>
    </w:p>
    <w:p w14:paraId="176300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地址：</w:t>
      </w:r>
    </w:p>
    <w:p w14:paraId="48C7C90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邮政编码：</w:t>
      </w:r>
    </w:p>
    <w:p w14:paraId="3593B5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联系电话：</w:t>
      </w:r>
    </w:p>
    <w:p w14:paraId="0EAB2C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 w14:paraId="350E29B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w w:val="95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95"/>
          <w:kern w:val="2"/>
          <w:sz w:val="32"/>
          <w:szCs w:val="32"/>
          <w:highlight w:val="none"/>
        </w:rPr>
        <w:t>甲方</w:t>
      </w:r>
      <w:r>
        <w:rPr>
          <w:rFonts w:hint="default" w:ascii="Times New Roman" w:hAnsi="Times New Roman" w:eastAsia="仿宋_GB2312" w:cs="Times New Roman"/>
          <w:color w:val="auto"/>
          <w:w w:val="95"/>
          <w:kern w:val="2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w w:val="95"/>
          <w:kern w:val="2"/>
          <w:sz w:val="32"/>
          <w:szCs w:val="32"/>
          <w:highlight w:val="none"/>
        </w:rPr>
        <w:t>（医疗保障经办机构）</w:t>
      </w:r>
      <w:r>
        <w:rPr>
          <w:rFonts w:hint="eastAsia" w:ascii="Times New Roman" w:hAnsi="Times New Roman" w:eastAsia="仿宋_GB2312" w:cs="Times New Roman"/>
          <w:color w:val="auto"/>
          <w:w w:val="95"/>
          <w:kern w:val="2"/>
          <w:sz w:val="32"/>
          <w:szCs w:val="32"/>
          <w:highlight w:val="none"/>
          <w:lang w:eastAsia="zh-CN"/>
        </w:rPr>
        <w:t>：</w:t>
      </w:r>
    </w:p>
    <w:p w14:paraId="01A2764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医疗保障经办机构代码：</w:t>
      </w:r>
    </w:p>
    <w:p w14:paraId="406BCB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法定代表人：</w:t>
      </w:r>
    </w:p>
    <w:p w14:paraId="194B42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地址：</w:t>
      </w:r>
    </w:p>
    <w:p w14:paraId="1DA4577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邮政编码：</w:t>
      </w:r>
    </w:p>
    <w:p w14:paraId="6BE05DF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联系电话：</w:t>
      </w:r>
    </w:p>
    <w:p w14:paraId="51C27A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 w14:paraId="7E4EF4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乙方（医疗保障定点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医疗机构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）：</w:t>
      </w:r>
    </w:p>
    <w:p w14:paraId="00D692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定点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医疗机构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代码：</w:t>
      </w:r>
    </w:p>
    <w:p w14:paraId="57AC461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法定代表人：</w:t>
      </w:r>
    </w:p>
    <w:p w14:paraId="5817CCE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地址：</w:t>
      </w:r>
    </w:p>
    <w:p w14:paraId="2450B1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邮政编码：</w:t>
      </w:r>
    </w:p>
    <w:p w14:paraId="612DE49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联系电话：</w:t>
      </w:r>
    </w:p>
    <w:p w14:paraId="3D9BED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57603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医疗保障法律法规政策规定，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结合本省医疗保障工作实际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甲乙双方本着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秉持平等、自愿、公平、诚信原则，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充分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友好协商，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就定点医疗机构医保质量保证金退还标准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有关事宜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达成一致意见，自愿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签订省本级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、贵阳贵安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定点医疗机构补充协议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highlight w:val="none"/>
        </w:rPr>
        <w:t>并承诺共</w:t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  <w:highlight w:val="none"/>
        </w:rPr>
        <w:t>同遵守。</w:t>
      </w:r>
    </w:p>
    <w:p w14:paraId="7DAA5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根据《服务协议》约定，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</w:rPr>
        <w:t>为确保乙方严格履行医保协议，提高医疗服务质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highlight w:val="none"/>
        </w:rPr>
        <w:t>量，维护医保基金安全，经甲乙双方商定，甲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</w:rPr>
        <w:t>方预留拨付乙方费用的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2"/>
          <w:szCs w:val="32"/>
          <w:highlight w:val="none"/>
        </w:rPr>
        <w:t>作为当年度医保服务质量保证金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highlight w:val="none"/>
          <w:lang w:eastAsia="zh-CN"/>
        </w:rPr>
        <w:t>。</w:t>
      </w:r>
    </w:p>
    <w:p w14:paraId="1CD39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</w:rPr>
        <w:t>甲方或其委托的符合规定的第三方机构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依据对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</w:rPr>
        <w:t>乙方履行医保协议情况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智能监控、日常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检查、投诉举报、信访核查、疑点数据等方式进行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，查实的问题统一纳入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年度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协议履行结果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40511E2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  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定点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医疗机构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考核满分为100分，评分指标设置扣分项和加分项，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违反协议约定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的项目扣除一定分值，完成加分项规定的项目加上一定分值，考核分数为各项得分合计，总得分不超过100分。</w:t>
      </w:r>
    </w:p>
    <w:p w14:paraId="4D78209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第四条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 xml:space="preserve"> 扣分项严格依据《贵州省省本级定点医疗机构医疗保障服务协议》《贵州省贵阳贵安定点医疗机构医疗保障服务协议》执行。</w:t>
      </w:r>
    </w:p>
    <w:p w14:paraId="44381B0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 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加分项侧重深度参与医保改革、阶段性重点任务推进、政策宣传培训等工作的配合及完成情况。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具体内容如下：</w:t>
      </w:r>
    </w:p>
    <w:p w14:paraId="2B77019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8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积极配合参与医保改革创新试点等工作的一次得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分，获得市级奖励的得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分，省级奖励得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分，获得国家奖励得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分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，总得分不超过4分。</w:t>
      </w:r>
    </w:p>
    <w:p w14:paraId="7C7E33B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8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协助医保部门组织开展培训，分享经验交流的一次得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分，总得分不超过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分。</w:t>
      </w:r>
    </w:p>
    <w:p w14:paraId="7A78FF0D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8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（三）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</w:rPr>
        <w:t>积极参与国家、省、市组织的医疗保障政策制度宣传活动、飞行检查、专项检查、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信访投诉、日常核查等现场检查，以及参与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</w:rPr>
        <w:t>医保调研等活动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eastAsia="zh-CN"/>
        </w:rPr>
        <w:t>的，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每委派一次专家得1分，总得分不超过3分。</w:t>
      </w:r>
    </w:p>
    <w:p w14:paraId="197B848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第六条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定点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医疗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机构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年度履行协议情况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按自然年度进行，原则上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次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月底前完成上年度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协议履行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内容的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考核。</w:t>
      </w:r>
    </w:p>
    <w:p w14:paraId="1B16B82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pacing w:val="-9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color w:val="auto"/>
          <w:spacing w:val="-9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pacing w:val="-9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协议履行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结果与定点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质量保证金扣除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协议续签、定点退出等挂钩。</w:t>
      </w:r>
    </w:p>
    <w:p w14:paraId="08A7907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84" w:firstLineChars="253"/>
        <w:jc w:val="both"/>
        <w:textAlignment w:val="auto"/>
        <w:rPr>
          <w:rFonts w:hint="default" w:ascii="Times New Roman" w:hAnsi="Times New Roman" w:eastAsia="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（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）与质量保证金扣除挂钩</w:t>
      </w:r>
    </w:p>
    <w:p w14:paraId="024B679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Times New Roman" w:hAnsi="Times New Roman" w:eastAsia="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年度考核得分≥90分的，不扣除质量保证金；60分＜年度考核得分＜90分的，较90分每低1分扣除质量保证金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%；考核得分≤60分的，扣除全部质量保证金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因违规违约被医保部门解除协议的，扣除全部质量保证金。</w:t>
      </w:r>
    </w:p>
    <w:p w14:paraId="58F4E10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84" w:firstLineChars="253"/>
        <w:jc w:val="both"/>
        <w:textAlignment w:val="auto"/>
        <w:rPr>
          <w:rFonts w:hint="default" w:ascii="Times New Roman" w:hAnsi="Times New Roman" w:eastAsia="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（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）与协议续签、定点退出挂钩</w:t>
      </w:r>
    </w:p>
    <w:p w14:paraId="0FC43B7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84" w:firstLineChars="253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考核得分≤60分的，解除医保服务协议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。</w:t>
      </w:r>
    </w:p>
    <w:p w14:paraId="46ED7A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pacing w:val="-1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条 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定点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医疗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机构应积极配合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协议履行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工作的实施，主动提供相关资料，不得藏匿、转移和提供虚假材料，不得以任何借口干扰、阻挠考核工作的开展。对藏匿、转移、提供虚假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材料，干扰、阻挠考核工作的定点医疗机构，医保经办机构可根据实际情况中止或解除服务协议。</w:t>
      </w:r>
    </w:p>
    <w:p w14:paraId="7741A8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60" w:lineRule="exact"/>
        <w:ind w:right="33" w:firstLine="616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"/>
          <w:sz w:val="31"/>
          <w:szCs w:val="31"/>
          <w:highlight w:val="none"/>
          <w:lang w:eastAsia="zh-CN"/>
        </w:rPr>
        <w:t>第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-1"/>
          <w:sz w:val="31"/>
          <w:szCs w:val="31"/>
          <w:highlight w:val="no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"/>
          <w:sz w:val="31"/>
          <w:szCs w:val="31"/>
          <w:highlight w:val="none"/>
          <w:lang w:eastAsia="zh-CN"/>
        </w:rPr>
        <w:t xml:space="preserve">条 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-1"/>
          <w:sz w:val="31"/>
          <w:szCs w:val="31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定点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因违法违规问题被医疗保障部门解除服务协议的，扣除全部质量保证金，如涉及其他违规违约费用，不予拨付或予以追回。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 xml:space="preserve"> </w:t>
      </w:r>
    </w:p>
    <w:p w14:paraId="5031C4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60" w:lineRule="exact"/>
        <w:ind w:right="33" w:firstLine="616" w:firstLineChars="200"/>
        <w:textAlignment w:val="auto"/>
        <w:rPr>
          <w:rFonts w:hint="default" w:ascii="Times New Roman" w:hAnsi="Times New Roman" w:eastAsia="仿宋" w:cs="Times New Roman"/>
          <w:color w:val="auto"/>
          <w:spacing w:val="25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"/>
          <w:sz w:val="31"/>
          <w:szCs w:val="31"/>
          <w:highlight w:val="none"/>
          <w:lang w:eastAsia="zh-CN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"/>
          <w:sz w:val="31"/>
          <w:szCs w:val="31"/>
          <w:highlight w:val="none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"/>
          <w:sz w:val="31"/>
          <w:szCs w:val="31"/>
          <w:highlight w:val="none"/>
          <w:lang w:eastAsia="zh-CN"/>
        </w:rPr>
        <w:t xml:space="preserve">条 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-1"/>
          <w:sz w:val="31"/>
          <w:szCs w:val="31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定点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因停业或歇业等自身原因申请终止服务协议的，经办机构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在终止协议前组织考核，核查定点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协议履行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期间有无违规违约问题。有违规违约问题的，追回全部违规违约费用，并扣除相应质量保证金，无违规违约问题的，不扣除质量保证金。</w:t>
      </w:r>
    </w:p>
    <w:p w14:paraId="71FF4C8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经办机构在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协议履行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核查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中发现定点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存在涉嫌骗取医疗保障基金支出的违法违规线索时，要及时将有关线索移送医疗保障行政部门。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br w:type="textWrapping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第十二条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乙方发生的其他违规违约行为参照《医疗保障定点医疗机构服务协议》等相关规定对其进行处理。</w:t>
      </w:r>
    </w:p>
    <w:p w14:paraId="0CD1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 w:bidi="zh-CN"/>
        </w:rPr>
        <w:t xml:space="preserve">第二十一条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甲、乙双方在协议执行过程中发生争议的，应先通过协商解决，若协商未果，可提请医疗保障行政部门协调处理。</w:t>
      </w:r>
    </w:p>
    <w:p w14:paraId="4C2CD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 w:bidi="zh-CN"/>
        </w:rPr>
        <w:t>第二十二条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甲、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乙双方在协议履行期间，若国家、省出台新的相关政策，按新的政策执行。</w:t>
      </w:r>
    </w:p>
    <w:p w14:paraId="692E8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 w:bidi="zh-CN"/>
        </w:rPr>
        <w:t>第二十三条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本协议有效期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与主协议一致，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自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起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至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日止。</w:t>
      </w:r>
      <w:r>
        <w:rPr>
          <w:rFonts w:hint="default" w:ascii="Times New Roman" w:hAnsi="Times New Roman" w:eastAsia="仿宋_GB2312" w:cs="Times New Roman"/>
          <w:color w:val="auto"/>
          <w:spacing w:val="2"/>
          <w:w w:val="96"/>
          <w:sz w:val="32"/>
          <w:szCs w:val="32"/>
          <w:highlight w:val="none"/>
        </w:rPr>
        <w:t>协议期满后，因甲方原因未续签协议前，原协议继续生效。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协议的处理，按实际检查时间签订的协议条款进行处理。</w:t>
      </w:r>
    </w:p>
    <w:p w14:paraId="6B0D6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 w:bidi="zh-CN"/>
        </w:rPr>
        <w:t xml:space="preserve">第二十四条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本协议未尽事项，按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贵州省省本级定点医疗机构医疗保障服务协议》《贵州省贵阳贵安定点医疗机构医疗保障服务协议》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，国家、省医保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相关政策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规定执行。</w:t>
      </w:r>
    </w:p>
    <w:p w14:paraId="4E9B0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 w:bidi="zh-CN"/>
        </w:rPr>
        <w:t>第二十五条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本协议一式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份，甲乙双方各执壹份。</w:t>
      </w:r>
    </w:p>
    <w:p w14:paraId="42113CB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5115F53">
      <w:pPr>
        <w:rPr>
          <w:rFonts w:hint="eastAsia"/>
          <w:highlight w:val="none"/>
        </w:rPr>
      </w:pPr>
    </w:p>
    <w:p w14:paraId="10D718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 xml:space="preserve"> </w:t>
      </w:r>
    </w:p>
    <w:p w14:paraId="227753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甲方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（公章）：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甲方二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（公章）：</w:t>
      </w:r>
    </w:p>
    <w:p w14:paraId="513E60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highlight w:val="none"/>
          <w:lang w:val="en-US" w:eastAsia="zh-CN"/>
        </w:rPr>
        <w:t xml:space="preserve">贵州省医疗保障事务中心  </w:t>
      </w:r>
      <w:r>
        <w:rPr>
          <w:rFonts w:hint="eastAsia" w:ascii="Times New Roman" w:hAnsi="Times New Roman" w:eastAsia="仿宋_GB2312" w:cs="Times New Roman"/>
          <w:color w:val="auto"/>
          <w:w w:val="95"/>
          <w:kern w:val="2"/>
          <w:sz w:val="32"/>
          <w:szCs w:val="32"/>
          <w:highlight w:val="none"/>
          <w:lang w:val="en-US" w:eastAsia="zh-CN"/>
        </w:rPr>
        <w:t>贵阳市医疗保险费用结算中心</w:t>
      </w:r>
    </w:p>
    <w:p w14:paraId="0CE688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法定代表人（签章）：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法定代表人（签章）：</w:t>
      </w:r>
    </w:p>
    <w:p w14:paraId="0F1FFC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 xml:space="preserve"> </w:t>
      </w:r>
    </w:p>
    <w:p w14:paraId="4F4E08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 xml:space="preserve"> 月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 xml:space="preserve">日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 xml:space="preserve"> 年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日</w:t>
      </w:r>
    </w:p>
    <w:p w14:paraId="57DDF6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br w:type="textWrapping"/>
      </w:r>
    </w:p>
    <w:p w14:paraId="21585CA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乙方（公章）：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br w:type="textWrapping"/>
      </w:r>
    </w:p>
    <w:p w14:paraId="58AF50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法定代表人（签章）：</w:t>
      </w:r>
    </w:p>
    <w:p w14:paraId="53BAC26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 w14:paraId="039B27A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 xml:space="preserve"> 月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日</w:t>
      </w:r>
    </w:p>
    <w:p w14:paraId="38A8D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bookmarkEnd w:id="0"/>
    <w:sectPr>
      <w:footerReference r:id="rId3" w:type="default"/>
      <w:pgSz w:w="11906" w:h="16838"/>
      <w:pgMar w:top="2098" w:right="1474" w:bottom="1984" w:left="1587" w:header="851" w:footer="170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C8A616-0826-4D29-B8DC-E5168AF5C6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9B13807-4911-4A13-BD64-AADF8ADBBAB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0375FD6C-6D7C-4C60-AC96-2856FCAEB0E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636B5A3-61E3-4D84-ABFF-F4CC47555AB9}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00B9FE80-BD54-49A8-B0DA-CBACAC98A7C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61DFBDAA-7802-49DA-BD3A-9F5837CE86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2B35BAFC-B36A-42D6-8170-6950389F10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C54A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6B876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16B876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NmRkYjkwN2U4YzZjYTMyMWExM2U3OGZiMjYwNWUifQ=="/>
  </w:docVars>
  <w:rsids>
    <w:rsidRoot w:val="00DA7E8E"/>
    <w:rsid w:val="00013863"/>
    <w:rsid w:val="001507A3"/>
    <w:rsid w:val="002C5C71"/>
    <w:rsid w:val="00305BF9"/>
    <w:rsid w:val="003336CD"/>
    <w:rsid w:val="004C0C53"/>
    <w:rsid w:val="005505F7"/>
    <w:rsid w:val="005824E5"/>
    <w:rsid w:val="005D701A"/>
    <w:rsid w:val="005F1E16"/>
    <w:rsid w:val="006A4DA8"/>
    <w:rsid w:val="0072065F"/>
    <w:rsid w:val="00852934"/>
    <w:rsid w:val="00897C3D"/>
    <w:rsid w:val="008B60A4"/>
    <w:rsid w:val="00980ABF"/>
    <w:rsid w:val="009B1076"/>
    <w:rsid w:val="009B49F5"/>
    <w:rsid w:val="00AE54C2"/>
    <w:rsid w:val="00B34523"/>
    <w:rsid w:val="00C80FB3"/>
    <w:rsid w:val="00D30CF8"/>
    <w:rsid w:val="00D52022"/>
    <w:rsid w:val="00DA7E8E"/>
    <w:rsid w:val="027A18E6"/>
    <w:rsid w:val="049B68D7"/>
    <w:rsid w:val="04AF66D5"/>
    <w:rsid w:val="04B32184"/>
    <w:rsid w:val="05915262"/>
    <w:rsid w:val="06350F8B"/>
    <w:rsid w:val="06585F98"/>
    <w:rsid w:val="06AE227D"/>
    <w:rsid w:val="07105EF1"/>
    <w:rsid w:val="08033136"/>
    <w:rsid w:val="087E7369"/>
    <w:rsid w:val="09253CF7"/>
    <w:rsid w:val="098A290C"/>
    <w:rsid w:val="0AB45767"/>
    <w:rsid w:val="0C593122"/>
    <w:rsid w:val="0CA02447"/>
    <w:rsid w:val="0CD26625"/>
    <w:rsid w:val="0EA72974"/>
    <w:rsid w:val="10BB1323"/>
    <w:rsid w:val="10E66B7B"/>
    <w:rsid w:val="113C503E"/>
    <w:rsid w:val="117A4827"/>
    <w:rsid w:val="11AE0B94"/>
    <w:rsid w:val="12AF0CEE"/>
    <w:rsid w:val="14553B17"/>
    <w:rsid w:val="157B0758"/>
    <w:rsid w:val="15B036FB"/>
    <w:rsid w:val="15EF5240"/>
    <w:rsid w:val="179875FD"/>
    <w:rsid w:val="190236A8"/>
    <w:rsid w:val="19055FA5"/>
    <w:rsid w:val="19945888"/>
    <w:rsid w:val="19FF69FF"/>
    <w:rsid w:val="1C314E69"/>
    <w:rsid w:val="1C420E24"/>
    <w:rsid w:val="1C951DE3"/>
    <w:rsid w:val="1CE960D6"/>
    <w:rsid w:val="1D075E3D"/>
    <w:rsid w:val="1EA72EE7"/>
    <w:rsid w:val="1FFA0022"/>
    <w:rsid w:val="22C31BD2"/>
    <w:rsid w:val="24500AC3"/>
    <w:rsid w:val="257F3987"/>
    <w:rsid w:val="27514612"/>
    <w:rsid w:val="28101DD7"/>
    <w:rsid w:val="286E6264"/>
    <w:rsid w:val="29160697"/>
    <w:rsid w:val="29437F8A"/>
    <w:rsid w:val="295938E3"/>
    <w:rsid w:val="29E654E5"/>
    <w:rsid w:val="2A867EB3"/>
    <w:rsid w:val="2B0966ED"/>
    <w:rsid w:val="2C69485B"/>
    <w:rsid w:val="2E697E7F"/>
    <w:rsid w:val="2ECB21B1"/>
    <w:rsid w:val="2F8F5CD7"/>
    <w:rsid w:val="2FB147D3"/>
    <w:rsid w:val="2FB15A38"/>
    <w:rsid w:val="32150CC9"/>
    <w:rsid w:val="327A2C6E"/>
    <w:rsid w:val="344F3C87"/>
    <w:rsid w:val="36453EFF"/>
    <w:rsid w:val="36657792"/>
    <w:rsid w:val="375A5E4C"/>
    <w:rsid w:val="380B5401"/>
    <w:rsid w:val="396858D9"/>
    <w:rsid w:val="3B722D54"/>
    <w:rsid w:val="3C9E57AB"/>
    <w:rsid w:val="3DF45591"/>
    <w:rsid w:val="415428DD"/>
    <w:rsid w:val="416E57F0"/>
    <w:rsid w:val="425B5AC2"/>
    <w:rsid w:val="442E1752"/>
    <w:rsid w:val="45CB480C"/>
    <w:rsid w:val="46237CB1"/>
    <w:rsid w:val="46BC1D4C"/>
    <w:rsid w:val="476F00E0"/>
    <w:rsid w:val="48405DE6"/>
    <w:rsid w:val="48471271"/>
    <w:rsid w:val="49767554"/>
    <w:rsid w:val="499764BE"/>
    <w:rsid w:val="4A534079"/>
    <w:rsid w:val="4A6F4C2B"/>
    <w:rsid w:val="4B7C313F"/>
    <w:rsid w:val="4BED37F2"/>
    <w:rsid w:val="4C5C5C13"/>
    <w:rsid w:val="4C891FD4"/>
    <w:rsid w:val="4DB25337"/>
    <w:rsid w:val="4E4C3520"/>
    <w:rsid w:val="4EAE6F5F"/>
    <w:rsid w:val="503A3118"/>
    <w:rsid w:val="5054454A"/>
    <w:rsid w:val="508F56DF"/>
    <w:rsid w:val="50CE26AB"/>
    <w:rsid w:val="512F2C41"/>
    <w:rsid w:val="52BA5395"/>
    <w:rsid w:val="53A85057"/>
    <w:rsid w:val="546038BD"/>
    <w:rsid w:val="54A04F2A"/>
    <w:rsid w:val="55C05214"/>
    <w:rsid w:val="56002B1B"/>
    <w:rsid w:val="56226FF5"/>
    <w:rsid w:val="58C02C9A"/>
    <w:rsid w:val="5A9364E0"/>
    <w:rsid w:val="5BDA390F"/>
    <w:rsid w:val="5C0D7E00"/>
    <w:rsid w:val="5C2A6C04"/>
    <w:rsid w:val="5C57188B"/>
    <w:rsid w:val="5D4C2159"/>
    <w:rsid w:val="62FD220A"/>
    <w:rsid w:val="63414F5F"/>
    <w:rsid w:val="639F04AC"/>
    <w:rsid w:val="64D75803"/>
    <w:rsid w:val="65E476B2"/>
    <w:rsid w:val="665F3603"/>
    <w:rsid w:val="67B65CC6"/>
    <w:rsid w:val="683D6B9F"/>
    <w:rsid w:val="694F37F3"/>
    <w:rsid w:val="69CE6E20"/>
    <w:rsid w:val="6BA936A1"/>
    <w:rsid w:val="6BB65DBE"/>
    <w:rsid w:val="6BD83F86"/>
    <w:rsid w:val="6EDA1DC4"/>
    <w:rsid w:val="6FBE3493"/>
    <w:rsid w:val="720C6787"/>
    <w:rsid w:val="72534568"/>
    <w:rsid w:val="728806C5"/>
    <w:rsid w:val="73D4485D"/>
    <w:rsid w:val="74FD05DC"/>
    <w:rsid w:val="75E94874"/>
    <w:rsid w:val="7634625D"/>
    <w:rsid w:val="763872D9"/>
    <w:rsid w:val="77A1166A"/>
    <w:rsid w:val="77DC2B0C"/>
    <w:rsid w:val="780C2088"/>
    <w:rsid w:val="782F3180"/>
    <w:rsid w:val="78B23EE1"/>
    <w:rsid w:val="79A56684"/>
    <w:rsid w:val="7A456F60"/>
    <w:rsid w:val="7ABF07F0"/>
    <w:rsid w:val="7AD36723"/>
    <w:rsid w:val="7B82796F"/>
    <w:rsid w:val="7E1A21DD"/>
    <w:rsid w:val="7E1A6A6E"/>
    <w:rsid w:val="7ED87C31"/>
    <w:rsid w:val="7F547942"/>
    <w:rsid w:val="7F7FA54D"/>
    <w:rsid w:val="BDBF4A4D"/>
    <w:rsid w:val="DEEF6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pPr>
      <w:autoSpaceDE w:val="0"/>
      <w:autoSpaceDN w:val="0"/>
    </w:pPr>
    <w:rPr>
      <w:rFonts w:ascii="仿宋_GB2312" w:hAnsi="仿宋_GB2312" w:cs="仿宋_GB2312"/>
      <w:sz w:val="22"/>
      <w:szCs w:val="32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1">
    <w:name w:val="Strong"/>
    <w:qFormat/>
    <w:uiPriority w:val="22"/>
    <w:rPr>
      <w:b/>
      <w:bCs/>
    </w:rPr>
  </w:style>
  <w:style w:type="character" w:customStyle="1" w:styleId="12">
    <w:name w:val="页脚 Char"/>
    <w:link w:val="6"/>
    <w:semiHidden/>
    <w:qFormat/>
    <w:uiPriority w:val="99"/>
    <w:rPr>
      <w:sz w:val="18"/>
      <w:szCs w:val="18"/>
    </w:rPr>
  </w:style>
  <w:style w:type="character" w:customStyle="1" w:styleId="13">
    <w:name w:val="页眉 Char"/>
    <w:link w:val="7"/>
    <w:semiHidden/>
    <w:qFormat/>
    <w:uiPriority w:val="99"/>
    <w:rPr>
      <w:sz w:val="18"/>
      <w:szCs w:val="18"/>
    </w:rPr>
  </w:style>
  <w:style w:type="character" w:customStyle="1" w:styleId="14">
    <w:name w:val="15"/>
    <w:qFormat/>
    <w:uiPriority w:val="0"/>
    <w:rPr>
      <w:rFonts w:hint="eastAsia" w:ascii="微软雅黑" w:hAnsi="微软雅黑" w:eastAsia="微软雅黑"/>
      <w:b/>
    </w:rPr>
  </w:style>
  <w:style w:type="paragraph" w:customStyle="1" w:styleId="15">
    <w:name w:val="No Spacing1"/>
    <w:basedOn w:val="1"/>
    <w:qFormat/>
    <w:uiPriority w:val="0"/>
    <w:pPr>
      <w:spacing w:before="100" w:beforeAutospacing="1"/>
    </w:pPr>
    <w:rPr>
      <w:rFonts w:ascii="Calibri" w:hAnsi="Calibri" w:eastAsia="宋体" w:cs="Times New Roman"/>
      <w:szCs w:val="21"/>
    </w:r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34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1904</Words>
  <Characters>1991</Characters>
  <Lines>16</Lines>
  <Paragraphs>4</Paragraphs>
  <TotalTime>2</TotalTime>
  <ScaleCrop>false</ScaleCrop>
  <LinksUpToDate>false</LinksUpToDate>
  <CharactersWithSpaces>2072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2021-08-25T01:22:00Z</dcterms:created>
  <dc:creator>Administrator</dc:creator>
  <cp:lastModifiedBy>花花</cp:lastModifiedBy>
  <cp:lastPrinted>2023-09-18T07:52:00Z</cp:lastPrinted>
  <dcterms:modified xsi:type="dcterms:W3CDTF">2025-07-22T07:05:22Z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D4EFA6240CFF4E49A2A5149E9CC29D43_13</vt:lpwstr>
  </property>
  <property fmtid="{D5CDD505-2E9C-101B-9397-08002B2CF9AE}" pid="4" name="KSOTemplateDocerSaveRecord">
    <vt:lpwstr>eyJoZGlkIjoiOGQ0MzU3NmM5YzU5MmE0NTVkNGVhOTY2NDBiMGU2OWYiLCJ1c2VySWQiOiIyNjc1OTc0MzAifQ==</vt:lpwstr>
  </property>
</Properties>
</file>