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contextualSpacing/>
        <w:jc w:val="center"/>
        <w:rPr>
          <w:rFonts w:ascii="Times New Roman" w:hAnsi="Times New Roman" w:cs="Microsoft Himalaya"/>
          <w:sz w:val="44"/>
          <w:szCs w:val="44"/>
          <w:lang w:bidi="bo-CN"/>
        </w:rPr>
      </w:pPr>
      <w:bookmarkStart w:id="0" w:name="OLE_LINK1"/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bidi="ar"/>
        </w:rPr>
        <w:t>臭蚤草</w:t>
      </w:r>
      <w:r>
        <w:rPr>
          <w:rFonts w:hint="cs" w:ascii="Times New Roman" w:hAnsi="Times New Roman" w:cs="Microsoft Himalaya"/>
          <w:color w:val="000000"/>
          <w:kern w:val="0"/>
          <w:sz w:val="32"/>
          <w:szCs w:val="32"/>
          <w:cs/>
          <w:lang w:bidi="bo-CN"/>
        </w:rPr>
        <w:t xml:space="preserve">                  </w:t>
      </w:r>
      <w:r>
        <w:rPr>
          <w:rFonts w:hint="cs" w:ascii="Times New Roman" w:hAnsi="Times New Roman" w:cs="Microsoft Himalaya"/>
          <w:color w:val="000000"/>
          <w:kern w:val="0"/>
          <w:sz w:val="44"/>
          <w:szCs w:val="44"/>
          <w:cs/>
          <w:lang w:bidi="bo-CN"/>
        </w:rPr>
        <w:t xml:space="preserve">    མིང་ཅན།</w:t>
      </w:r>
    </w:p>
    <w:p>
      <w:pPr>
        <w:widowControl/>
        <w:spacing w:line="360" w:lineRule="auto"/>
        <w:ind w:firstLine="2560" w:firstLineChars="800"/>
        <w:contextualSpacing/>
        <w:rPr>
          <w:rFonts w:ascii="Times New Roman" w:hAnsi="Times New Roman" w:cs="Microsoft Himalaya"/>
          <w:sz w:val="32"/>
          <w:szCs w:val="32"/>
          <w:lang w:bidi="bo-CN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bidi="ar"/>
        </w:rPr>
        <w:t>C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bidi="ar"/>
        </w:rPr>
        <w:t>houzaocao</w:t>
      </w:r>
      <w:r>
        <w:rPr>
          <w:rFonts w:hint="cs" w:ascii="Times New Roman" w:hAnsi="Times New Roman" w:cs="Microsoft Himalaya"/>
          <w:color w:val="000000"/>
          <w:kern w:val="0"/>
          <w:sz w:val="32"/>
          <w:szCs w:val="32"/>
          <w:cs/>
          <w:lang w:bidi="bo-CN"/>
        </w:rPr>
        <w:t xml:space="preserve">             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bidi="ar"/>
        </w:rPr>
        <w:t>敏间</w:t>
      </w:r>
    </w:p>
    <w:p>
      <w:pPr>
        <w:widowControl/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bidi="ar"/>
        </w:rPr>
        <w:t>PULICARIAE INSIGNIS HERBA</w:t>
      </w:r>
    </w:p>
    <w:p>
      <w:pPr>
        <w:widowControl/>
        <w:spacing w:line="360" w:lineRule="auto"/>
        <w:ind w:firstLine="480" w:firstLineChars="200"/>
        <w:contextualSpacing/>
        <w:jc w:val="left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bookmarkStart w:id="1" w:name="_Hlk144643320"/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本品为菊科植物臭蚤草</w:t>
      </w:r>
      <w:r>
        <w:rPr>
          <w:rFonts w:ascii="Times New Roman" w:hAnsi="Times New Roman"/>
          <w:i/>
          <w:iCs/>
          <w:sz w:val="24"/>
        </w:rPr>
        <w:t>Pulicaria insignis</w:t>
      </w:r>
      <w:r>
        <w:rPr>
          <w:rFonts w:ascii="Times New Roman" w:hAnsi="Times New Roman"/>
          <w:sz w:val="24"/>
        </w:rPr>
        <w:t xml:space="preserve"> Drumm. ex Dunn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的地上部分。花期采收，除去杂质，阴干。</w:t>
      </w:r>
    </w:p>
    <w:bookmarkEnd w:id="1"/>
    <w:p>
      <w:pPr>
        <w:widowControl/>
        <w:spacing w:line="360" w:lineRule="auto"/>
        <w:ind w:firstLine="482" w:firstLineChars="20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lang w:bidi="ar"/>
        </w:rPr>
        <w:t>【性状】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 xml:space="preserve"> </w:t>
      </w:r>
      <w:bookmarkStart w:id="2" w:name="OLE_LINK2"/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本品多破碎，部分有残留绢状长茸毛。叶倒披针形、长圆形或卵圆状长圆形，下部渐狭成长柄，质厚，两面被毡状长贴毛，边缘和叶脉有密生的长粗毛，基生叶顶端钝或稍尖，全缘，基部等宽，无柄，半抱茎。头状花序单生于茎或枝端，可见长粗毛，舌状花黄色，外有毛。气特异，味苦。</w:t>
      </w:r>
      <w:bookmarkEnd w:id="2"/>
    </w:p>
    <w:p>
      <w:pPr>
        <w:widowControl/>
        <w:spacing w:line="360" w:lineRule="auto"/>
        <w:ind w:firstLine="482" w:firstLineChars="200"/>
        <w:contextualSpacing/>
        <w:jc w:val="left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lang w:bidi="ar"/>
        </w:rPr>
        <w:t>【鉴别】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（1）本品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粉末黄褐色。叶表皮细胞表面观成波状弯曲，气孔不定式，副卫细胞3～4个。非腺毛众多，有的具螺纹，1～12个细胞组成，尾尖，呈镰刀状弯曲。花粉粒类球形，直径20～35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μm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，具3个萌发孔，外壁有刺状突起。导管多为螺纹导管，直径20～50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μm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。</w:t>
      </w:r>
    </w:p>
    <w:p>
      <w:pPr>
        <w:widowControl/>
        <w:spacing w:line="360" w:lineRule="auto"/>
        <w:ind w:firstLine="480" w:firstLineChars="200"/>
        <w:contextualSpacing/>
        <w:jc w:val="left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（2）取本品粉末2g，加甲醇15ml，超声处理30分钟，滤过，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滤液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作为供试品溶液。另取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绿原酸对照品，加甲醇制成每1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ml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含0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.4mg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的溶液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，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作为对照品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溶液。照薄层色谱法（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《中国药典》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2020年版四部通则0502）试验，吸取上述两种溶液各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5～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10μl，分别点于同一硅胶G薄层板上，以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乙酸乙酯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-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甲酸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-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水（8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:1:1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）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为展开剂，展开，取出，晾干，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置紫外光灯（365nm）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下检视。供试品色谱中，在与对照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品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色谱相应的位置上，显相同颜色的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荧光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斑点。</w:t>
      </w:r>
    </w:p>
    <w:p>
      <w:pPr>
        <w:widowControl/>
        <w:spacing w:line="360" w:lineRule="auto"/>
        <w:ind w:firstLine="482" w:firstLineChars="20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lang w:bidi="ar"/>
        </w:rPr>
        <w:t>【检查】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水分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不得过10.0%（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《中国药典》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2020年版四部通则0832第二法）。</w:t>
      </w:r>
    </w:p>
    <w:p>
      <w:pPr>
        <w:widowControl/>
        <w:spacing w:line="360" w:lineRule="auto"/>
        <w:ind w:firstLine="482" w:firstLineChars="200"/>
        <w:contextualSpacing/>
        <w:jc w:val="left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lang w:bidi="ar"/>
        </w:rPr>
        <w:t>【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bidi="ar"/>
        </w:rPr>
        <w:t>浸出物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lang w:bidi="ar"/>
        </w:rPr>
        <w:t>】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 xml:space="preserve"> 照醇溶性浸出物测定法（《中国药典》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2020年版四部通则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2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201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）项下的热浸法测定，用3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0%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乙醇作溶剂，不得少于1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5.0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%。</w:t>
      </w:r>
    </w:p>
    <w:p>
      <w:pPr>
        <w:widowControl/>
        <w:spacing w:line="360" w:lineRule="auto"/>
        <w:ind w:firstLine="482" w:firstLineChars="200"/>
        <w:contextualSpacing/>
        <w:jc w:val="left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bidi="ar"/>
        </w:rPr>
        <w:t xml:space="preserve">【含量测定】 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照高效液相色谱法（《中国药典》2020年版四部通则0512）测定。</w:t>
      </w:r>
    </w:p>
    <w:p>
      <w:pPr>
        <w:widowControl/>
        <w:spacing w:line="360" w:lineRule="auto"/>
        <w:ind w:firstLine="482" w:firstLineChars="200"/>
        <w:contextualSpacing/>
        <w:jc w:val="left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bidi="ar"/>
        </w:rPr>
        <w:t>色谱条件与系统适用性试验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 xml:space="preserve"> 以十八烷基硅烷键合硅胶为填充剂；以乙腈为流动相A，以0.1%磷酸溶液为流动相B，按下表中的规定进行梯度洗脱；检测波长为348nm。理论板数按3,5-O-二咖啡酰奎宁酸峰计算应不低于5000。</w:t>
      </w:r>
    </w:p>
    <w:tbl>
      <w:tblPr>
        <w:tblStyle w:val="8"/>
        <w:tblW w:w="8330" w:type="dxa"/>
        <w:jc w:val="center"/>
        <w:tblInd w:w="0" w:type="dxa"/>
        <w:tblBorders>
          <w:top w:val="single" w:color="000000" w:themeColor="text1" w:sz="12" w:space="0"/>
          <w:left w:val="none" w:color="auto" w:sz="0" w:space="0"/>
          <w:bottom w:val="single" w:color="000000" w:themeColor="text1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649"/>
      </w:tblGrid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7" w:hRule="exact"/>
          <w:jc w:val="center"/>
        </w:trPr>
        <w:tc>
          <w:tcPr>
            <w:tcW w:w="2840" w:type="dxa"/>
            <w:tcBorders>
              <w:top w:val="single" w:color="000000" w:themeColor="text1" w:sz="12" w:space="0"/>
              <w:bottom w:val="single" w:color="000000" w:themeColor="text1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时间（分钟）</w:t>
            </w:r>
          </w:p>
        </w:tc>
        <w:tc>
          <w:tcPr>
            <w:tcW w:w="2841" w:type="dxa"/>
            <w:tcBorders>
              <w:top w:val="single" w:color="000000" w:themeColor="text1" w:sz="12" w:space="0"/>
              <w:bottom w:val="single" w:color="000000" w:themeColor="text1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流动相A(%)</w:t>
            </w:r>
          </w:p>
        </w:tc>
        <w:tc>
          <w:tcPr>
            <w:tcW w:w="2649" w:type="dxa"/>
            <w:tcBorders>
              <w:top w:val="single" w:color="000000" w:themeColor="text1" w:sz="12" w:space="0"/>
              <w:bottom w:val="single" w:color="000000" w:themeColor="text1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流动相B(%)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7" w:hRule="exact"/>
          <w:jc w:val="center"/>
        </w:trPr>
        <w:tc>
          <w:tcPr>
            <w:tcW w:w="2840" w:type="dxa"/>
            <w:tcBorders>
              <w:top w:val="single" w:color="000000" w:themeColor="text1" w:sz="6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~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841" w:type="dxa"/>
            <w:tcBorders>
              <w:top w:val="single" w:color="000000" w:themeColor="text1" w:sz="6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10→18</w:t>
            </w:r>
          </w:p>
        </w:tc>
        <w:tc>
          <w:tcPr>
            <w:tcW w:w="2649" w:type="dxa"/>
            <w:tcBorders>
              <w:top w:val="single" w:color="000000" w:themeColor="text1" w:sz="6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90→82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4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~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841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18→20</w:t>
            </w:r>
          </w:p>
        </w:tc>
        <w:tc>
          <w:tcPr>
            <w:tcW w:w="264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82→80</w:t>
            </w:r>
          </w:p>
        </w:tc>
      </w:tr>
      <w:tr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~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64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</w:tr>
    </w:tbl>
    <w:p>
      <w:pPr>
        <w:widowControl/>
        <w:spacing w:line="360" w:lineRule="auto"/>
        <w:ind w:firstLine="482" w:firstLineChars="200"/>
        <w:contextualSpacing/>
        <w:jc w:val="left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bidi="ar"/>
        </w:rPr>
        <w:t>对照品溶液的制备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 xml:space="preserve"> 取绿原酸对照品、3,5-O-二咖啡酰奎宁酸对照品适量，精密称定，置棕色量瓶中，加70%甲醇制成每1ml含绿原酸200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μg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，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3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,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5-O-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二咖啡酰奎宁酸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100μg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的混合溶液，即得（10℃以下保存）。</w:t>
      </w:r>
    </w:p>
    <w:p>
      <w:pPr>
        <w:widowControl/>
        <w:spacing w:line="360" w:lineRule="auto"/>
        <w:ind w:firstLine="482" w:firstLineChars="200"/>
        <w:contextualSpacing/>
        <w:jc w:val="left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bidi="ar"/>
        </w:rPr>
        <w:t>供试品溶液的制备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 xml:space="preserve"> 取本品粉末（过三号筛）约1.5g，精密称定，置具塞锥形瓶中，精密加入70%甲醇25ml，密塞，称定重量，加热回流1小时，放冷，再称定重量，用70%甲醇补足减失的重量，摇匀，滤过，取续滤液，即得。</w:t>
      </w:r>
    </w:p>
    <w:p>
      <w:pPr>
        <w:widowControl/>
        <w:spacing w:line="360" w:lineRule="auto"/>
        <w:ind w:firstLine="482" w:firstLineChars="200"/>
        <w:contextualSpacing/>
        <w:jc w:val="left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bidi="ar"/>
        </w:rPr>
        <w:t>测定法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 xml:space="preserve"> 分别精密吸取对照品溶液与供试品溶液各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10μl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，注入液相色谱仪，测定，即得。</w:t>
      </w:r>
    </w:p>
    <w:p>
      <w:pPr>
        <w:widowControl/>
        <w:spacing w:line="360" w:lineRule="auto"/>
        <w:ind w:firstLine="480" w:firstLineChars="200"/>
        <w:contextualSpacing/>
        <w:jc w:val="left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本品按干燥品计算，含绿原酸（C</w:t>
      </w:r>
      <w:r>
        <w:rPr>
          <w:rFonts w:hint="eastAsia" w:ascii="Times New Roman" w:hAnsi="Times New Roman" w:cs="Times New Roman"/>
          <w:color w:val="000000"/>
          <w:kern w:val="0"/>
          <w:sz w:val="24"/>
          <w:vertAlign w:val="subscript"/>
          <w:lang w:bidi="ar"/>
        </w:rPr>
        <w:t>16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H</w:t>
      </w:r>
      <w:r>
        <w:rPr>
          <w:rFonts w:hint="eastAsia" w:ascii="Times New Roman" w:hAnsi="Times New Roman" w:cs="Times New Roman"/>
          <w:color w:val="000000"/>
          <w:kern w:val="0"/>
          <w:sz w:val="24"/>
          <w:vertAlign w:val="subscript"/>
          <w:lang w:bidi="ar"/>
        </w:rPr>
        <w:t>18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O</w:t>
      </w:r>
      <w:r>
        <w:rPr>
          <w:rFonts w:hint="eastAsia" w:ascii="Times New Roman" w:hAnsi="Times New Roman" w:cs="Times New Roman"/>
          <w:color w:val="000000"/>
          <w:kern w:val="0"/>
          <w:sz w:val="24"/>
          <w:vertAlign w:val="subscript"/>
          <w:lang w:bidi="ar"/>
        </w:rPr>
        <w:t>9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）不得少于0.60%，含3,5-O-二咖啡酰奎宁酸（C</w:t>
      </w:r>
      <w:r>
        <w:rPr>
          <w:rFonts w:hint="eastAsia" w:ascii="Times New Roman" w:hAnsi="Times New Roman" w:cs="Times New Roman"/>
          <w:color w:val="000000"/>
          <w:kern w:val="0"/>
          <w:sz w:val="24"/>
          <w:vertAlign w:val="subscript"/>
          <w:lang w:bidi="ar"/>
        </w:rPr>
        <w:t>25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H</w:t>
      </w:r>
      <w:r>
        <w:rPr>
          <w:rFonts w:hint="eastAsia" w:ascii="Times New Roman" w:hAnsi="Times New Roman" w:cs="Times New Roman"/>
          <w:color w:val="000000"/>
          <w:kern w:val="0"/>
          <w:sz w:val="24"/>
          <w:vertAlign w:val="subscript"/>
          <w:lang w:bidi="ar"/>
        </w:rPr>
        <w:t>24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O</w:t>
      </w:r>
      <w:r>
        <w:rPr>
          <w:rFonts w:hint="eastAsia" w:ascii="Times New Roman" w:hAnsi="Times New Roman" w:cs="Times New Roman"/>
          <w:color w:val="000000"/>
          <w:kern w:val="0"/>
          <w:sz w:val="24"/>
          <w:vertAlign w:val="subscript"/>
          <w:lang w:bidi="ar"/>
        </w:rPr>
        <w:t>12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）不得少于0.40%。</w:t>
      </w:r>
    </w:p>
    <w:p>
      <w:pPr>
        <w:widowControl/>
        <w:spacing w:line="500" w:lineRule="exact"/>
        <w:ind w:firstLine="562" w:firstLineChars="200"/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"/>
        </w:rPr>
        <w:t>饮片</w:t>
      </w:r>
    </w:p>
    <w:p>
      <w:pPr>
        <w:widowControl/>
        <w:spacing w:line="360" w:lineRule="auto"/>
        <w:ind w:firstLine="482" w:firstLineChars="20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lang w:bidi="ar"/>
        </w:rPr>
        <w:t>【炮制】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除去杂质。</w:t>
      </w:r>
    </w:p>
    <w:p>
      <w:pPr>
        <w:widowControl/>
        <w:spacing w:line="360" w:lineRule="auto"/>
        <w:ind w:firstLine="482" w:firstLineChars="20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lang w:bidi="ar"/>
        </w:rPr>
        <w:t>【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bidi="ar"/>
        </w:rPr>
        <w:t>性状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lang w:bidi="ar"/>
        </w:rPr>
        <w:t>】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bidi="ar"/>
        </w:rPr>
        <w:t xml:space="preserve"> </w:t>
      </w:r>
      <w:bookmarkStart w:id="3" w:name="OLE_LINK31"/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同药材。</w:t>
      </w:r>
      <w:bookmarkEnd w:id="3"/>
    </w:p>
    <w:p>
      <w:pPr>
        <w:widowControl/>
        <w:spacing w:line="360" w:lineRule="auto"/>
        <w:ind w:firstLine="482" w:firstLineChars="20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lang w:bidi="ar"/>
        </w:rPr>
        <w:t>【鉴别】【检查】【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bidi="ar"/>
        </w:rPr>
        <w:t>含量测定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lang w:bidi="ar"/>
        </w:rPr>
        <w:t>】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同药材。</w:t>
      </w:r>
    </w:p>
    <w:p>
      <w:pPr>
        <w:widowControl/>
        <w:spacing w:line="360" w:lineRule="auto"/>
        <w:ind w:firstLine="482" w:firstLineChars="20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lang w:bidi="ar"/>
        </w:rPr>
        <w:t>【性味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Times New Roman" w:hAnsi="Times New Roman" w:cs="Times New Roman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味苦，性凉</w:t>
      </w:r>
      <w:r>
        <w:rPr>
          <w:rFonts w:ascii="Times New Roman" w:hAnsi="Times New Roman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2" w:firstLineChars="200"/>
        <w:contextualSpacing/>
        <w:rPr>
          <w:rFonts w:hint="eastAsia" w:asciiTheme="minorEastAsia" w:hAnsiTheme="minorEastAsia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lang w:bidi="ar"/>
        </w:rPr>
        <w:t>【功能与主治】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bidi="ar"/>
        </w:rPr>
        <w:t xml:space="preserve"> </w:t>
      </w:r>
      <w:bookmarkStart w:id="4" w:name="OLE_LINK30"/>
      <w:r>
        <w:rPr>
          <w:rFonts w:hint="eastAsia" w:asciiTheme="minorEastAsia" w:hAnsiTheme="minorEastAsia"/>
          <w:color w:val="000000"/>
          <w:sz w:val="24"/>
        </w:rPr>
        <w:t>清热解毒，消肿止痛。用于各种炎症，痈疽，疔疮，白喉，炭疽，“查隆”病，风湿引起的关节肿痛等。</w:t>
      </w:r>
    </w:p>
    <w:p>
      <w:pPr>
        <w:spacing w:line="360" w:lineRule="auto"/>
        <w:ind w:firstLine="560" w:firstLineChars="200"/>
        <w:contextualSpacing/>
        <w:rPr>
          <w:rFonts w:ascii="Microsoft Himalaya" w:hAnsi="Microsoft Himalaya" w:cs="Microsoft Himalaya"/>
          <w:color w:val="000000"/>
          <w:sz w:val="24"/>
        </w:rPr>
      </w:pPr>
      <w:r>
        <w:rPr>
          <w:rFonts w:hint="cs" w:cs="Microsoft Himalaya" w:asciiTheme="minorEastAsia" w:hAnsiTheme="minorEastAsia"/>
          <w:color w:val="000000"/>
          <w:sz w:val="28"/>
          <w:szCs w:val="28"/>
          <w:cs/>
          <w:lang w:bidi="bo-CN"/>
        </w:rPr>
        <w:t>གཉན་རིམས་དང་གག་ལྷོག་འཇོམས་ཤིང་།</w:t>
      </w:r>
      <w:r>
        <w:rPr>
          <w:rFonts w:cs="Microsoft Himalaya" w:asciiTheme="minorEastAsia" w:hAnsiTheme="minorEastAsia"/>
          <w:color w:val="000000"/>
          <w:sz w:val="28"/>
          <w:szCs w:val="28"/>
          <w:cs/>
          <w:lang w:bidi="bo-CN"/>
        </w:rPr>
        <w:t xml:space="preserve"> </w:t>
      </w:r>
      <w:r>
        <w:rPr>
          <w:rFonts w:hint="cs" w:cs="Microsoft Himalaya" w:asciiTheme="minorEastAsia" w:hAnsiTheme="minorEastAsia"/>
          <w:color w:val="000000"/>
          <w:sz w:val="28"/>
          <w:szCs w:val="28"/>
          <w:cs/>
          <w:lang w:bidi="bo-CN"/>
        </w:rPr>
        <w:t>ཁྲག་རླུང་སྟོད་གཟེར་དང་གྲུམ་བུའི་ཟུག་གཟེར་གཅོག་ལ་དུག་ཚད་དང་རིམས་ཚད།</w:t>
      </w:r>
      <w:r>
        <w:rPr>
          <w:rFonts w:cs="Microsoft Himalaya" w:asciiTheme="minorEastAsia" w:hAnsiTheme="minorEastAsia"/>
          <w:color w:val="000000"/>
          <w:sz w:val="28"/>
          <w:szCs w:val="28"/>
          <w:cs/>
          <w:lang w:bidi="bo-CN"/>
        </w:rPr>
        <w:t xml:space="preserve"> </w:t>
      </w:r>
      <w:r>
        <w:rPr>
          <w:rFonts w:hint="cs" w:cs="Microsoft Himalaya" w:asciiTheme="minorEastAsia" w:hAnsiTheme="minorEastAsia"/>
          <w:color w:val="000000"/>
          <w:sz w:val="28"/>
          <w:szCs w:val="28"/>
          <w:cs/>
          <w:lang w:bidi="bo-CN"/>
        </w:rPr>
        <w:t>ཁྲག་ཚད།</w:t>
      </w:r>
      <w:r>
        <w:rPr>
          <w:rFonts w:cs="Microsoft Himalaya" w:asciiTheme="minorEastAsia" w:hAnsiTheme="minorEastAsia"/>
          <w:color w:val="000000"/>
          <w:sz w:val="28"/>
          <w:szCs w:val="28"/>
          <w:cs/>
          <w:lang w:bidi="bo-CN"/>
        </w:rPr>
        <w:t xml:space="preserve">  </w:t>
      </w:r>
      <w:r>
        <w:rPr>
          <w:rFonts w:hint="cs" w:cs="Microsoft Himalaya" w:asciiTheme="minorEastAsia" w:hAnsiTheme="minorEastAsia"/>
          <w:color w:val="000000"/>
          <w:sz w:val="28"/>
          <w:szCs w:val="28"/>
          <w:cs/>
          <w:lang w:bidi="bo-CN"/>
        </w:rPr>
        <w:t>གཉན་ཚད།</w:t>
      </w:r>
      <w:r>
        <w:rPr>
          <w:rFonts w:cs="Microsoft Himalaya" w:asciiTheme="minorEastAsia" w:hAnsiTheme="minorEastAsia"/>
          <w:color w:val="000000"/>
          <w:sz w:val="28"/>
          <w:szCs w:val="28"/>
          <w:cs/>
          <w:lang w:bidi="bo-CN"/>
        </w:rPr>
        <w:t xml:space="preserve">  </w:t>
      </w:r>
      <w:r>
        <w:rPr>
          <w:rFonts w:hint="cs" w:cs="Microsoft Himalaya" w:asciiTheme="minorEastAsia" w:hAnsiTheme="minorEastAsia"/>
          <w:color w:val="000000"/>
          <w:sz w:val="28"/>
          <w:szCs w:val="28"/>
          <w:cs/>
          <w:lang w:bidi="bo-CN"/>
        </w:rPr>
        <w:t>གཉན་འབུར།</w:t>
      </w:r>
      <w:r>
        <w:rPr>
          <w:rFonts w:cs="Microsoft Himalaya" w:asciiTheme="minorEastAsia" w:hAnsiTheme="minorEastAsia"/>
          <w:color w:val="000000"/>
          <w:sz w:val="28"/>
          <w:szCs w:val="28"/>
          <w:cs/>
          <w:lang w:bidi="bo-CN"/>
        </w:rPr>
        <w:t xml:space="preserve">  </w:t>
      </w:r>
      <w:r>
        <w:rPr>
          <w:rFonts w:hint="cs" w:cs="Microsoft Himalaya" w:asciiTheme="minorEastAsia" w:hAnsiTheme="minorEastAsia"/>
          <w:color w:val="000000"/>
          <w:sz w:val="28"/>
          <w:szCs w:val="28"/>
          <w:cs/>
          <w:lang w:bidi="bo-CN"/>
        </w:rPr>
        <w:t xml:space="preserve">རྨ་ཐོར་སོགས་སེལ་བར་བྱེད། </w:t>
      </w:r>
      <w:r>
        <w:rPr>
          <w:rFonts w:ascii="Microsoft Himalaya" w:hAnsi="Microsoft Himalaya" w:cs="Microsoft Himalaya"/>
          <w:color w:val="000000"/>
          <w:sz w:val="24"/>
        </w:rPr>
        <w:t xml:space="preserve"> </w:t>
      </w:r>
      <w:bookmarkEnd w:id="4"/>
    </w:p>
    <w:p>
      <w:pPr>
        <w:widowControl/>
        <w:spacing w:line="360" w:lineRule="auto"/>
        <w:ind w:firstLine="482" w:firstLineChars="20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lang w:bidi="ar"/>
        </w:rPr>
        <w:t>【用法与用量】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bidi="ar"/>
        </w:rPr>
        <w:t xml:space="preserve"> </w:t>
      </w:r>
      <w:bookmarkStart w:id="5" w:name="OLE_LINK32"/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配方用或遵医嘱。</w:t>
      </w:r>
      <w:bookmarkEnd w:id="5"/>
    </w:p>
    <w:p>
      <w:pPr>
        <w:widowControl/>
        <w:spacing w:line="360" w:lineRule="auto"/>
        <w:ind w:firstLine="482" w:firstLineChars="200"/>
        <w:contextualSpacing/>
        <w:jc w:val="left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lang w:bidi="ar"/>
        </w:rPr>
        <w:t>【贮藏】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置干燥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通风</w:t>
      </w:r>
      <w:r>
        <w:rPr>
          <w:rFonts w:ascii="Times New Roman" w:hAnsi="Times New Roman" w:cs="Times New Roman"/>
          <w:color w:val="000000"/>
          <w:kern w:val="0"/>
          <w:sz w:val="24"/>
          <w:lang w:bidi="ar"/>
        </w:rPr>
        <w:t>处。</w:t>
      </w:r>
      <w:bookmarkEnd w:id="0"/>
    </w:p>
    <w:p>
      <w:pPr>
        <w:pStyle w:val="4"/>
      </w:pPr>
    </w:p>
    <w:p>
      <w:bookmarkStart w:id="6" w:name="_GoBack"/>
      <w:bookmarkEnd w:id="6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fal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B4124"/>
    <w:rsid w:val="1D3B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keepLines/>
      <w:spacing w:before="40" w:beforeLines="0" w:after="40" w:afterLines="0"/>
      <w:ind w:left="7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无格式表格 21"/>
    <w:basedOn w:val="7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2025-07-29T04:12:00Z</dcterms:created>
  <dc:creator>Administrator</dc:creator>
  <cp:lastModifiedBy>Administrator</cp:lastModifiedBy>
  <dcterms:modified xsi:type="dcterms:W3CDTF">2025-07-29T04:12:37Z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