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C6ACE">
      <w:pPr>
        <w:pageBreakBefore w:val="0"/>
        <w:kinsoku/>
        <w:wordWrap/>
        <w:overflowPunct/>
        <w:topLinePunct w:val="0"/>
        <w:autoSpaceDE/>
        <w:autoSpaceDN/>
        <w:bidi w:val="0"/>
        <w:adjustRightInd/>
        <w:snapToGrid/>
        <w:spacing w:before="0" w:after="0" w:line="600" w:lineRule="exact"/>
        <w:jc w:val="center"/>
        <w:textAlignment w:val="auto"/>
        <w:rPr>
          <w:rFonts w:ascii="宋体" w:hAnsi="宋体" w:eastAsia="方正小标宋_GBK" w:cs="方正小标宋_GBK"/>
          <w:color w:val="auto"/>
          <w:sz w:val="44"/>
          <w:szCs w:val="44"/>
        </w:rPr>
      </w:pPr>
      <w:r>
        <w:rPr>
          <w:rFonts w:hint="eastAsia" w:ascii="宋体" w:hAnsi="宋体" w:eastAsia="方正小标宋_GBK" w:cs="方正小标宋_GBK"/>
          <w:color w:val="auto"/>
          <w:sz w:val="44"/>
          <w:szCs w:val="44"/>
        </w:rPr>
        <w:t>云南省公共数据资源授权运营管理办法</w:t>
      </w:r>
    </w:p>
    <w:p w14:paraId="025D807D">
      <w:pPr>
        <w:pageBreakBefore w:val="0"/>
        <w:kinsoku/>
        <w:wordWrap/>
        <w:overflowPunct/>
        <w:topLinePunct w:val="0"/>
        <w:autoSpaceDE/>
        <w:autoSpaceDN/>
        <w:bidi w:val="0"/>
        <w:adjustRightInd/>
        <w:snapToGrid/>
        <w:spacing w:before="0" w:after="0" w:line="600" w:lineRule="exact"/>
        <w:jc w:val="center"/>
        <w:textAlignment w:val="auto"/>
        <w:rPr>
          <w:rFonts w:ascii="宋体" w:hAnsi="宋体" w:eastAsia="方正小标宋_GBK" w:cs="方正小标宋_GBK"/>
          <w:color w:val="auto"/>
          <w:sz w:val="44"/>
          <w:szCs w:val="44"/>
        </w:rPr>
      </w:pPr>
      <w:r>
        <w:rPr>
          <w:rFonts w:hint="eastAsia" w:ascii="宋体" w:hAnsi="宋体" w:eastAsia="方正小标宋_GBK" w:cs="方正小标宋_GBK"/>
          <w:color w:val="auto"/>
          <w:sz w:val="44"/>
          <w:szCs w:val="44"/>
        </w:rPr>
        <w:t>（试行）</w:t>
      </w:r>
    </w:p>
    <w:p w14:paraId="0B4262C1">
      <w:pPr>
        <w:pageBreakBefore w:val="0"/>
        <w:kinsoku/>
        <w:wordWrap/>
        <w:overflowPunct/>
        <w:topLinePunct w:val="0"/>
        <w:autoSpaceDE/>
        <w:autoSpaceDN/>
        <w:bidi w:val="0"/>
        <w:adjustRightInd/>
        <w:snapToGrid/>
        <w:spacing w:before="0" w:after="0" w:line="600" w:lineRule="exact"/>
        <w:jc w:val="center"/>
        <w:textAlignment w:val="auto"/>
        <w:rPr>
          <w:rFonts w:ascii="宋体" w:hAnsi="宋体" w:eastAsia="方正楷体_GBK" w:cs="方正楷体_GBK"/>
          <w:color w:val="auto"/>
          <w:sz w:val="32"/>
          <w:szCs w:val="32"/>
        </w:rPr>
      </w:pPr>
      <w:r>
        <w:rPr>
          <w:rFonts w:hint="eastAsia" w:ascii="宋体" w:hAnsi="宋体" w:eastAsia="方正楷体_GBK" w:cs="方正楷体_GBK"/>
          <w:color w:val="auto"/>
          <w:sz w:val="32"/>
          <w:szCs w:val="32"/>
        </w:rPr>
        <w:t>（</w:t>
      </w:r>
      <w:r>
        <w:rPr>
          <w:rFonts w:hint="eastAsia" w:ascii="宋体" w:hAnsi="宋体" w:eastAsia="方正楷体_GBK" w:cs="方正楷体_GBK"/>
          <w:color w:val="auto"/>
          <w:sz w:val="32"/>
          <w:szCs w:val="32"/>
          <w:lang w:eastAsia="zh-CN"/>
        </w:rPr>
        <w:t>公开</w:t>
      </w:r>
      <w:r>
        <w:rPr>
          <w:rFonts w:hint="eastAsia" w:ascii="宋体" w:hAnsi="宋体" w:eastAsia="方正楷体_GBK" w:cs="方正楷体_GBK"/>
          <w:color w:val="auto"/>
          <w:sz w:val="32"/>
          <w:szCs w:val="32"/>
        </w:rPr>
        <w:t>征求意见稿）</w:t>
      </w:r>
    </w:p>
    <w:p w14:paraId="1430C3B7">
      <w:pPr>
        <w:pageBreakBefore w:val="0"/>
        <w:tabs>
          <w:tab w:val="center" w:pos="4213"/>
          <w:tab w:val="left" w:pos="6554"/>
        </w:tabs>
        <w:kinsoku/>
        <w:wordWrap/>
        <w:overflowPunct/>
        <w:topLinePunct w:val="0"/>
        <w:autoSpaceDE/>
        <w:autoSpaceDN/>
        <w:bidi w:val="0"/>
        <w:adjustRightInd/>
        <w:snapToGrid/>
        <w:spacing w:before="0" w:after="0" w:line="300" w:lineRule="exact"/>
        <w:jc w:val="center"/>
        <w:textAlignment w:val="auto"/>
        <w:rPr>
          <w:rFonts w:ascii="宋体" w:hAnsi="宋体" w:eastAsia="方正楷体_GBK" w:cs="方正楷体_GBK"/>
          <w:color w:val="auto"/>
          <w:sz w:val="32"/>
          <w:szCs w:val="32"/>
        </w:rPr>
      </w:pPr>
    </w:p>
    <w:p w14:paraId="177BD2D0">
      <w:pPr>
        <w:keepNext w:val="0"/>
        <w:keepLines w:val="0"/>
        <w:pageBreakBefore w:val="0"/>
        <w:widowControl w:val="0"/>
        <w:numPr>
          <w:ilvl w:val="0"/>
          <w:numId w:val="1"/>
        </w:numPr>
        <w:tabs>
          <w:tab w:val="left" w:pos="-399"/>
          <w:tab w:val="left" w:pos="0"/>
          <w:tab w:val="left" w:pos="26"/>
        </w:tabs>
        <w:kinsoku/>
        <w:wordWrap/>
        <w:overflowPunct w:val="0"/>
        <w:topLinePunct w:val="0"/>
        <w:autoSpaceDE/>
        <w:autoSpaceDN/>
        <w:bidi w:val="0"/>
        <w:adjustRightInd/>
        <w:snapToGrid/>
        <w:spacing w:before="0" w:after="0" w:line="594" w:lineRule="exact"/>
        <w:ind w:firstLine="200"/>
        <w:jc w:val="center"/>
        <w:textAlignment w:val="auto"/>
        <w:outlineLvl w:val="0"/>
        <w:rPr>
          <w:rFonts w:ascii="宋体" w:hAnsi="宋体" w:eastAsia="方正黑体_GBK" w:cs="Times New Roman"/>
          <w:b w:val="0"/>
          <w:color w:val="auto"/>
          <w:spacing w:val="6"/>
          <w:kern w:val="44"/>
          <w:sz w:val="32"/>
          <w:szCs w:val="15"/>
          <w:lang w:val="zh-CN" w:eastAsia="zh-CN" w:bidi="zh-CN"/>
        </w:rPr>
      </w:pPr>
      <w:bookmarkStart w:id="0" w:name="_Toc6853"/>
      <w:bookmarkStart w:id="1" w:name="_Toc1801"/>
      <w:bookmarkStart w:id="2" w:name="_Toc9834"/>
      <w:bookmarkStart w:id="3" w:name="_Toc12351"/>
      <w:bookmarkStart w:id="4" w:name="_Toc10826"/>
      <w:bookmarkStart w:id="5" w:name="_Toc27812"/>
      <w:bookmarkStart w:id="6" w:name="_Toc14163"/>
      <w:bookmarkStart w:id="7" w:name="_Toc19797"/>
      <w:bookmarkStart w:id="8" w:name="_Toc1949"/>
      <w:bookmarkStart w:id="9" w:name="_Toc31470"/>
      <w:bookmarkStart w:id="10" w:name="_Toc10408"/>
      <w:bookmarkStart w:id="11" w:name="_Toc5645"/>
      <w:bookmarkStart w:id="12" w:name="_Toc16964"/>
      <w:bookmarkStart w:id="13" w:name="_Toc7971"/>
      <w:bookmarkStart w:id="14" w:name="_Toc13567"/>
      <w:bookmarkStart w:id="15" w:name="_Toc5634"/>
      <w:bookmarkStart w:id="16" w:name="_Toc17476"/>
      <w:r>
        <w:rPr>
          <w:rFonts w:hint="eastAsia" w:ascii="宋体" w:hAnsi="宋体" w:eastAsia="方正黑体_GBK" w:cs="Times New Roman"/>
          <w:b w:val="0"/>
          <w:color w:val="auto"/>
          <w:spacing w:val="6"/>
          <w:kern w:val="44"/>
          <w:sz w:val="32"/>
          <w:szCs w:val="15"/>
          <w:lang w:val="en-US" w:eastAsia="zh-CN" w:bidi="zh-CN"/>
        </w:rPr>
        <w:t xml:space="preserve"> </w:t>
      </w:r>
      <w:r>
        <w:rPr>
          <w:rFonts w:hint="eastAsia" w:ascii="宋体" w:hAnsi="宋体" w:eastAsia="方正黑体_GBK" w:cs="Times New Roman"/>
          <w:b w:val="0"/>
          <w:color w:val="auto"/>
          <w:spacing w:val="6"/>
          <w:kern w:val="44"/>
          <w:sz w:val="32"/>
          <w:szCs w:val="15"/>
          <w:lang w:val="zh-CN" w:eastAsia="zh-CN" w:bidi="zh-CN"/>
        </w:rPr>
        <w:t>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1A60B18">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仿宋_GBK" w:cs="方正仿宋_GBK"/>
          <w:b/>
          <w:bCs/>
          <w:color w:val="auto"/>
          <w:kern w:val="2"/>
          <w:sz w:val="32"/>
          <w:szCs w:val="32"/>
          <w:lang w:val="en-US" w:eastAsia="zh-CN" w:bidi="ar-SA"/>
        </w:rPr>
      </w:pPr>
      <w:bookmarkStart w:id="17" w:name="_Toc16620"/>
      <w:bookmarkStart w:id="18" w:name="_Toc22220"/>
      <w:bookmarkStart w:id="19" w:name="_Toc30715"/>
      <w:bookmarkStart w:id="20" w:name="_Toc3155"/>
      <w:bookmarkStart w:id="21" w:name="_Toc18166"/>
      <w:bookmarkStart w:id="22" w:name="_Toc775"/>
      <w:bookmarkStart w:id="23" w:name="_Toc18484"/>
      <w:bookmarkStart w:id="24" w:name="_Toc30155"/>
      <w:bookmarkStart w:id="25" w:name="_Toc14272"/>
      <w:bookmarkStart w:id="26" w:name="_Toc31653"/>
      <w:bookmarkStart w:id="27" w:name="_Toc3190"/>
      <w:bookmarkStart w:id="28" w:name="_Toc20293"/>
      <w:bookmarkStart w:id="29" w:name="_Toc639"/>
      <w:bookmarkStart w:id="30" w:name="_Toc1266"/>
      <w:bookmarkStart w:id="31" w:name="_Toc15833"/>
      <w:bookmarkStart w:id="32" w:name="_Toc14840"/>
      <w:bookmarkStart w:id="33" w:name="_Toc23643"/>
      <w:r>
        <w:rPr>
          <w:rFonts w:hint="eastAsia" w:ascii="宋体" w:hAnsi="宋体" w:eastAsia="方正楷体_GBK" w:cs="Times New Roman"/>
          <w:b w:val="0"/>
          <w:bCs/>
          <w:color w:val="auto"/>
          <w:kern w:val="2"/>
          <w:sz w:val="32"/>
          <w:szCs w:val="32"/>
          <w:lang w:val="en-US" w:eastAsia="zh-CN" w:bidi="ar-SA"/>
        </w:rPr>
        <w:t>【目的和依据】</w:t>
      </w:r>
    </w:p>
    <w:p w14:paraId="06DA6DB8">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为加快推进公共数据资源开发利用，规范公共数据</w:t>
      </w:r>
      <w:r>
        <w:rPr>
          <w:rFonts w:hint="eastAsia" w:ascii="宋体" w:hAnsi="宋体" w:eastAsia="方正仿宋_GBK" w:cs="方正仿宋_GBK"/>
          <w:color w:val="auto"/>
          <w:sz w:val="32"/>
          <w:szCs w:val="32"/>
          <w:lang w:val="en-US" w:eastAsia="zh-CN"/>
        </w:rPr>
        <w:t>资源</w:t>
      </w:r>
      <w:r>
        <w:rPr>
          <w:rFonts w:hint="eastAsia" w:ascii="宋体" w:hAnsi="宋体" w:eastAsia="方正仿宋_GBK" w:cs="方正仿宋_GBK"/>
          <w:color w:val="auto"/>
          <w:sz w:val="32"/>
          <w:szCs w:val="32"/>
        </w:rPr>
        <w:t>授权运营，培育数据要素市场，更好发挥数据要素作用，根据《中华人民共和国数据安全法》《中华人民共和国个人信息保护法》等法律法规，按照</w:t>
      </w:r>
      <w:r>
        <w:rPr>
          <w:rFonts w:hint="eastAsia" w:ascii="宋体" w:hAnsi="宋体" w:eastAsia="方正仿宋_GBK" w:cs="Times New Roman"/>
          <w:color w:val="auto"/>
          <w:sz w:val="32"/>
        </w:rPr>
        <w:t>《中共中央办公厅 国务院办公厅关于加快公共数据资源开发利用的意见》《国家发展和改革委员会 国家数据局关于印发公共数据资源授权运营实施规范（试行）的通知》</w:t>
      </w:r>
      <w:r>
        <w:rPr>
          <w:rFonts w:hint="eastAsia" w:ascii="宋体" w:hAnsi="宋体" w:eastAsia="方正仿宋_GBK" w:cs="方正仿宋_GBK"/>
          <w:color w:val="auto"/>
          <w:sz w:val="32"/>
          <w:szCs w:val="32"/>
        </w:rPr>
        <w:t>等文件要求，结合云南省实际，制定本办法。</w:t>
      </w:r>
    </w:p>
    <w:p w14:paraId="6225BFC4">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总体要求</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hint="eastAsia" w:ascii="宋体" w:hAnsi="宋体" w:eastAsia="方正楷体_GBK" w:cs="Times New Roman"/>
          <w:b w:val="0"/>
          <w:bCs/>
          <w:color w:val="auto"/>
          <w:kern w:val="2"/>
          <w:sz w:val="32"/>
          <w:szCs w:val="32"/>
          <w:lang w:val="en-US" w:eastAsia="zh-CN" w:bidi="ar-SA"/>
        </w:rPr>
        <w:t>】</w:t>
      </w:r>
    </w:p>
    <w:p w14:paraId="581924CC">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公共数据资源授权运营遵循依法合规、公平公正、公益优先、合理收益、安全可控的原则。</w:t>
      </w:r>
      <w:r>
        <w:rPr>
          <w:rFonts w:hint="eastAsia" w:ascii="宋体" w:hAnsi="宋体" w:eastAsia="方正仿宋_GBK" w:cs="方正仿宋_GBK"/>
          <w:color w:val="auto"/>
          <w:kern w:val="0"/>
          <w:sz w:val="32"/>
          <w:szCs w:val="32"/>
          <w:lang w:bidi="ar"/>
        </w:rPr>
        <w:t>按照“原始数据不出域、数据可用不可见”的总体要求，推动公共数据有序流动利用。</w:t>
      </w:r>
    </w:p>
    <w:p w14:paraId="410C4BF7">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34" w:name="_Toc13454"/>
      <w:bookmarkStart w:id="35" w:name="_Toc27730"/>
      <w:bookmarkStart w:id="36" w:name="_Toc25001"/>
      <w:bookmarkStart w:id="37" w:name="_Toc26256"/>
      <w:bookmarkStart w:id="38" w:name="_Toc13127"/>
      <w:bookmarkStart w:id="39" w:name="_Toc15492"/>
      <w:bookmarkStart w:id="40" w:name="_Toc15204"/>
      <w:bookmarkStart w:id="41" w:name="_Toc29592"/>
      <w:bookmarkStart w:id="42" w:name="_Toc8793"/>
      <w:bookmarkStart w:id="43" w:name="_Toc847"/>
      <w:bookmarkStart w:id="44" w:name="_Toc22391"/>
      <w:bookmarkStart w:id="45" w:name="_Toc15574"/>
      <w:bookmarkStart w:id="46" w:name="_Toc17739"/>
      <w:bookmarkStart w:id="47" w:name="_Toc24432"/>
      <w:bookmarkStart w:id="48" w:name="_Toc28769"/>
      <w:bookmarkStart w:id="49" w:name="_Toc22502"/>
      <w:bookmarkStart w:id="50" w:name="_Toc6675"/>
      <w:r>
        <w:rPr>
          <w:rFonts w:hint="eastAsia" w:ascii="宋体" w:hAnsi="宋体" w:eastAsia="方正楷体_GBK" w:cs="Times New Roman"/>
          <w:b w:val="0"/>
          <w:bCs/>
          <w:color w:val="auto"/>
          <w:kern w:val="2"/>
          <w:sz w:val="32"/>
          <w:szCs w:val="32"/>
          <w:lang w:val="en-US" w:eastAsia="zh-CN" w:bidi="ar-SA"/>
        </w:rPr>
        <w:t>【</w:t>
      </w:r>
      <w:r>
        <w:rPr>
          <w:rFonts w:ascii="宋体" w:hAnsi="宋体" w:eastAsia="方正楷体_GBK" w:cs="Times New Roman"/>
          <w:b w:val="0"/>
          <w:bCs w:val="0"/>
          <w:color w:val="auto"/>
          <w:kern w:val="2"/>
          <w:sz w:val="32"/>
          <w:szCs w:val="22"/>
          <w:lang w:val="en-US" w:eastAsia="zh-CN" w:bidi="ar-SA"/>
        </w:rPr>
        <w:t>适用范围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宋体" w:hAnsi="宋体" w:eastAsia="方正楷体_GBK" w:cs="Times New Roman"/>
          <w:b w:val="0"/>
          <w:bCs/>
          <w:color w:val="auto"/>
          <w:kern w:val="2"/>
          <w:sz w:val="32"/>
          <w:szCs w:val="32"/>
          <w:lang w:val="en-US" w:eastAsia="zh-CN" w:bidi="ar-SA"/>
        </w:rPr>
        <w:t>】</w:t>
      </w:r>
    </w:p>
    <w:p w14:paraId="4B5FBD47">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本省行政区域内开展公共数据资源授权运营及其相关管理活动，适用本办法。</w:t>
      </w:r>
    </w:p>
    <w:p w14:paraId="26C3F916">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51" w:name="_Toc31034"/>
      <w:bookmarkStart w:id="52" w:name="_Toc13104"/>
      <w:bookmarkStart w:id="53" w:name="_Toc17241"/>
      <w:bookmarkStart w:id="54" w:name="_Toc1279"/>
      <w:bookmarkStart w:id="55" w:name="_Toc15102"/>
      <w:bookmarkStart w:id="56" w:name="_Toc16759"/>
      <w:bookmarkStart w:id="57" w:name="_Toc19886"/>
      <w:bookmarkStart w:id="58" w:name="_Toc19509"/>
      <w:bookmarkStart w:id="59" w:name="_Toc32736"/>
      <w:bookmarkStart w:id="60" w:name="_Toc689"/>
      <w:bookmarkStart w:id="61" w:name="_Toc17320"/>
      <w:bookmarkStart w:id="62" w:name="_Toc3273"/>
      <w:bookmarkStart w:id="63" w:name="_Toc1820"/>
      <w:bookmarkStart w:id="64" w:name="_Toc347"/>
      <w:bookmarkStart w:id="65" w:name="_Toc22775"/>
      <w:bookmarkStart w:id="66" w:name="_Toc2508"/>
      <w:bookmarkStart w:id="67" w:name="_Toc16928"/>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术语定义</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宋体" w:hAnsi="宋体" w:eastAsia="方正楷体_GBK" w:cs="Times New Roman"/>
          <w:b w:val="0"/>
          <w:bCs/>
          <w:color w:val="auto"/>
          <w:kern w:val="2"/>
          <w:sz w:val="32"/>
          <w:szCs w:val="32"/>
          <w:lang w:val="en-US" w:eastAsia="zh-CN" w:bidi="ar-SA"/>
        </w:rPr>
        <w:t>】</w:t>
      </w:r>
    </w:p>
    <w:p w14:paraId="40D0E943">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公共数据资源，</w:t>
      </w:r>
      <w:r>
        <w:rPr>
          <w:rFonts w:hint="eastAsia" w:ascii="宋体" w:hAnsi="宋体" w:eastAsia="方正仿宋_GBK" w:cs="方正仿宋_GBK"/>
          <w:color w:val="auto"/>
          <w:sz w:val="32"/>
          <w:szCs w:val="32"/>
        </w:rPr>
        <w:t>是指各级党政机关、企事业单位依法履职或提供公共服务过程中产生的具有利用价值的数据集合。</w:t>
      </w:r>
    </w:p>
    <w:p w14:paraId="04535771">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授权运营，是指将县级以上地方各级人民政府持有的公共数据资源，按照法律法规和相关要求，授权符合条件的运营机构进行治理、开发，并面向市场公平提供数据产品和服务的活动。</w:t>
      </w:r>
    </w:p>
    <w:p w14:paraId="2D327176">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实施机构，是指具体</w:t>
      </w:r>
      <w:r>
        <w:rPr>
          <w:rFonts w:hint="eastAsia" w:ascii="宋体" w:hAnsi="宋体" w:eastAsia="方正仿宋_GBK" w:cs="方正仿宋_GBK"/>
          <w:color w:val="auto"/>
          <w:kern w:val="0"/>
          <w:sz w:val="32"/>
          <w:szCs w:val="32"/>
          <w:lang w:bidi="ar"/>
        </w:rPr>
        <w:t>负责组织开展授权运营活动的单位。</w:t>
      </w:r>
    </w:p>
    <w:p w14:paraId="438171A8">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Times New Roman"/>
          <w:color w:val="auto"/>
          <w:sz w:val="32"/>
        </w:rPr>
      </w:pPr>
      <w:r>
        <w:rPr>
          <w:rFonts w:hint="eastAsia" w:ascii="宋体" w:hAnsi="宋体" w:eastAsia="方正仿宋_GBK" w:cs="方正仿宋_GBK"/>
          <w:color w:val="auto"/>
          <w:sz w:val="32"/>
          <w:szCs w:val="32"/>
        </w:rPr>
        <w:t>运营机构，是指按照规范程序获得授权，</w:t>
      </w:r>
      <w:r>
        <w:rPr>
          <w:rFonts w:hint="eastAsia" w:ascii="宋体" w:hAnsi="宋体" w:eastAsia="方正仿宋_GBK" w:cs="Times New Roman"/>
          <w:color w:val="auto"/>
          <w:sz w:val="32"/>
        </w:rPr>
        <w:t>承担公共数据</w:t>
      </w:r>
      <w:r>
        <w:rPr>
          <w:rFonts w:hint="eastAsia" w:ascii="宋体" w:hAnsi="宋体" w:eastAsia="方正仿宋_GBK" w:cs="Times New Roman"/>
          <w:color w:val="auto"/>
          <w:sz w:val="32"/>
          <w:lang w:val="en-US" w:eastAsia="zh-CN"/>
        </w:rPr>
        <w:t>资源</w:t>
      </w:r>
      <w:r>
        <w:rPr>
          <w:rFonts w:hint="eastAsia" w:ascii="宋体" w:hAnsi="宋体" w:eastAsia="方正仿宋_GBK" w:cs="Times New Roman"/>
          <w:color w:val="auto"/>
          <w:sz w:val="32"/>
        </w:rPr>
        <w:t>授权运营，负责数据加工处理、开发利用管理、服务能力支撑、市场生态培育和安全保障等工作</w:t>
      </w:r>
      <w:r>
        <w:rPr>
          <w:rFonts w:hint="eastAsia" w:ascii="宋体" w:hAnsi="宋体" w:eastAsia="方正仿宋_GBK" w:cs="方正仿宋_GBK"/>
          <w:color w:val="auto"/>
          <w:kern w:val="0"/>
          <w:sz w:val="32"/>
          <w:szCs w:val="32"/>
          <w:lang w:bidi="ar"/>
        </w:rPr>
        <w:t>的法人组织</w:t>
      </w:r>
      <w:r>
        <w:rPr>
          <w:rFonts w:hint="eastAsia" w:ascii="宋体" w:hAnsi="宋体" w:eastAsia="方正仿宋_GBK" w:cs="方正仿宋_GBK"/>
          <w:color w:val="auto"/>
          <w:sz w:val="32"/>
          <w:szCs w:val="32"/>
        </w:rPr>
        <w:t>。</w:t>
      </w:r>
    </w:p>
    <w:p w14:paraId="19A36EC6">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开发主体，是指</w:t>
      </w:r>
      <w:r>
        <w:rPr>
          <w:rFonts w:hint="eastAsia" w:ascii="宋体" w:hAnsi="宋体" w:eastAsia="方正仿宋_GBK" w:cs="方正仿宋_GBK"/>
          <w:color w:val="auto"/>
          <w:kern w:val="0"/>
          <w:sz w:val="32"/>
          <w:szCs w:val="32"/>
          <w:lang w:bidi="ar"/>
        </w:rPr>
        <w:t>依应用场景</w:t>
      </w:r>
      <w:r>
        <w:rPr>
          <w:rFonts w:hint="eastAsia" w:ascii="宋体" w:hAnsi="宋体" w:eastAsia="方正仿宋_GBK" w:cs="方正仿宋_GBK"/>
          <w:color w:val="auto"/>
          <w:sz w:val="32"/>
          <w:szCs w:val="32"/>
        </w:rPr>
        <w:t>对运营机构交付的公共数据产品和服务进行再开发，</w:t>
      </w:r>
      <w:r>
        <w:rPr>
          <w:rFonts w:hint="eastAsia" w:ascii="宋体" w:hAnsi="宋体" w:eastAsia="方正仿宋_GBK" w:cs="方正仿宋_GBK"/>
          <w:color w:val="auto"/>
          <w:kern w:val="0"/>
          <w:sz w:val="32"/>
          <w:szCs w:val="32"/>
          <w:lang w:bidi="ar"/>
        </w:rPr>
        <w:t>满足市场化需求的法人组织。</w:t>
      </w:r>
    </w:p>
    <w:p w14:paraId="450261F4">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数据产品及服务，是指利用公共数据资源加工形成的脱敏数据集、数据接口、数据组件、数据模型、数据报告等。</w:t>
      </w:r>
    </w:p>
    <w:p w14:paraId="46CB999B">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68" w:name="_Toc730"/>
      <w:bookmarkStart w:id="69" w:name="_Toc320"/>
      <w:bookmarkStart w:id="70" w:name="_Toc31146"/>
      <w:bookmarkStart w:id="71" w:name="_Toc6614"/>
      <w:bookmarkStart w:id="72" w:name="_Toc31760"/>
      <w:bookmarkStart w:id="73" w:name="_Toc8839"/>
      <w:bookmarkStart w:id="74" w:name="_Toc20701"/>
      <w:bookmarkStart w:id="75" w:name="_Toc2217"/>
      <w:bookmarkStart w:id="76" w:name="_Toc8028"/>
      <w:bookmarkStart w:id="77" w:name="_Toc24560"/>
      <w:bookmarkStart w:id="78" w:name="_Toc16827"/>
      <w:bookmarkStart w:id="79" w:name="_Toc7066"/>
      <w:bookmarkStart w:id="80" w:name="_Toc17275"/>
      <w:bookmarkStart w:id="81" w:name="_Toc12133"/>
      <w:bookmarkStart w:id="82" w:name="_Toc14838"/>
      <w:bookmarkStart w:id="83" w:name="_Toc16943"/>
      <w:bookmarkStart w:id="84" w:name="_Toc20139"/>
      <w:r>
        <w:rPr>
          <w:rFonts w:hint="eastAsia" w:ascii="宋体" w:hAnsi="宋体" w:eastAsia="方正楷体_GBK" w:cs="Times New Roman"/>
          <w:b w:val="0"/>
          <w:bCs/>
          <w:color w:val="auto"/>
          <w:kern w:val="2"/>
          <w:sz w:val="32"/>
          <w:szCs w:val="32"/>
          <w:lang w:val="en-US" w:eastAsia="zh-CN" w:bidi="ar-SA"/>
        </w:rPr>
        <w: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eastAsia="方正楷体_GBK" w:cs="Times New Roman"/>
          <w:b w:val="0"/>
          <w:bCs w:val="0"/>
          <w:color w:val="auto"/>
          <w:kern w:val="2"/>
          <w:sz w:val="32"/>
          <w:szCs w:val="22"/>
          <w:lang w:val="en-US" w:eastAsia="zh-CN" w:bidi="ar-SA"/>
        </w:rPr>
        <w:t>职责分工</w:t>
      </w:r>
      <w:r>
        <w:rPr>
          <w:rFonts w:hint="eastAsia" w:ascii="宋体" w:hAnsi="宋体" w:eastAsia="方正楷体_GBK" w:cs="Times New Roman"/>
          <w:b w:val="0"/>
          <w:bCs/>
          <w:color w:val="auto"/>
          <w:kern w:val="2"/>
          <w:sz w:val="32"/>
          <w:szCs w:val="32"/>
          <w:lang w:val="en-US" w:eastAsia="zh-CN" w:bidi="ar-SA"/>
        </w:rPr>
        <w:t>】</w:t>
      </w:r>
    </w:p>
    <w:p w14:paraId="03B1CB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Times New Roman"/>
          <w:color w:val="auto"/>
          <w:kern w:val="0"/>
          <w:sz w:val="32"/>
          <w:szCs w:val="24"/>
          <w:lang w:val="en-US" w:eastAsia="zh-CN" w:bidi="ar-SA"/>
        </w:rPr>
        <w:t>省数据局</w:t>
      </w:r>
      <w:r>
        <w:rPr>
          <w:rFonts w:hint="eastAsia" w:ascii="宋体" w:hAnsi="宋体" w:eastAsia="方正仿宋_GBK" w:cs="Times New Roman"/>
          <w:strike w:val="0"/>
          <w:dstrike w:val="0"/>
          <w:color w:val="auto"/>
          <w:kern w:val="0"/>
          <w:sz w:val="32"/>
          <w:szCs w:val="24"/>
          <w:lang w:val="en-US" w:eastAsia="zh-CN" w:bidi="ar-SA"/>
        </w:rPr>
        <w:t>负责</w:t>
      </w:r>
      <w:r>
        <w:rPr>
          <w:rFonts w:hint="eastAsia" w:ascii="宋体" w:hAnsi="宋体" w:eastAsia="方正仿宋_GBK" w:cs="Times New Roman"/>
          <w:color w:val="auto"/>
          <w:kern w:val="0"/>
          <w:sz w:val="32"/>
          <w:szCs w:val="24"/>
          <w:lang w:val="en-US" w:eastAsia="zh-CN" w:bidi="ar-SA"/>
        </w:rPr>
        <w:t>健全完善公共数据资源授权运营相关政策、管理制度和标准规范，指导、监督全省公共数据资源授权运营管理工作。</w:t>
      </w:r>
      <w:r>
        <w:rPr>
          <w:rFonts w:hint="eastAsia" w:ascii="宋体" w:hAnsi="宋体" w:eastAsia="方正仿宋_GBK" w:cs="方正仿宋_GBK"/>
          <w:color w:val="auto"/>
          <w:kern w:val="2"/>
          <w:sz w:val="32"/>
          <w:szCs w:val="32"/>
          <w:lang w:val="en-US" w:eastAsia="zh-CN" w:bidi="ar-SA"/>
        </w:rPr>
        <w:t>云南省数据发展促进中心为省级实施机构，具体负责组织开展省级公共数据资源授权运营工作。</w:t>
      </w:r>
    </w:p>
    <w:p w14:paraId="44CD39FB">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Times New Roman"/>
          <w:color w:val="auto"/>
          <w:sz w:val="32"/>
        </w:rPr>
      </w:pPr>
      <w:r>
        <w:rPr>
          <w:rFonts w:hint="eastAsia" w:ascii="宋体" w:hAnsi="宋体" w:eastAsia="方正仿宋_GBK" w:cs="Times New Roman"/>
          <w:color w:val="auto"/>
          <w:sz w:val="32"/>
        </w:rPr>
        <w:t>州（市）数据</w:t>
      </w:r>
      <w:r>
        <w:rPr>
          <w:rFonts w:hint="eastAsia" w:ascii="宋体" w:hAnsi="宋体" w:eastAsia="方正仿宋_GBK" w:cs="Times New Roman"/>
          <w:strike w:val="0"/>
          <w:dstrike w:val="0"/>
          <w:color w:val="auto"/>
          <w:sz w:val="32"/>
          <w:lang w:val="en-US" w:eastAsia="zh-CN"/>
        </w:rPr>
        <w:t>主管</w:t>
      </w:r>
      <w:r>
        <w:rPr>
          <w:rFonts w:hint="eastAsia" w:ascii="宋体" w:hAnsi="宋体" w:eastAsia="方正仿宋_GBK" w:cs="Times New Roman"/>
          <w:color w:val="auto"/>
          <w:sz w:val="32"/>
        </w:rPr>
        <w:t>部门</w:t>
      </w:r>
      <w:r>
        <w:rPr>
          <w:rFonts w:hint="default" w:ascii="宋体" w:hAnsi="宋体" w:eastAsia="方正仿宋_GBK" w:cs="方正仿宋_GBK"/>
          <w:color w:val="auto"/>
          <w:kern w:val="0"/>
          <w:sz w:val="32"/>
          <w:szCs w:val="32"/>
          <w:lang w:val="en-US" w:bidi="ar"/>
        </w:rPr>
        <w:t>负责</w:t>
      </w:r>
      <w:r>
        <w:rPr>
          <w:rFonts w:hint="eastAsia" w:ascii="宋体" w:hAnsi="宋体" w:eastAsia="方正仿宋_GBK" w:cs="方正仿宋_GBK"/>
          <w:color w:val="auto"/>
          <w:sz w:val="32"/>
          <w:szCs w:val="32"/>
          <w:lang w:val="en-US" w:eastAsia="zh-CN"/>
        </w:rPr>
        <w:t>统筹</w:t>
      </w:r>
      <w:r>
        <w:rPr>
          <w:rFonts w:hint="eastAsia" w:ascii="宋体" w:hAnsi="宋体" w:eastAsia="方正仿宋_GBK" w:cs="方正仿宋_GBK"/>
          <w:color w:val="auto"/>
          <w:kern w:val="0"/>
          <w:sz w:val="32"/>
          <w:szCs w:val="32"/>
          <w:lang w:bidi="ar"/>
        </w:rPr>
        <w:t>本行政区域内公共数据资源授权运营工作</w:t>
      </w:r>
      <w:r>
        <w:rPr>
          <w:rFonts w:hint="eastAsia" w:ascii="宋体" w:hAnsi="宋体" w:eastAsia="方正仿宋_GBK" w:cs="Times New Roman"/>
          <w:color w:val="auto"/>
          <w:sz w:val="32"/>
        </w:rPr>
        <w:t>。</w:t>
      </w:r>
    </w:p>
    <w:p w14:paraId="508EEE00">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Times New Roman"/>
          <w:color w:val="auto"/>
          <w:sz w:val="32"/>
        </w:rPr>
      </w:pPr>
      <w:r>
        <w:rPr>
          <w:rFonts w:hint="eastAsia" w:ascii="宋体" w:hAnsi="宋体" w:eastAsia="方正仿宋_GBK" w:cs="Times New Roman"/>
          <w:color w:val="auto"/>
          <w:sz w:val="32"/>
        </w:rPr>
        <w:t>行业主管部门作为</w:t>
      </w:r>
      <w:r>
        <w:rPr>
          <w:rFonts w:hint="eastAsia" w:ascii="宋体" w:hAnsi="宋体" w:eastAsia="方正仿宋_GBK" w:cs="Times New Roman"/>
          <w:color w:val="auto"/>
          <w:sz w:val="32"/>
          <w:lang w:eastAsia="zh-CN"/>
        </w:rPr>
        <w:t>数据提供单位</w:t>
      </w:r>
      <w:r>
        <w:rPr>
          <w:rFonts w:hint="eastAsia" w:ascii="宋体" w:hAnsi="宋体" w:eastAsia="方正仿宋_GBK" w:cs="Times New Roman"/>
          <w:color w:val="auto"/>
          <w:sz w:val="32"/>
        </w:rPr>
        <w:t>，负责做好本部门、本行业公共数据资源目录编制、公共数据资源汇聚、数据质量管理等相关工作，</w:t>
      </w:r>
      <w:r>
        <w:rPr>
          <w:rFonts w:hint="eastAsia" w:ascii="宋体" w:hAnsi="宋体" w:eastAsia="方正仿宋_GBK" w:cs="方正仿宋_GBK"/>
          <w:color w:val="auto"/>
          <w:sz w:val="32"/>
          <w:szCs w:val="32"/>
          <w:lang w:val="en-US" w:eastAsia="zh-CN"/>
        </w:rPr>
        <w:t>通过全省一体化公共数据平台</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highlight w:val="none"/>
        </w:rPr>
        <w:t>以下简称公共数据平台）</w:t>
      </w:r>
      <w:r>
        <w:rPr>
          <w:rFonts w:hint="eastAsia" w:ascii="宋体" w:hAnsi="宋体" w:eastAsia="方正仿宋_GBK" w:cs="Times New Roman"/>
          <w:color w:val="auto"/>
          <w:sz w:val="32"/>
          <w:highlight w:val="none"/>
        </w:rPr>
        <w:t>向</w:t>
      </w:r>
      <w:r>
        <w:rPr>
          <w:rFonts w:hint="eastAsia" w:ascii="宋体" w:hAnsi="宋体" w:eastAsia="方正仿宋_GBK" w:cs="Times New Roman"/>
          <w:color w:val="auto"/>
          <w:sz w:val="32"/>
        </w:rPr>
        <w:t>数据</w:t>
      </w:r>
      <w:r>
        <w:rPr>
          <w:rFonts w:hint="eastAsia" w:ascii="宋体" w:hAnsi="宋体" w:eastAsia="方正仿宋_GBK" w:cs="Times New Roman"/>
          <w:strike w:val="0"/>
          <w:dstrike w:val="0"/>
          <w:color w:val="auto"/>
          <w:sz w:val="32"/>
          <w:lang w:val="en-US" w:eastAsia="zh-CN"/>
        </w:rPr>
        <w:t>主管</w:t>
      </w:r>
      <w:r>
        <w:rPr>
          <w:rFonts w:hint="eastAsia" w:ascii="宋体" w:hAnsi="宋体" w:eastAsia="方正仿宋_GBK" w:cs="Times New Roman"/>
          <w:color w:val="auto"/>
          <w:sz w:val="32"/>
        </w:rPr>
        <w:t>部门</w:t>
      </w:r>
      <w:r>
        <w:rPr>
          <w:rFonts w:hint="eastAsia" w:ascii="宋体" w:hAnsi="宋体" w:eastAsia="方正仿宋_GBK" w:cs="Times New Roman"/>
          <w:color w:val="auto"/>
          <w:sz w:val="32"/>
          <w:highlight w:val="none"/>
          <w:lang w:val="en-US" w:eastAsia="zh-CN"/>
        </w:rPr>
        <w:t>提供</w:t>
      </w:r>
      <w:r>
        <w:rPr>
          <w:rFonts w:hint="eastAsia" w:ascii="宋体" w:hAnsi="宋体" w:eastAsia="方正仿宋_GBK" w:cs="Times New Roman"/>
          <w:color w:val="auto"/>
          <w:sz w:val="32"/>
          <w:highlight w:val="none"/>
        </w:rPr>
        <w:t>本行业数据，</w:t>
      </w:r>
      <w:r>
        <w:rPr>
          <w:rFonts w:hint="eastAsia" w:ascii="宋体" w:hAnsi="宋体" w:eastAsia="方正仿宋_GBK" w:cs="Times New Roman"/>
          <w:color w:val="auto"/>
          <w:sz w:val="32"/>
        </w:rPr>
        <w:t>确保数据的真实性、准确性、完整性和时效性。对</w:t>
      </w:r>
      <w:r>
        <w:rPr>
          <w:rFonts w:hint="eastAsia" w:ascii="宋体" w:hAnsi="宋体" w:eastAsia="方正仿宋_GBK" w:cs="Times New Roman"/>
          <w:color w:val="auto"/>
          <w:sz w:val="32"/>
          <w:szCs w:val="20"/>
        </w:rPr>
        <w:t>涉及个人信息的公共数据资源，明确</w:t>
      </w:r>
      <w:r>
        <w:rPr>
          <w:rFonts w:hint="eastAsia" w:ascii="宋体" w:hAnsi="宋体" w:eastAsia="方正仿宋_GBK" w:cs="Times New Roman"/>
          <w:color w:val="auto"/>
          <w:sz w:val="32"/>
        </w:rPr>
        <w:t>授权运营的限制性场景或使用要求。协同推动涉及本部门本行业的公共数据资源授权运营。</w:t>
      </w:r>
    </w:p>
    <w:p w14:paraId="4A1C9EE4">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Times New Roman"/>
          <w:color w:val="auto"/>
          <w:sz w:val="32"/>
        </w:rPr>
      </w:pPr>
      <w:r>
        <w:rPr>
          <w:rFonts w:hint="eastAsia" w:ascii="宋体" w:hAnsi="宋体" w:eastAsia="方正仿宋_GBK" w:cs="Times New Roman"/>
          <w:color w:val="auto"/>
          <w:sz w:val="32"/>
        </w:rPr>
        <w:t>省发展改革</w:t>
      </w:r>
      <w:r>
        <w:rPr>
          <w:rFonts w:hint="eastAsia" w:ascii="宋体" w:hAnsi="宋体" w:eastAsia="方正仿宋_GBK" w:cs="Times New Roman"/>
          <w:color w:val="auto"/>
          <w:sz w:val="32"/>
          <w:lang w:eastAsia="zh-CN"/>
        </w:rPr>
        <w:t>部门</w:t>
      </w:r>
      <w:r>
        <w:rPr>
          <w:rFonts w:hint="eastAsia" w:ascii="宋体" w:hAnsi="宋体" w:eastAsia="方正仿宋_GBK" w:cs="Times New Roman"/>
          <w:color w:val="auto"/>
          <w:sz w:val="32"/>
        </w:rPr>
        <w:t>会同数据</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财政及相关行业主管部门</w:t>
      </w:r>
      <w:r>
        <w:rPr>
          <w:rFonts w:hint="eastAsia" w:ascii="宋体" w:hAnsi="宋体" w:eastAsia="方正仿宋_GBK" w:cs="Times New Roman"/>
          <w:color w:val="auto"/>
          <w:sz w:val="32"/>
        </w:rPr>
        <w:t>，建立健全公共数据产品和服务定价及收益分配机制。</w:t>
      </w:r>
    </w:p>
    <w:p w14:paraId="71CDE711">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Times New Roman"/>
          <w:color w:val="auto"/>
          <w:sz w:val="32"/>
        </w:rPr>
      </w:pPr>
      <w:r>
        <w:rPr>
          <w:rFonts w:hint="eastAsia" w:ascii="宋体" w:hAnsi="宋体" w:eastAsia="方正仿宋_GBK" w:cs="Times New Roman"/>
          <w:color w:val="auto"/>
          <w:sz w:val="32"/>
        </w:rPr>
        <w:t>财政部门负责公共数据资产的综合管理工作。</w:t>
      </w:r>
    </w:p>
    <w:p w14:paraId="660DD7CA">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Times New Roman"/>
          <w:color w:val="auto"/>
          <w:sz w:val="32"/>
        </w:rPr>
      </w:pPr>
      <w:r>
        <w:rPr>
          <w:rFonts w:hint="eastAsia" w:ascii="宋体" w:hAnsi="宋体" w:eastAsia="方正仿宋_GBK" w:cs="Times New Roman"/>
          <w:color w:val="auto"/>
          <w:sz w:val="32"/>
        </w:rPr>
        <w:t>发展改革、财政、市场</w:t>
      </w:r>
      <w:r>
        <w:rPr>
          <w:rFonts w:hint="eastAsia" w:ascii="宋体" w:hAnsi="宋体" w:eastAsia="方正仿宋_GBK" w:cs="方正仿宋_GBK"/>
          <w:color w:val="auto"/>
          <w:sz w:val="32"/>
          <w:szCs w:val="32"/>
        </w:rPr>
        <w:t>监管、税务</w:t>
      </w:r>
      <w:r>
        <w:rPr>
          <w:rFonts w:hint="eastAsia" w:ascii="宋体" w:hAnsi="宋体" w:eastAsia="方正仿宋_GBK" w:cs="方正仿宋_GBK"/>
          <w:color w:val="auto"/>
          <w:sz w:val="32"/>
          <w:szCs w:val="32"/>
          <w:lang w:eastAsia="zh-CN"/>
        </w:rPr>
        <w:t>、审计、金融监管</w:t>
      </w:r>
      <w:r>
        <w:rPr>
          <w:rFonts w:hint="eastAsia" w:ascii="宋体" w:hAnsi="宋体" w:eastAsia="方正仿宋_GBK" w:cs="方正仿宋_GBK"/>
          <w:color w:val="auto"/>
          <w:sz w:val="32"/>
          <w:szCs w:val="32"/>
        </w:rPr>
        <w:t>等部门负责按照各自职责，</w:t>
      </w:r>
      <w:r>
        <w:rPr>
          <w:rFonts w:hint="eastAsia" w:ascii="宋体" w:hAnsi="宋体" w:eastAsia="方正仿宋_GBK" w:cs="Times New Roman"/>
          <w:color w:val="auto"/>
          <w:sz w:val="32"/>
        </w:rPr>
        <w:t>做好公共数据资源授权运营的相关业务监管工作。</w:t>
      </w:r>
    </w:p>
    <w:p w14:paraId="6A7ACAB1">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Times New Roman"/>
          <w:color w:val="auto"/>
          <w:sz w:val="32"/>
        </w:rPr>
      </w:pPr>
      <w:r>
        <w:rPr>
          <w:rFonts w:hint="eastAsia" w:ascii="宋体" w:hAnsi="宋体" w:eastAsia="方正仿宋_GBK" w:cs="Times New Roman"/>
          <w:color w:val="auto"/>
          <w:sz w:val="32"/>
        </w:rPr>
        <w:t>网信、公安、国家安全、保密等部门按照各自职责，做好公共数据资源授权运营的安全监管工作。</w:t>
      </w:r>
    </w:p>
    <w:p w14:paraId="234DB952">
      <w:pPr>
        <w:keepNext w:val="0"/>
        <w:keepLines w:val="0"/>
        <w:pageBreakBefore w:val="0"/>
        <w:widowControl w:val="0"/>
        <w:numPr>
          <w:ilvl w:val="0"/>
          <w:numId w:val="1"/>
        </w:numPr>
        <w:kinsoku/>
        <w:wordWrap/>
        <w:overflowPunct w:val="0"/>
        <w:topLinePunct w:val="0"/>
        <w:autoSpaceDE/>
        <w:autoSpaceDN/>
        <w:bidi w:val="0"/>
        <w:adjustRightInd/>
        <w:snapToGrid/>
        <w:spacing w:before="0" w:after="0" w:line="594" w:lineRule="exact"/>
        <w:ind w:firstLine="200"/>
        <w:jc w:val="center"/>
        <w:textAlignment w:val="auto"/>
        <w:outlineLvl w:val="0"/>
        <w:rPr>
          <w:rFonts w:hint="eastAsia" w:ascii="宋体" w:hAnsi="宋体" w:eastAsia="方正黑体_GBK" w:cs="Times New Roman"/>
          <w:b w:val="0"/>
          <w:color w:val="auto"/>
          <w:spacing w:val="6"/>
          <w:kern w:val="44"/>
          <w:sz w:val="32"/>
          <w:szCs w:val="15"/>
          <w:lang w:val="zh-CN" w:eastAsia="zh-CN" w:bidi="zh-CN"/>
        </w:rPr>
      </w:pPr>
      <w:bookmarkStart w:id="85" w:name="_Toc23713"/>
      <w:bookmarkStart w:id="86" w:name="_Toc2275"/>
      <w:bookmarkStart w:id="87" w:name="_Toc31063"/>
      <w:bookmarkStart w:id="88" w:name="_Toc1162"/>
      <w:bookmarkStart w:id="89" w:name="_Toc6446"/>
      <w:bookmarkStart w:id="90" w:name="_Toc15785"/>
      <w:bookmarkStart w:id="91" w:name="_Toc10078"/>
      <w:bookmarkStart w:id="92" w:name="_Toc8163"/>
      <w:bookmarkStart w:id="93" w:name="_Toc11752"/>
      <w:bookmarkStart w:id="94" w:name="_Toc1393"/>
      <w:bookmarkStart w:id="95" w:name="_Toc29729"/>
      <w:bookmarkStart w:id="96" w:name="_Toc26050"/>
      <w:bookmarkStart w:id="97" w:name="_Toc27950"/>
      <w:bookmarkStart w:id="98" w:name="_Toc6363"/>
      <w:bookmarkStart w:id="99" w:name="_Toc14320"/>
      <w:bookmarkStart w:id="100" w:name="_Toc31626"/>
      <w:bookmarkStart w:id="101" w:name="_Toc1479"/>
      <w:r>
        <w:rPr>
          <w:rFonts w:hint="eastAsia" w:ascii="宋体" w:hAnsi="宋体" w:eastAsia="方正黑体_GBK" w:cs="Times New Roman"/>
          <w:b w:val="0"/>
          <w:color w:val="auto"/>
          <w:spacing w:val="6"/>
          <w:kern w:val="44"/>
          <w:sz w:val="32"/>
          <w:szCs w:val="15"/>
          <w:lang w:val="zh-CN" w:eastAsia="zh-CN" w:bidi="zh-CN"/>
        </w:rPr>
        <w:t xml:space="preserve"> 授权管理</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C016488">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102" w:name="_Toc182"/>
      <w:bookmarkStart w:id="103" w:name="_Toc29492"/>
      <w:bookmarkStart w:id="104" w:name="_Toc4966"/>
      <w:bookmarkStart w:id="105" w:name="_Toc26705"/>
      <w:bookmarkStart w:id="106" w:name="_Toc21915"/>
      <w:bookmarkStart w:id="107" w:name="_Toc4717"/>
      <w:bookmarkStart w:id="108" w:name="_Toc5264"/>
      <w:bookmarkStart w:id="109" w:name="_Toc10707"/>
      <w:bookmarkStart w:id="110" w:name="_Toc16859"/>
      <w:bookmarkStart w:id="111" w:name="_Toc54"/>
      <w:bookmarkStart w:id="112" w:name="_Toc3406"/>
      <w:bookmarkStart w:id="113" w:name="_Toc23654"/>
      <w:bookmarkStart w:id="114" w:name="_Toc16226"/>
      <w:bookmarkStart w:id="115" w:name="_Toc5074"/>
      <w:bookmarkStart w:id="116" w:name="_Toc26635"/>
      <w:bookmarkStart w:id="117" w:name="_Toc2226"/>
      <w:bookmarkStart w:id="118" w:name="_Toc11258"/>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授权运营模式</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宋体" w:hAnsi="宋体" w:eastAsia="方正楷体_GBK" w:cs="Times New Roman"/>
          <w:b w:val="0"/>
          <w:bCs/>
          <w:color w:val="auto"/>
          <w:kern w:val="2"/>
          <w:sz w:val="32"/>
          <w:szCs w:val="32"/>
          <w:lang w:val="en-US" w:eastAsia="zh-CN" w:bidi="ar-SA"/>
        </w:rPr>
        <w:t>】</w:t>
      </w:r>
    </w:p>
    <w:p w14:paraId="62C4737B">
      <w:pPr>
        <w:pageBreakBefore w:val="0"/>
        <w:kinsoku/>
        <w:wordWrap/>
        <w:overflowPunct w:val="0"/>
        <w:topLinePunct w:val="0"/>
        <w:autoSpaceDE/>
        <w:autoSpaceDN/>
        <w:bidi w:val="0"/>
        <w:adjustRightInd/>
        <w:snapToGrid/>
        <w:spacing w:before="0" w:after="0" w:line="594" w:lineRule="exact"/>
        <w:ind w:firstLine="640" w:firstLineChars="200"/>
        <w:jc w:val="left"/>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公共数据资源授权运营</w:t>
      </w:r>
      <w:r>
        <w:rPr>
          <w:rFonts w:hint="eastAsia" w:ascii="宋体" w:hAnsi="宋体" w:eastAsia="方正仿宋_GBK" w:cs="方正仿宋_GBK"/>
          <w:color w:val="auto"/>
          <w:sz w:val="32"/>
          <w:szCs w:val="32"/>
          <w:lang w:val="en-US" w:eastAsia="zh-CN"/>
        </w:rPr>
        <w:t>以</w:t>
      </w:r>
      <w:r>
        <w:rPr>
          <w:rFonts w:hint="eastAsia" w:ascii="宋体" w:hAnsi="宋体" w:eastAsia="方正仿宋_GBK" w:cs="方正仿宋_GBK"/>
          <w:color w:val="auto"/>
          <w:sz w:val="32"/>
          <w:szCs w:val="32"/>
        </w:rPr>
        <w:t>整体授权</w:t>
      </w:r>
      <w:r>
        <w:rPr>
          <w:rFonts w:hint="eastAsia" w:ascii="宋体" w:hAnsi="宋体" w:eastAsia="方正仿宋_GBK" w:cs="方正仿宋_GBK"/>
          <w:color w:val="auto"/>
          <w:sz w:val="32"/>
          <w:szCs w:val="32"/>
          <w:lang w:val="en-US" w:eastAsia="zh-CN"/>
        </w:rPr>
        <w:t>为主</w:t>
      </w:r>
      <w:r>
        <w:rPr>
          <w:rFonts w:hint="eastAsia" w:ascii="宋体" w:hAnsi="宋体" w:eastAsia="方正仿宋_GBK" w:cs="方正仿宋_GBK"/>
          <w:color w:val="auto"/>
          <w:sz w:val="32"/>
          <w:szCs w:val="32"/>
        </w:rPr>
        <w:t>，由实施机构组织实施。确有需要的，由实施机构会同行业主管部门共同组织实施分领域授权</w:t>
      </w:r>
      <w:r>
        <w:rPr>
          <w:rFonts w:hint="eastAsia" w:ascii="宋体" w:hAnsi="宋体" w:eastAsia="方正仿宋_GBK" w:cs="方正仿宋_GBK"/>
          <w:color w:val="auto"/>
          <w:sz w:val="32"/>
          <w:szCs w:val="32"/>
          <w:lang w:val="en-US" w:eastAsia="zh-CN"/>
        </w:rPr>
        <w:t>运营</w:t>
      </w:r>
      <w:r>
        <w:rPr>
          <w:rFonts w:hint="eastAsia" w:ascii="宋体" w:hAnsi="宋体" w:eastAsia="方正仿宋_GBK" w:cs="方正仿宋_GBK"/>
          <w:color w:val="auto"/>
          <w:sz w:val="32"/>
          <w:szCs w:val="32"/>
        </w:rPr>
        <w:t>。</w:t>
      </w:r>
    </w:p>
    <w:p w14:paraId="569823E6">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黑体_GBK" w:cs="方正黑体_GBK"/>
          <w:color w:val="auto"/>
          <w:sz w:val="32"/>
          <w:szCs w:val="32"/>
          <w:highlight w:val="none"/>
        </w:rPr>
      </w:pPr>
      <w:r>
        <w:rPr>
          <w:rFonts w:hint="eastAsia" w:ascii="宋体" w:hAnsi="宋体" w:eastAsia="方正仿宋_GBK" w:cs="方正仿宋_GBK"/>
          <w:color w:val="auto"/>
          <w:sz w:val="32"/>
          <w:szCs w:val="32"/>
          <w:lang w:val="en-US" w:eastAsia="zh-CN"/>
        </w:rPr>
        <w:t>在省、州（市）两级开展公共数据资源授权运营。支持有条件的县（市、区）在</w:t>
      </w:r>
      <w:r>
        <w:rPr>
          <w:rFonts w:hint="eastAsia" w:ascii="宋体" w:hAnsi="宋体" w:eastAsia="方正仿宋_GBK" w:cs="方正仿宋_GBK"/>
          <w:color w:val="auto"/>
          <w:sz w:val="32"/>
          <w:szCs w:val="32"/>
        </w:rPr>
        <w:t>州（市）数据管理</w:t>
      </w:r>
      <w:r>
        <w:rPr>
          <w:rFonts w:hint="eastAsia" w:ascii="宋体" w:hAnsi="宋体" w:eastAsia="方正仿宋_GBK" w:cs="方正仿宋_GBK"/>
          <w:color w:val="auto"/>
          <w:sz w:val="32"/>
          <w:szCs w:val="32"/>
          <w:lang w:val="en-US" w:eastAsia="zh-CN"/>
        </w:rPr>
        <w:t>主管</w:t>
      </w:r>
      <w:r>
        <w:rPr>
          <w:rFonts w:hint="eastAsia" w:ascii="宋体" w:hAnsi="宋体" w:eastAsia="方正仿宋_GBK" w:cs="方正仿宋_GBK"/>
          <w:color w:val="auto"/>
          <w:sz w:val="32"/>
          <w:szCs w:val="32"/>
        </w:rPr>
        <w:t>部门</w:t>
      </w:r>
      <w:r>
        <w:rPr>
          <w:rFonts w:hint="eastAsia" w:ascii="宋体" w:hAnsi="宋体" w:eastAsia="方正仿宋_GBK" w:cs="方正仿宋_GBK"/>
          <w:color w:val="auto"/>
          <w:sz w:val="32"/>
          <w:szCs w:val="32"/>
          <w:lang w:val="en-US" w:eastAsia="zh-CN"/>
        </w:rPr>
        <w:t>统筹领导下，依据本办法开展公共数据资源授权运营工作。</w:t>
      </w:r>
    </w:p>
    <w:p w14:paraId="66C59FA8">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仿宋_GBK" w:cs="方正仿宋_GBK"/>
          <w:b/>
          <w:bCs/>
          <w:color w:val="auto"/>
          <w:kern w:val="2"/>
          <w:sz w:val="32"/>
          <w:szCs w:val="32"/>
          <w:lang w:val="en-US" w:eastAsia="zh-CN" w:bidi="ar-SA"/>
        </w:rPr>
      </w:pPr>
      <w:bookmarkStart w:id="119" w:name="_Toc1715"/>
      <w:bookmarkStart w:id="120" w:name="_Toc4460"/>
      <w:bookmarkStart w:id="121" w:name="_Toc27963"/>
      <w:bookmarkStart w:id="122" w:name="_Toc30895"/>
      <w:bookmarkStart w:id="123" w:name="_Toc24503"/>
      <w:bookmarkStart w:id="124" w:name="_Toc4639"/>
      <w:bookmarkStart w:id="125" w:name="_Toc9616"/>
      <w:bookmarkStart w:id="126" w:name="_Toc29435"/>
      <w:bookmarkStart w:id="127" w:name="_Toc19168"/>
      <w:bookmarkStart w:id="128" w:name="_Toc22566"/>
      <w:bookmarkStart w:id="129" w:name="_Toc11592"/>
      <w:bookmarkStart w:id="130" w:name="_Toc27008"/>
      <w:bookmarkStart w:id="131" w:name="_Toc20337"/>
      <w:bookmarkStart w:id="132" w:name="_Toc17065"/>
      <w:bookmarkStart w:id="133" w:name="_Toc28528"/>
      <w:bookmarkStart w:id="134" w:name="_Toc24707"/>
      <w:bookmarkStart w:id="135" w:name="_Toc20661"/>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运营</w:t>
      </w:r>
      <w:r>
        <w:rPr>
          <w:rFonts w:ascii="宋体" w:hAnsi="宋体" w:eastAsia="方正楷体_GBK" w:cs="Times New Roman"/>
          <w:b w:val="0"/>
          <w:bCs w:val="0"/>
          <w:color w:val="auto"/>
          <w:kern w:val="2"/>
          <w:sz w:val="32"/>
          <w:szCs w:val="22"/>
          <w:lang w:val="en-US" w:eastAsia="zh-CN" w:bidi="ar-SA"/>
        </w:rPr>
        <w:t>平台</w:t>
      </w:r>
      <w:r>
        <w:rPr>
          <w:rFonts w:hint="eastAsia" w:ascii="宋体" w:hAnsi="宋体" w:eastAsia="方正楷体_GBK" w:cs="Times New Roman"/>
          <w:b w:val="0"/>
          <w:bCs w:val="0"/>
          <w:color w:val="auto"/>
          <w:kern w:val="2"/>
          <w:sz w:val="32"/>
          <w:szCs w:val="22"/>
          <w:lang w:val="en-US" w:eastAsia="zh-CN" w:bidi="ar-SA"/>
        </w:rPr>
        <w:t>管理</w:t>
      </w:r>
      <w:r>
        <w:rPr>
          <w:rFonts w:hint="eastAsia" w:ascii="宋体" w:hAnsi="宋体" w:eastAsia="方正楷体_GBK" w:cs="Times New Roman"/>
          <w:b w:val="0"/>
          <w:bCs/>
          <w:color w:val="auto"/>
          <w:kern w:val="2"/>
          <w:sz w:val="32"/>
          <w:szCs w:val="32"/>
          <w:lang w:val="en-US" w:eastAsia="zh-CN" w:bidi="ar-SA"/>
        </w:rPr>
        <w:t>】</w:t>
      </w:r>
    </w:p>
    <w:p w14:paraId="457CE01A">
      <w:pPr>
        <w:pageBreakBefore w:val="0"/>
        <w:kinsoku/>
        <w:wordWrap/>
        <w:overflowPunct w:val="0"/>
        <w:topLinePunct w:val="0"/>
        <w:autoSpaceDE/>
        <w:autoSpaceDN/>
        <w:bidi w:val="0"/>
        <w:adjustRightInd/>
        <w:snapToGrid/>
        <w:spacing w:before="0" w:after="0" w:line="594" w:lineRule="exact"/>
        <w:ind w:firstLine="640" w:firstLineChars="200"/>
        <w:jc w:val="both"/>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公共数据资源授权运营平台（以下简称运营平台）作为本省开展公共数据授权运营的工作总枢纽和服务总门户，</w:t>
      </w:r>
      <w:r>
        <w:rPr>
          <w:rFonts w:hint="eastAsia" w:ascii="宋体" w:hAnsi="宋体" w:eastAsia="方正仿宋_GBK" w:cs="方正仿宋_GBK"/>
          <w:color w:val="auto"/>
          <w:sz w:val="32"/>
          <w:szCs w:val="32"/>
          <w:highlight w:val="none"/>
          <w:lang w:val="en-US" w:eastAsia="zh-CN"/>
        </w:rPr>
        <w:t>采取</w:t>
      </w:r>
      <w:r>
        <w:rPr>
          <w:rFonts w:hint="eastAsia" w:ascii="宋体" w:hAnsi="宋体" w:eastAsia="方正仿宋_GBK" w:cs="方正仿宋_GBK"/>
          <w:color w:val="auto"/>
          <w:sz w:val="32"/>
          <w:szCs w:val="32"/>
          <w:highlight w:val="none"/>
        </w:rPr>
        <w:t>“省级建设、全省应用”模式，</w:t>
      </w:r>
      <w:r>
        <w:rPr>
          <w:rFonts w:hint="eastAsia" w:ascii="宋体" w:hAnsi="宋体" w:eastAsia="方正仿宋_GBK" w:cs="方正仿宋_GBK"/>
          <w:color w:val="auto"/>
          <w:sz w:val="32"/>
          <w:szCs w:val="32"/>
          <w:lang w:val="en-US" w:eastAsia="zh-CN"/>
        </w:rPr>
        <w:t>由省数据局基于公共数据平台统筹建设</w:t>
      </w:r>
      <w:r>
        <w:rPr>
          <w:rFonts w:hint="eastAsia" w:ascii="宋体" w:hAnsi="宋体" w:eastAsia="方正仿宋_GBK" w:cs="方正仿宋_GBK"/>
          <w:color w:val="auto"/>
          <w:sz w:val="32"/>
          <w:szCs w:val="32"/>
        </w:rPr>
        <w:t>，为全省公共数据资源授权运营提供安全可信的数据开发利用环境，以及加工处理、开发利用、监督监管等服务。授权运营各参与方应当依托运营平台开展公共数据资源授权运营活动。</w:t>
      </w:r>
    </w:p>
    <w:p w14:paraId="45839D83">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default"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运营平台建设运行保障机构</w:t>
      </w:r>
      <w:r>
        <w:rPr>
          <w:rFonts w:hint="eastAsia" w:ascii="宋体" w:hAnsi="宋体" w:eastAsia="方正仿宋_GBK" w:cs="方正仿宋_GBK"/>
          <w:color w:val="auto"/>
          <w:sz w:val="32"/>
          <w:szCs w:val="32"/>
        </w:rPr>
        <w:t>负责运营平台的建设运维、日常管理和安全保障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kern w:val="0"/>
          <w:sz w:val="32"/>
          <w:szCs w:val="32"/>
          <w:lang w:bidi="ar"/>
        </w:rPr>
        <w:t>按照“补偿成本、公平普惠”的原则，</w:t>
      </w:r>
      <w:r>
        <w:rPr>
          <w:rFonts w:hint="eastAsia" w:ascii="宋体" w:hAnsi="宋体" w:eastAsia="方正仿宋_GBK" w:cs="方正仿宋_GBK"/>
          <w:color w:val="auto"/>
          <w:sz w:val="32"/>
          <w:szCs w:val="32"/>
        </w:rPr>
        <w:t>可向其他使用运营平台的运营机构合理收取平台建设和运营管理费用。</w:t>
      </w:r>
    </w:p>
    <w:p w14:paraId="47C90AF7">
      <w:pPr>
        <w:pageBreakBefore w:val="0"/>
        <w:widowControl w:val="0"/>
        <w:kinsoku/>
        <w:wordWrap/>
        <w:overflowPunct w:val="0"/>
        <w:topLinePunct w:val="0"/>
        <w:autoSpaceDE/>
        <w:autoSpaceDN/>
        <w:bidi w:val="0"/>
        <w:adjustRightInd/>
        <w:snapToGrid/>
        <w:spacing w:before="0" w:after="0" w:line="594" w:lineRule="exact"/>
        <w:ind w:firstLine="640" w:firstLineChars="200"/>
        <w:jc w:val="left"/>
        <w:textAlignment w:val="auto"/>
        <w:rPr>
          <w:rFonts w:hint="default" w:ascii="宋体" w:hAnsi="宋体" w:eastAsia="方正仿宋_GBK" w:cs="方正仿宋_GBK"/>
          <w:color w:val="auto"/>
          <w:sz w:val="32"/>
          <w:szCs w:val="32"/>
          <w:lang w:val="en-US"/>
        </w:rPr>
      </w:pPr>
      <w:r>
        <w:rPr>
          <w:rFonts w:hint="eastAsia" w:ascii="宋体" w:hAnsi="宋体" w:eastAsia="方正仿宋_GBK" w:cs="方正仿宋_GBK"/>
          <w:color w:val="auto"/>
          <w:sz w:val="32"/>
          <w:szCs w:val="32"/>
        </w:rPr>
        <w:t>各州（市）、各行业主管部门和</w:t>
      </w:r>
      <w:r>
        <w:rPr>
          <w:rFonts w:hint="eastAsia" w:ascii="宋体" w:hAnsi="宋体" w:eastAsia="方正仿宋_GBK" w:cs="方正仿宋_GBK"/>
          <w:color w:val="auto"/>
          <w:sz w:val="32"/>
          <w:szCs w:val="32"/>
          <w:lang w:bidi="ar"/>
        </w:rPr>
        <w:t>授权运营各参与方</w:t>
      </w:r>
      <w:r>
        <w:rPr>
          <w:rFonts w:hint="eastAsia" w:ascii="宋体" w:hAnsi="宋体" w:eastAsia="方正仿宋_GBK" w:cs="方正仿宋_GBK"/>
          <w:color w:val="auto"/>
          <w:sz w:val="32"/>
          <w:szCs w:val="32"/>
        </w:rPr>
        <w:t>不得新建其他的公共数据资源授权运营平台或通道，已建或在建的，应当</w:t>
      </w:r>
      <w:r>
        <w:rPr>
          <w:rFonts w:hint="eastAsia" w:ascii="宋体" w:hAnsi="宋体" w:eastAsia="方正仿宋_GBK" w:cs="方正仿宋_GBK"/>
          <w:strike w:val="0"/>
          <w:dstrike w:val="0"/>
          <w:color w:val="auto"/>
          <w:sz w:val="32"/>
          <w:szCs w:val="32"/>
        </w:rPr>
        <w:t>进行</w:t>
      </w:r>
      <w:r>
        <w:rPr>
          <w:rFonts w:hint="eastAsia" w:ascii="宋体" w:hAnsi="宋体" w:eastAsia="方正仿宋_GBK" w:cs="方正仿宋_GBK"/>
          <w:color w:val="auto"/>
          <w:sz w:val="32"/>
          <w:szCs w:val="32"/>
        </w:rPr>
        <w:t>整合。法律、法规</w:t>
      </w:r>
      <w:r>
        <w:rPr>
          <w:rFonts w:hint="eastAsia" w:ascii="宋体" w:hAnsi="宋体" w:eastAsia="方正仿宋_GBK" w:cs="方正仿宋_GBK"/>
          <w:color w:val="auto"/>
          <w:sz w:val="32"/>
          <w:szCs w:val="32"/>
          <w:lang w:val="en-US" w:eastAsia="zh-CN"/>
        </w:rPr>
        <w:t>以</w:t>
      </w:r>
      <w:r>
        <w:rPr>
          <w:rFonts w:hint="eastAsia" w:ascii="宋体" w:hAnsi="宋体" w:eastAsia="方正仿宋_GBK" w:cs="方正仿宋_GBK"/>
          <w:color w:val="auto"/>
          <w:sz w:val="32"/>
          <w:szCs w:val="32"/>
        </w:rPr>
        <w:t>及</w:t>
      </w:r>
      <w:r>
        <w:rPr>
          <w:rFonts w:hint="eastAsia" w:ascii="宋体" w:hAnsi="宋体" w:eastAsia="方正仿宋_GBK" w:cs="方正仿宋_GBK"/>
          <w:color w:val="auto"/>
          <w:sz w:val="32"/>
          <w:szCs w:val="32"/>
          <w:lang w:val="en-US" w:eastAsia="zh-CN"/>
        </w:rPr>
        <w:t>其他</w:t>
      </w:r>
      <w:r>
        <w:rPr>
          <w:rFonts w:hint="eastAsia" w:ascii="宋体" w:hAnsi="宋体" w:eastAsia="方正仿宋_GBK" w:cs="方正仿宋_GBK"/>
          <w:color w:val="auto"/>
          <w:sz w:val="32"/>
          <w:szCs w:val="32"/>
          <w:lang w:val="en-US"/>
        </w:rPr>
        <w:t>有特别</w:t>
      </w:r>
      <w:r>
        <w:rPr>
          <w:rFonts w:hint="eastAsia" w:ascii="宋体" w:hAnsi="宋体" w:eastAsia="方正仿宋_GBK" w:cs="方正仿宋_GBK"/>
          <w:color w:val="auto"/>
          <w:sz w:val="32"/>
          <w:szCs w:val="32"/>
        </w:rPr>
        <w:t>规定的，从其规定。</w:t>
      </w:r>
    </w:p>
    <w:p w14:paraId="218D90B1">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实施方案编制</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hint="eastAsia" w:ascii="宋体" w:hAnsi="宋体" w:eastAsia="方正楷体_GBK" w:cs="Times New Roman"/>
          <w:b w:val="0"/>
          <w:bCs/>
          <w:color w:val="auto"/>
          <w:kern w:val="2"/>
          <w:sz w:val="32"/>
          <w:szCs w:val="32"/>
          <w:lang w:val="en-US" w:eastAsia="zh-CN" w:bidi="ar-SA"/>
        </w:rPr>
        <w:t>】</w:t>
      </w:r>
    </w:p>
    <w:p w14:paraId="3C705579">
      <w:pPr>
        <w:pageBreakBefore w:val="0"/>
        <w:widowControl w:val="0"/>
        <w:kinsoku/>
        <w:wordWrap/>
        <w:overflowPunct w:val="0"/>
        <w:topLinePunct w:val="0"/>
        <w:autoSpaceDE/>
        <w:autoSpaceDN/>
        <w:bidi w:val="0"/>
        <w:adjustRightInd/>
        <w:snapToGrid/>
        <w:spacing w:before="0" w:after="0" w:line="594" w:lineRule="exact"/>
        <w:ind w:firstLine="640" w:firstLineChars="200"/>
        <w:jc w:val="left"/>
        <w:textAlignment w:val="auto"/>
        <w:rPr>
          <w:rFonts w:hint="eastAsia" w:ascii="宋体" w:hAnsi="宋体" w:eastAsia="方正仿宋_GBK" w:cs="方正仿宋_GBK"/>
          <w:color w:val="auto"/>
          <w:sz w:val="32"/>
          <w:szCs w:val="32"/>
        </w:rPr>
      </w:pPr>
      <w:r>
        <w:rPr>
          <w:rFonts w:hint="eastAsia" w:ascii="宋体" w:hAnsi="宋体" w:eastAsia="方正仿宋_GBK" w:cs="Times New Roman"/>
          <w:color w:val="auto"/>
          <w:sz w:val="32"/>
          <w:highlight w:val="none"/>
        </w:rPr>
        <w:t>实施机构组</w:t>
      </w:r>
      <w:r>
        <w:rPr>
          <w:rFonts w:hint="eastAsia" w:ascii="宋体" w:hAnsi="宋体" w:eastAsia="方正仿宋_GBK" w:cs="Times New Roman"/>
          <w:color w:val="auto"/>
          <w:sz w:val="32"/>
        </w:rPr>
        <w:t>织编制公共数据资源授权运营实施方案（以下简称实施方案）</w:t>
      </w:r>
      <w:r>
        <w:rPr>
          <w:rFonts w:hint="eastAsia" w:ascii="宋体" w:hAnsi="宋体" w:eastAsia="方正仿宋_GBK" w:cs="方正仿宋_GBK"/>
          <w:color w:val="auto"/>
          <w:kern w:val="0"/>
          <w:sz w:val="32"/>
          <w:szCs w:val="32"/>
          <w:lang w:bidi="ar"/>
        </w:rPr>
        <w:t>。</w:t>
      </w:r>
      <w:r>
        <w:rPr>
          <w:rFonts w:hint="eastAsia" w:ascii="宋体" w:hAnsi="宋体" w:eastAsia="方正仿宋_GBK" w:cs="方正仿宋_GBK"/>
          <w:color w:val="auto"/>
          <w:sz w:val="32"/>
          <w:szCs w:val="32"/>
        </w:rPr>
        <w:t>实施方案应兼顾经济和社会效益，确保可实施可落地。</w:t>
      </w:r>
      <w:bookmarkStart w:id="136" w:name="_Toc19894"/>
      <w:bookmarkStart w:id="137" w:name="_Toc26366"/>
      <w:bookmarkStart w:id="138" w:name="_Toc30125"/>
      <w:bookmarkStart w:id="139" w:name="_Toc8922"/>
      <w:bookmarkStart w:id="140" w:name="_Toc19504"/>
      <w:bookmarkStart w:id="141" w:name="_Toc9794"/>
      <w:bookmarkStart w:id="142" w:name="_Toc3524"/>
      <w:bookmarkStart w:id="143" w:name="_Toc19265"/>
      <w:bookmarkStart w:id="144" w:name="_Toc5015"/>
      <w:bookmarkStart w:id="145" w:name="_Toc16384"/>
      <w:bookmarkStart w:id="146" w:name="_Toc31358"/>
      <w:bookmarkStart w:id="147" w:name="_Toc24273"/>
      <w:bookmarkStart w:id="148" w:name="_Toc13260"/>
    </w:p>
    <w:p w14:paraId="365ED607">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实施方案应包括以下内容：</w:t>
      </w:r>
    </w:p>
    <w:p w14:paraId="0CE7D857">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一</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授权运营名称；</w:t>
      </w:r>
    </w:p>
    <w:p w14:paraId="4475BB83">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授权运营的必要性和可行性论证；</w:t>
      </w:r>
    </w:p>
    <w:p w14:paraId="09D0FA1D">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三</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运营机构的选择条件，包括资金、管理、技术、服务、安全能力等；</w:t>
      </w:r>
    </w:p>
    <w:p w14:paraId="2F7D9A32">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授权运营模式；</w:t>
      </w:r>
    </w:p>
    <w:p w14:paraId="140431F1">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五</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授权运营的数据资源范围、数据资源目录、数据更新频率及数据质量情况等；</w:t>
      </w:r>
    </w:p>
    <w:p w14:paraId="6821832D">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六</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授权运营期限、建设内容、技术保障、实施进度、评价标准、退出机制、资产管理等；</w:t>
      </w:r>
    </w:p>
    <w:p w14:paraId="357BC2C5">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拟提供的公共数据产品和服务清单，应包括支持公共治理、公益事业和产业发展、行业发展两大类，以及预期产品和服务形式等；</w:t>
      </w:r>
    </w:p>
    <w:p w14:paraId="0048AF57">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八</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运营机构授权范围内经营成本和收入等核算机制、收益分配机制等；</w:t>
      </w:r>
    </w:p>
    <w:p w14:paraId="576BB2C3">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lang w:eastAsia="zh-CN"/>
        </w:rPr>
      </w:pPr>
      <w:r>
        <w:rPr>
          <w:rFonts w:hint="eastAsia" w:ascii="宋体" w:hAnsi="宋体" w:eastAsia="方正仿宋_GBK" w:cs="方正仿宋_GBK"/>
          <w:color w:val="auto"/>
          <w:sz w:val="32"/>
          <w:szCs w:val="32"/>
          <w:lang w:eastAsia="zh-CN"/>
        </w:rPr>
        <w:t>（九）数据安全、个人信息保护措施和应急处置措施</w:t>
      </w:r>
    </w:p>
    <w:p w14:paraId="2DBD051F">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十</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实施机构、运营机构及相关参与方权利义务；</w:t>
      </w:r>
    </w:p>
    <w:p w14:paraId="6BC37FEE">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十一</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授权运营的监督管理及考核评价要求；</w:t>
      </w:r>
    </w:p>
    <w:p w14:paraId="1A345ADE">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十二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应当明确的其他事项。</w:t>
      </w:r>
    </w:p>
    <w:bookmarkEnd w:id="136"/>
    <w:bookmarkEnd w:id="137"/>
    <w:bookmarkEnd w:id="138"/>
    <w:bookmarkEnd w:id="139"/>
    <w:bookmarkEnd w:id="140"/>
    <w:bookmarkEnd w:id="141"/>
    <w:bookmarkEnd w:id="142"/>
    <w:bookmarkEnd w:id="143"/>
    <w:bookmarkEnd w:id="144"/>
    <w:bookmarkEnd w:id="145"/>
    <w:bookmarkEnd w:id="146"/>
    <w:bookmarkEnd w:id="147"/>
    <w:bookmarkEnd w:id="148"/>
    <w:p w14:paraId="0D15F5ED">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149" w:name="_Toc32003"/>
      <w:bookmarkStart w:id="150" w:name="_Toc17393"/>
      <w:bookmarkStart w:id="151" w:name="_Toc3877"/>
      <w:bookmarkStart w:id="152" w:name="_Toc1280"/>
      <w:bookmarkStart w:id="153" w:name="_Toc30496"/>
      <w:bookmarkStart w:id="154" w:name="_Toc1707"/>
      <w:bookmarkStart w:id="155" w:name="_Toc28753"/>
      <w:bookmarkStart w:id="156" w:name="_Toc24551"/>
      <w:bookmarkStart w:id="157" w:name="_Toc20340"/>
      <w:bookmarkStart w:id="158" w:name="_Toc3936"/>
      <w:bookmarkStart w:id="159" w:name="_Toc8775"/>
      <w:bookmarkStart w:id="160" w:name="_Toc19609"/>
      <w:bookmarkStart w:id="161" w:name="_Toc5339"/>
      <w:bookmarkStart w:id="162" w:name="_Toc24136"/>
      <w:bookmarkStart w:id="163" w:name="_Toc27229"/>
      <w:bookmarkStart w:id="164" w:name="_Toc615"/>
      <w:bookmarkStart w:id="165" w:name="_Toc6879"/>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实施方案论证</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ascii="宋体" w:hAnsi="宋体" w:eastAsia="方正楷体_GBK" w:cs="Times New Roman"/>
          <w:b w:val="0"/>
          <w:bCs/>
          <w:color w:val="auto"/>
          <w:kern w:val="2"/>
          <w:sz w:val="32"/>
          <w:szCs w:val="32"/>
          <w:lang w:val="en-US" w:eastAsia="zh-CN" w:bidi="ar-SA"/>
        </w:rPr>
        <w:t>】</w:t>
      </w:r>
    </w:p>
    <w:p w14:paraId="6F56FF4D">
      <w:pPr>
        <w:pageBreakBefore w:val="0"/>
        <w:kinsoku/>
        <w:wordWrap/>
        <w:overflowPunct w:val="0"/>
        <w:topLinePunct w:val="0"/>
        <w:autoSpaceDE/>
        <w:autoSpaceDN/>
        <w:bidi w:val="0"/>
        <w:adjustRightInd/>
        <w:snapToGrid/>
        <w:spacing w:before="0" w:after="0" w:line="594" w:lineRule="exact"/>
        <w:ind w:firstLine="640" w:firstLineChars="200"/>
        <w:jc w:val="left"/>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实施方案应组织可行性论证，论证内容包括但不限于授权运营数据全生命周期管理服务、社会需求、应用场景、市场规模、预期成效、风险防控等。</w:t>
      </w:r>
    </w:p>
    <w:p w14:paraId="1A00294B">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166" w:name="_Toc4457"/>
      <w:bookmarkStart w:id="167" w:name="_Toc451"/>
      <w:bookmarkStart w:id="168" w:name="_Toc5034"/>
      <w:bookmarkStart w:id="169" w:name="_Toc19420"/>
      <w:bookmarkStart w:id="170" w:name="_Toc6705"/>
      <w:bookmarkStart w:id="171" w:name="_Toc27312"/>
      <w:bookmarkStart w:id="172" w:name="_Toc5147"/>
      <w:bookmarkStart w:id="173" w:name="_Toc14430"/>
      <w:bookmarkStart w:id="174" w:name="_Toc9250"/>
      <w:bookmarkStart w:id="175" w:name="_Toc30750"/>
      <w:bookmarkStart w:id="176" w:name="_Toc19159"/>
      <w:bookmarkStart w:id="177" w:name="_Toc8995"/>
      <w:bookmarkStart w:id="178" w:name="_Toc23773"/>
      <w:bookmarkStart w:id="179" w:name="_Toc7480"/>
      <w:bookmarkStart w:id="180" w:name="_Toc909"/>
      <w:bookmarkStart w:id="181" w:name="_Toc31592"/>
      <w:bookmarkStart w:id="182" w:name="_Toc15528"/>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实施方案审议</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宋体" w:hAnsi="宋体" w:eastAsia="方正楷体_GBK" w:cs="Times New Roman"/>
          <w:b w:val="0"/>
          <w:bCs/>
          <w:color w:val="auto"/>
          <w:kern w:val="2"/>
          <w:sz w:val="32"/>
          <w:szCs w:val="32"/>
          <w:lang w:val="en-US" w:eastAsia="zh-CN" w:bidi="ar-SA"/>
        </w:rPr>
        <w:t>】</w:t>
      </w:r>
    </w:p>
    <w:p w14:paraId="6DE2CB52">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实施机构应按照“三重一大”决策机制要求，将实施方案报请本级人民政府审议，经审定同意的实施方案，原则上不得随意变更，确需作较大变更的，应按照原流程重新报请审议同意。</w:t>
      </w:r>
    </w:p>
    <w:p w14:paraId="72D53C1F">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Times New Roman"/>
          <w:color w:val="auto"/>
          <w:sz w:val="32"/>
        </w:rPr>
      </w:pPr>
      <w:r>
        <w:rPr>
          <w:rFonts w:hint="eastAsia" w:ascii="宋体" w:hAnsi="宋体" w:eastAsia="方正仿宋_GBK" w:cs="方正仿宋_GBK"/>
          <w:color w:val="auto"/>
          <w:sz w:val="32"/>
          <w:szCs w:val="32"/>
        </w:rPr>
        <w:t>州（市）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县（市、区）</w:t>
      </w:r>
      <w:r>
        <w:rPr>
          <w:rFonts w:hint="eastAsia" w:ascii="宋体" w:hAnsi="宋体" w:eastAsia="方正仿宋_GBK" w:cs="方正仿宋_GBK"/>
          <w:color w:val="auto"/>
          <w:sz w:val="32"/>
          <w:szCs w:val="32"/>
        </w:rPr>
        <w:t>实</w:t>
      </w:r>
      <w:r>
        <w:rPr>
          <w:rFonts w:hint="eastAsia" w:ascii="宋体" w:hAnsi="宋体" w:eastAsia="方正仿宋_GBK" w:cs="Times New Roman"/>
          <w:color w:val="auto"/>
          <w:sz w:val="32"/>
        </w:rPr>
        <w:t>施方案应在审议通过后</w:t>
      </w:r>
      <w:r>
        <w:rPr>
          <w:rFonts w:ascii="宋体" w:hAnsi="宋体" w:eastAsia="方正仿宋_GBK" w:cs="Times New Roman"/>
          <w:color w:val="auto"/>
          <w:sz w:val="32"/>
        </w:rPr>
        <w:t>2</w:t>
      </w:r>
      <w:r>
        <w:rPr>
          <w:rFonts w:hint="eastAsia" w:ascii="宋体" w:hAnsi="宋体" w:eastAsia="方正仿宋_GBK" w:cs="Times New Roman"/>
          <w:color w:val="auto"/>
          <w:sz w:val="32"/>
        </w:rPr>
        <w:t>0个工作日内，报送省数据局</w:t>
      </w:r>
      <w:r>
        <w:rPr>
          <w:rFonts w:hint="eastAsia" w:ascii="宋体" w:hAnsi="宋体" w:eastAsia="方正仿宋_GBK" w:cs="方正仿宋_GBK"/>
          <w:color w:val="auto"/>
          <w:sz w:val="32"/>
          <w:szCs w:val="32"/>
          <w:lang w:val="en-US" w:eastAsia="zh-CN"/>
        </w:rPr>
        <w:t>备案</w:t>
      </w:r>
      <w:r>
        <w:rPr>
          <w:rFonts w:hint="eastAsia" w:ascii="宋体" w:hAnsi="宋体" w:eastAsia="方正仿宋_GBK" w:cs="Times New Roman"/>
          <w:color w:val="auto"/>
          <w:sz w:val="32"/>
        </w:rPr>
        <w:t>。</w:t>
      </w:r>
    </w:p>
    <w:p w14:paraId="1E5159CB">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183" w:name="_Toc14358"/>
      <w:bookmarkStart w:id="184" w:name="_Toc3404"/>
      <w:bookmarkStart w:id="185" w:name="_Toc6183"/>
      <w:bookmarkStart w:id="186" w:name="_Toc25647"/>
      <w:bookmarkStart w:id="187" w:name="_Toc16272"/>
      <w:bookmarkStart w:id="188" w:name="_Toc14072"/>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运营</w:t>
      </w:r>
      <w:bookmarkEnd w:id="183"/>
      <w:bookmarkEnd w:id="184"/>
      <w:bookmarkEnd w:id="185"/>
      <w:bookmarkEnd w:id="186"/>
      <w:bookmarkEnd w:id="187"/>
      <w:bookmarkEnd w:id="188"/>
      <w:r>
        <w:rPr>
          <w:rFonts w:hint="eastAsia" w:ascii="宋体" w:hAnsi="宋体" w:eastAsia="方正楷体_GBK" w:cs="Times New Roman"/>
          <w:b w:val="0"/>
          <w:bCs w:val="0"/>
          <w:color w:val="auto"/>
          <w:kern w:val="2"/>
          <w:sz w:val="32"/>
          <w:szCs w:val="22"/>
          <w:lang w:val="en-US" w:eastAsia="zh-CN" w:bidi="ar-SA"/>
        </w:rPr>
        <w:t>机构选择</w:t>
      </w:r>
      <w:r>
        <w:rPr>
          <w:rFonts w:hint="eastAsia" w:ascii="宋体" w:hAnsi="宋体" w:eastAsia="方正楷体_GBK" w:cs="Times New Roman"/>
          <w:b w:val="0"/>
          <w:bCs/>
          <w:color w:val="auto"/>
          <w:kern w:val="2"/>
          <w:sz w:val="32"/>
          <w:szCs w:val="32"/>
          <w:lang w:val="en-US" w:eastAsia="zh-CN" w:bidi="ar-SA"/>
        </w:rPr>
        <w:t>】</w:t>
      </w:r>
    </w:p>
    <w:p w14:paraId="3DF1DF6A">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实施机构应当根据审定同意后的实施方案，按照法律法规要求，以公开招标、邀请招标、谈判等公平竞争方式选择运营机构。招标、采购、谈判文件有关授权运营协议内容应充分征求各方意见。</w:t>
      </w:r>
    </w:p>
    <w:p w14:paraId="6903C1BB">
      <w:pPr>
        <w:pageBreakBefore w:val="0"/>
        <w:kinsoku/>
        <w:wordWrap/>
        <w:overflowPunct w:val="0"/>
        <w:topLinePunct w:val="0"/>
        <w:autoSpaceDE/>
        <w:autoSpaceDN/>
        <w:bidi w:val="0"/>
        <w:adjustRightInd/>
        <w:snapToGrid/>
        <w:spacing w:before="0" w:after="0" w:line="594" w:lineRule="exact"/>
        <w:ind w:firstLine="640" w:firstLineChars="200"/>
        <w:jc w:val="both"/>
        <w:textAlignment w:val="auto"/>
        <w:rPr>
          <w:rFonts w:hint="eastAsia" w:ascii="宋体" w:hAnsi="宋体" w:eastAsia="方正仿宋_GBK" w:cs="Times New Roman"/>
          <w:b w:val="0"/>
          <w:i w:val="0"/>
          <w:strike w:val="0"/>
          <w:color w:val="auto"/>
          <w:sz w:val="32"/>
        </w:rPr>
      </w:pPr>
      <w:r>
        <w:rPr>
          <w:rFonts w:hint="eastAsia" w:ascii="宋体" w:hAnsi="宋体" w:eastAsia="方正仿宋_GBK" w:cs="Times New Roman"/>
          <w:strike w:val="0"/>
          <w:dstrike w:val="0"/>
          <w:color w:val="auto"/>
          <w:sz w:val="32"/>
        </w:rPr>
        <w:t>经实施机构“三重一大”决策机制审议通过后，由实施机构与依法选定的运营机构签订公共数据资源授权运营协议</w:t>
      </w:r>
      <w:r>
        <w:rPr>
          <w:rFonts w:hint="eastAsia" w:ascii="宋体" w:hAnsi="宋体" w:eastAsia="方正仿宋_GBK" w:cs="方正仿宋_GBK"/>
          <w:strike w:val="0"/>
          <w:dstrike w:val="0"/>
          <w:color w:val="auto"/>
          <w:sz w:val="32"/>
          <w:szCs w:val="32"/>
          <w:lang w:bidi="ar"/>
        </w:rPr>
        <w:t>（以下简称运营协议）。</w:t>
      </w:r>
      <w:r>
        <w:rPr>
          <w:rFonts w:hint="eastAsia" w:ascii="宋体" w:hAnsi="宋体" w:eastAsia="方正仿宋_GBK" w:cs="Times New Roman"/>
          <w:strike w:val="0"/>
          <w:dstrike w:val="0"/>
          <w:color w:val="auto"/>
          <w:sz w:val="32"/>
          <w:szCs w:val="20"/>
        </w:rPr>
        <w:t>实施分领域授权的，由实施机构会同行业主管部门，</w:t>
      </w:r>
      <w:r>
        <w:rPr>
          <w:rFonts w:hint="eastAsia" w:ascii="宋体" w:hAnsi="宋体" w:eastAsia="方正仿宋_GBK" w:cs="Times New Roman"/>
          <w:strike w:val="0"/>
          <w:dstrike w:val="0"/>
          <w:color w:val="auto"/>
          <w:sz w:val="32"/>
        </w:rPr>
        <w:t>与依法选定的运营机构签订</w:t>
      </w:r>
      <w:r>
        <w:rPr>
          <w:rFonts w:hint="eastAsia" w:ascii="宋体" w:hAnsi="宋体" w:eastAsia="方正仿宋_GBK" w:cs="方正仿宋_GBK"/>
          <w:strike w:val="0"/>
          <w:dstrike w:val="0"/>
          <w:color w:val="auto"/>
          <w:sz w:val="32"/>
          <w:szCs w:val="32"/>
          <w:lang w:bidi="ar"/>
        </w:rPr>
        <w:t>运营协议</w:t>
      </w:r>
      <w:r>
        <w:rPr>
          <w:rFonts w:hint="eastAsia" w:ascii="宋体" w:hAnsi="宋体" w:eastAsia="方正仿宋_GBK" w:cs="方正仿宋_GBK"/>
          <w:strike w:val="0"/>
          <w:dstrike w:val="0"/>
          <w:color w:val="auto"/>
          <w:sz w:val="32"/>
          <w:szCs w:val="32"/>
        </w:rPr>
        <w:t>。</w:t>
      </w:r>
      <w:r>
        <w:rPr>
          <w:rFonts w:hint="eastAsia" w:ascii="宋体" w:hAnsi="宋体" w:eastAsia="方正仿宋_GBK" w:cs="方正仿宋_GBK"/>
          <w:strike w:val="0"/>
          <w:dstrike w:val="0"/>
          <w:color w:val="auto"/>
          <w:sz w:val="32"/>
          <w:szCs w:val="32"/>
          <w:lang w:bidi="ar"/>
        </w:rPr>
        <w:t>运营协议</w:t>
      </w:r>
      <w:r>
        <w:rPr>
          <w:rFonts w:hint="eastAsia" w:ascii="宋体" w:hAnsi="宋体" w:eastAsia="方正仿宋_GBK" w:cs="方正仿宋_GBK"/>
          <w:strike w:val="0"/>
          <w:dstrike w:val="0"/>
          <w:color w:val="auto"/>
          <w:sz w:val="32"/>
          <w:szCs w:val="32"/>
        </w:rPr>
        <w:t>应包括</w:t>
      </w:r>
      <w:r>
        <w:rPr>
          <w:rFonts w:hint="eastAsia" w:ascii="宋体" w:hAnsi="宋体" w:eastAsia="方正仿宋_GBK" w:cs="方正仿宋_GBK"/>
          <w:strike w:val="0"/>
          <w:dstrike w:val="0"/>
          <w:color w:val="auto"/>
          <w:sz w:val="32"/>
          <w:szCs w:val="32"/>
          <w:lang w:val="en-US" w:eastAsia="zh-CN"/>
        </w:rPr>
        <w:t>以下</w:t>
      </w:r>
      <w:r>
        <w:rPr>
          <w:rFonts w:hint="eastAsia" w:ascii="宋体" w:hAnsi="宋体" w:eastAsia="方正仿宋_GBK" w:cs="方正仿宋_GBK"/>
          <w:strike w:val="0"/>
          <w:dstrike w:val="0"/>
          <w:color w:val="auto"/>
          <w:sz w:val="32"/>
          <w:szCs w:val="32"/>
        </w:rPr>
        <w:t>内容：</w:t>
      </w:r>
    </w:p>
    <w:p w14:paraId="7B3629DC">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（一）授权运营的公共数据资源范围及数据资源目录；</w:t>
      </w:r>
    </w:p>
    <w:p w14:paraId="652E24AC">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（二）运营期限，原则上最长不超过5年；</w:t>
      </w:r>
    </w:p>
    <w:p w14:paraId="596E6CF4">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（三）拟提供的公共数据产品和服务清单及其技术标准、安全审核要求、业务规范性审核要求；</w:t>
      </w:r>
    </w:p>
    <w:p w14:paraId="5D4FBD1A">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（四）公共数据资源授权运营工作的技术支撑平台；</w:t>
      </w:r>
    </w:p>
    <w:p w14:paraId="1725AB14">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（五）资产权属，包括软硬件设备、公共数据产品和服务的权属；</w:t>
      </w:r>
    </w:p>
    <w:p w14:paraId="037D36A2">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（六）授权运营情况信息披露要求，运营机构不得直接或间接参与再开发要求；</w:t>
      </w:r>
    </w:p>
    <w:p w14:paraId="6DA55FF8">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（七）运营机构授权范围内经营成本和收入等核算要求、收益分配机制；</w:t>
      </w:r>
    </w:p>
    <w:p w14:paraId="48341A4C">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（八）数据安全、个人信息保护要求和风险监测、应急处置措施；</w:t>
      </w:r>
    </w:p>
    <w:p w14:paraId="4B5E5046">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（九）运营成效评价，续约或退出机制；</w:t>
      </w:r>
    </w:p>
    <w:p w14:paraId="0D2C6FE1">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（十）违约责任；</w:t>
      </w:r>
    </w:p>
    <w:p w14:paraId="47651754">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（十一）争议解决方式；</w:t>
      </w:r>
    </w:p>
    <w:p w14:paraId="358E998C">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（十二）协议变更、终止条件；</w:t>
      </w:r>
    </w:p>
    <w:p w14:paraId="31A26F8E">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w:t>
      </w:r>
      <w:r>
        <w:rPr>
          <w:rFonts w:hint="eastAsia" w:ascii="宋体" w:hAnsi="宋体" w:eastAsia="方正仿宋_GBK" w:cs="方正仿宋_GBK"/>
          <w:color w:val="auto"/>
          <w:sz w:val="32"/>
          <w:szCs w:val="32"/>
          <w:lang w:val="en-US" w:eastAsia="zh-CN"/>
        </w:rPr>
        <w:t>三</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保密责任与义务</w:t>
      </w:r>
      <w:r>
        <w:rPr>
          <w:rFonts w:hint="eastAsia" w:ascii="宋体" w:hAnsi="宋体" w:eastAsia="方正仿宋_GBK" w:cs="方正仿宋_GBK"/>
          <w:color w:val="auto"/>
          <w:sz w:val="32"/>
          <w:szCs w:val="32"/>
        </w:rPr>
        <w:t>；</w:t>
      </w:r>
    </w:p>
    <w:p w14:paraId="097D4869">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（十</w:t>
      </w:r>
      <w:r>
        <w:rPr>
          <w:rFonts w:hint="eastAsia" w:ascii="宋体" w:hAnsi="宋体" w:eastAsia="方正仿宋_GBK" w:cs="方正仿宋_GBK"/>
          <w:color w:val="auto"/>
          <w:sz w:val="32"/>
          <w:szCs w:val="32"/>
          <w:lang w:val="en-US" w:eastAsia="zh-CN"/>
        </w:rPr>
        <w:t>四</w:t>
      </w:r>
      <w:r>
        <w:rPr>
          <w:rFonts w:hint="eastAsia" w:ascii="宋体" w:hAnsi="宋体" w:eastAsia="方正仿宋_GBK" w:cs="方正仿宋_GBK"/>
          <w:color w:val="auto"/>
          <w:sz w:val="32"/>
          <w:szCs w:val="32"/>
        </w:rPr>
        <w:t>）需要明确的其他事项。</w:t>
      </w:r>
    </w:p>
    <w:p w14:paraId="565C1D9C">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州（市）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县（市、区）</w:t>
      </w:r>
      <w:r>
        <w:rPr>
          <w:rFonts w:hint="eastAsia" w:ascii="宋体" w:hAnsi="宋体" w:eastAsia="方正仿宋_GBK" w:cs="方正仿宋_GBK"/>
          <w:color w:val="auto"/>
          <w:sz w:val="32"/>
          <w:szCs w:val="32"/>
          <w:lang w:bidi="ar"/>
        </w:rPr>
        <w:t>运营协议应在签订后</w:t>
      </w:r>
      <w:r>
        <w:rPr>
          <w:rFonts w:ascii="宋体" w:hAnsi="宋体" w:eastAsia="方正仿宋_GBK" w:cs="方正仿宋_GBK"/>
          <w:color w:val="auto"/>
          <w:sz w:val="32"/>
          <w:szCs w:val="32"/>
          <w:lang w:bidi="ar"/>
        </w:rPr>
        <w:t>2</w:t>
      </w:r>
      <w:r>
        <w:rPr>
          <w:rFonts w:hint="eastAsia" w:ascii="宋体" w:hAnsi="宋体" w:eastAsia="方正仿宋_GBK" w:cs="方正仿宋_GBK"/>
          <w:color w:val="auto"/>
          <w:sz w:val="32"/>
          <w:szCs w:val="32"/>
          <w:lang w:bidi="ar"/>
        </w:rPr>
        <w:t>0个工作日</w:t>
      </w:r>
      <w:r>
        <w:rPr>
          <w:rFonts w:hint="eastAsia" w:ascii="宋体" w:hAnsi="宋体" w:eastAsia="方正仿宋_GBK" w:cs="方正仿宋_GBK"/>
          <w:color w:val="auto"/>
          <w:sz w:val="32"/>
          <w:szCs w:val="32"/>
          <w:lang w:val="en-US" w:eastAsia="zh-CN" w:bidi="ar"/>
        </w:rPr>
        <w:t>内</w:t>
      </w:r>
      <w:r>
        <w:rPr>
          <w:rFonts w:hint="eastAsia" w:ascii="宋体" w:hAnsi="宋体" w:eastAsia="方正仿宋_GBK" w:cs="方正仿宋_GBK"/>
          <w:color w:val="auto"/>
          <w:sz w:val="32"/>
          <w:szCs w:val="32"/>
          <w:lang w:bidi="ar"/>
        </w:rPr>
        <w:t>，报送省数据局</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省</w:t>
      </w:r>
      <w:r>
        <w:rPr>
          <w:rFonts w:ascii="宋体" w:hAnsi="宋体" w:eastAsia="方正仿宋_GBK" w:cs="方正仿宋_GBK"/>
          <w:color w:val="auto"/>
          <w:sz w:val="32"/>
          <w:szCs w:val="32"/>
          <w:lang w:bidi="ar"/>
        </w:rPr>
        <w:t>数据局</w:t>
      </w:r>
      <w:r>
        <w:rPr>
          <w:rFonts w:hint="eastAsia" w:ascii="宋体" w:hAnsi="宋体" w:eastAsia="方正仿宋_GBK" w:cs="方正仿宋_GBK"/>
          <w:color w:val="auto"/>
          <w:sz w:val="32"/>
          <w:szCs w:val="32"/>
          <w:lang w:bidi="ar"/>
        </w:rPr>
        <w:t>应加强对全省运营协议执行情况的动态跟踪。</w:t>
      </w:r>
    </w:p>
    <w:p w14:paraId="7661ECD2">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189" w:name="_Toc20011"/>
      <w:bookmarkStart w:id="190" w:name="_Toc4041"/>
      <w:bookmarkStart w:id="191" w:name="_Toc16275"/>
      <w:bookmarkStart w:id="192" w:name="_Toc27879"/>
      <w:bookmarkStart w:id="193" w:name="_Toc23486"/>
      <w:bookmarkStart w:id="194" w:name="_Toc780"/>
      <w:bookmarkStart w:id="195" w:name="_Toc16156"/>
      <w:bookmarkStart w:id="196" w:name="_Toc1664"/>
      <w:bookmarkStart w:id="197" w:name="_Toc9489"/>
      <w:bookmarkStart w:id="198" w:name="_Toc21036"/>
      <w:bookmarkStart w:id="199" w:name="_Toc6659"/>
      <w:bookmarkStart w:id="200" w:name="_Toc26492"/>
      <w:bookmarkStart w:id="201" w:name="_Toc16105"/>
      <w:bookmarkStart w:id="202" w:name="_Toc2016"/>
      <w:bookmarkStart w:id="203" w:name="_Toc14215"/>
      <w:bookmarkStart w:id="204" w:name="_Toc11492"/>
      <w:bookmarkStart w:id="205" w:name="_Toc10027"/>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开发主体</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ascii="宋体" w:hAnsi="宋体" w:eastAsia="方正楷体_GBK" w:cs="Times New Roman"/>
          <w:b w:val="0"/>
          <w:bCs w:val="0"/>
          <w:color w:val="auto"/>
          <w:kern w:val="2"/>
          <w:sz w:val="32"/>
          <w:szCs w:val="22"/>
          <w:lang w:val="en-US" w:eastAsia="zh-CN" w:bidi="ar-SA"/>
        </w:rPr>
        <w:t>资格</w:t>
      </w:r>
      <w:r>
        <w:rPr>
          <w:rFonts w:hint="eastAsia" w:ascii="宋体" w:hAnsi="宋体" w:eastAsia="方正楷体_GBK" w:cs="Times New Roman"/>
          <w:b w:val="0"/>
          <w:bCs/>
          <w:color w:val="auto"/>
          <w:kern w:val="2"/>
          <w:sz w:val="32"/>
          <w:szCs w:val="32"/>
          <w:lang w:val="en-US" w:eastAsia="zh-CN" w:bidi="ar-SA"/>
        </w:rPr>
        <w:t>】</w:t>
      </w:r>
    </w:p>
    <w:p w14:paraId="6B7C8B7D">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开发主体</w:t>
      </w:r>
      <w:r>
        <w:rPr>
          <w:rFonts w:hint="eastAsia" w:ascii="宋体" w:hAnsi="宋体" w:eastAsia="方正仿宋_GBK" w:cs="方正仿宋_GBK"/>
          <w:color w:val="auto"/>
          <w:sz w:val="32"/>
          <w:szCs w:val="32"/>
          <w:lang w:val="en-US" w:eastAsia="zh-CN"/>
        </w:rPr>
        <w:t>须为</w:t>
      </w:r>
      <w:r>
        <w:rPr>
          <w:rFonts w:hint="eastAsia" w:ascii="宋体" w:hAnsi="宋体" w:eastAsia="方正仿宋_GBK" w:cs="方正仿宋_GBK"/>
          <w:color w:val="auto"/>
          <w:sz w:val="32"/>
          <w:szCs w:val="32"/>
        </w:rPr>
        <w:t>符合以下条件的</w:t>
      </w:r>
      <w:r>
        <w:rPr>
          <w:rFonts w:hint="eastAsia" w:ascii="宋体" w:hAnsi="宋体" w:eastAsia="方正仿宋_GBK" w:cs="方正仿宋_GBK"/>
          <w:color w:val="auto"/>
          <w:kern w:val="0"/>
          <w:sz w:val="32"/>
          <w:szCs w:val="32"/>
          <w:lang w:bidi="ar"/>
        </w:rPr>
        <w:t>法人组织</w:t>
      </w:r>
      <w:r>
        <w:rPr>
          <w:rFonts w:hint="eastAsia" w:ascii="宋体" w:hAnsi="宋体" w:eastAsia="方正仿宋_GBK" w:cs="方正仿宋_GBK"/>
          <w:color w:val="auto"/>
          <w:sz w:val="32"/>
          <w:szCs w:val="32"/>
        </w:rPr>
        <w:t>：</w:t>
      </w:r>
    </w:p>
    <w:p w14:paraId="59C458C7">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（一）经营状况和信用状况良好；</w:t>
      </w:r>
    </w:p>
    <w:p w14:paraId="50AF5F3C">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（二）具备数据资源开发利用所需的技术服务能力；</w:t>
      </w:r>
    </w:p>
    <w:p w14:paraId="041E613D">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（三）具备成熟的数据管理能力；</w:t>
      </w:r>
    </w:p>
    <w:p w14:paraId="42C58F1D">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（四）具备成熟的数据安全保障能力；</w:t>
      </w:r>
    </w:p>
    <w:p w14:paraId="7B790690">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（五）符合公共数据资源开发利用的其他规定要求。</w:t>
      </w:r>
    </w:p>
    <w:p w14:paraId="43ABD410">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206" w:name="_Toc17093"/>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开发主体</w:t>
      </w:r>
      <w:bookmarkEnd w:id="206"/>
      <w:r>
        <w:rPr>
          <w:rFonts w:hint="eastAsia" w:ascii="宋体" w:hAnsi="宋体" w:eastAsia="方正楷体_GBK" w:cs="Times New Roman"/>
          <w:b w:val="0"/>
          <w:bCs w:val="0"/>
          <w:color w:val="auto"/>
          <w:kern w:val="2"/>
          <w:sz w:val="32"/>
          <w:szCs w:val="22"/>
          <w:lang w:val="en-US" w:eastAsia="zh-CN" w:bidi="ar-SA"/>
        </w:rPr>
        <w:t>选择</w:t>
      </w:r>
      <w:r>
        <w:rPr>
          <w:rFonts w:hint="eastAsia" w:ascii="宋体" w:hAnsi="宋体" w:eastAsia="方正楷体_GBK" w:cs="Times New Roman"/>
          <w:b w:val="0"/>
          <w:bCs/>
          <w:color w:val="auto"/>
          <w:kern w:val="2"/>
          <w:sz w:val="32"/>
          <w:szCs w:val="32"/>
          <w:lang w:val="en-US" w:eastAsia="zh-CN" w:bidi="ar-SA"/>
        </w:rPr>
        <w:t>】</w:t>
      </w:r>
    </w:p>
    <w:p w14:paraId="6A4C2F9B">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运营机构</w:t>
      </w:r>
      <w:r>
        <w:rPr>
          <w:rFonts w:hint="eastAsia" w:ascii="宋体" w:hAnsi="宋体" w:eastAsia="方正仿宋_GBK" w:cs="方正仿宋_GBK"/>
          <w:color w:val="auto"/>
          <w:kern w:val="0"/>
          <w:sz w:val="32"/>
          <w:szCs w:val="32"/>
          <w:lang w:bidi="ar"/>
        </w:rPr>
        <w:t>遵循市场化原则，</w:t>
      </w:r>
      <w:r>
        <w:rPr>
          <w:rFonts w:hint="eastAsia" w:ascii="宋体" w:hAnsi="宋体" w:eastAsia="方正仿宋_GBK" w:cs="方正仿宋_GBK"/>
          <w:color w:val="auto"/>
          <w:sz w:val="32"/>
          <w:szCs w:val="32"/>
        </w:rPr>
        <w:t>通过运营平台发布应用场景开发利用公告，</w:t>
      </w:r>
      <w:r>
        <w:rPr>
          <w:rFonts w:hint="eastAsia" w:ascii="宋体" w:hAnsi="宋体" w:eastAsia="方正仿宋_GBK" w:cs="方正仿宋_GBK"/>
          <w:color w:val="auto"/>
          <w:kern w:val="0"/>
          <w:sz w:val="32"/>
          <w:szCs w:val="32"/>
          <w:lang w:bidi="ar"/>
        </w:rPr>
        <w:t>按照准入条件和应用场景公开公平选择开发主体</w:t>
      </w:r>
      <w:r>
        <w:rPr>
          <w:rFonts w:hint="eastAsia" w:ascii="宋体" w:hAnsi="宋体" w:eastAsia="方正仿宋_GBK" w:cs="方正仿宋_GBK"/>
          <w:color w:val="auto"/>
          <w:sz w:val="32"/>
          <w:szCs w:val="32"/>
        </w:rPr>
        <w:t>。符合条件的</w:t>
      </w:r>
      <w:r>
        <w:rPr>
          <w:rFonts w:hint="eastAsia" w:ascii="宋体" w:hAnsi="宋体" w:eastAsia="方正仿宋_GBK" w:cs="方正仿宋_GBK"/>
          <w:color w:val="auto"/>
          <w:kern w:val="0"/>
          <w:sz w:val="32"/>
          <w:szCs w:val="32"/>
          <w:lang w:bidi="ar"/>
        </w:rPr>
        <w:t>法人组织</w:t>
      </w:r>
      <w:r>
        <w:rPr>
          <w:rFonts w:hint="eastAsia" w:ascii="宋体" w:hAnsi="宋体" w:eastAsia="方正仿宋_GBK" w:cs="方正仿宋_GBK"/>
          <w:color w:val="auto"/>
          <w:sz w:val="32"/>
          <w:szCs w:val="32"/>
        </w:rPr>
        <w:t>，也可以</w:t>
      </w:r>
      <w:r>
        <w:rPr>
          <w:rFonts w:hint="eastAsia" w:ascii="宋体" w:hAnsi="宋体" w:eastAsia="方正仿宋_GBK" w:cs="方正仿宋_GBK"/>
          <w:color w:val="auto"/>
          <w:sz w:val="32"/>
          <w:szCs w:val="32"/>
          <w:lang w:val="en-US" w:eastAsia="zh-CN"/>
        </w:rPr>
        <w:t>基于行业需求构建特色应用场景</w:t>
      </w:r>
      <w:r>
        <w:rPr>
          <w:rFonts w:hint="eastAsia" w:ascii="宋体" w:hAnsi="宋体" w:eastAsia="方正仿宋_GBK" w:cs="方正仿宋_GBK"/>
          <w:color w:val="auto"/>
          <w:sz w:val="32"/>
          <w:szCs w:val="32"/>
        </w:rPr>
        <w:t>，通过运营平台主动提出开发利用申请，运营机构</w:t>
      </w:r>
      <w:r>
        <w:rPr>
          <w:rFonts w:hint="eastAsia" w:ascii="宋体" w:hAnsi="宋体" w:eastAsia="方正仿宋_GBK" w:cs="方正仿宋_GBK"/>
          <w:color w:val="auto"/>
          <w:kern w:val="0"/>
          <w:sz w:val="32"/>
          <w:szCs w:val="32"/>
          <w:lang w:bidi="ar"/>
        </w:rPr>
        <w:t>对其资质能力、需求合理性、场景合规性、安全风险性等进行评估，</w:t>
      </w:r>
      <w:r>
        <w:rPr>
          <w:rFonts w:hint="eastAsia" w:ascii="宋体" w:hAnsi="宋体" w:eastAsia="方正仿宋_GBK" w:cs="方正仿宋_GBK"/>
          <w:color w:val="auto"/>
          <w:sz w:val="32"/>
          <w:szCs w:val="32"/>
        </w:rPr>
        <w:t>按程序审查通过后成为开发主体。</w:t>
      </w:r>
    </w:p>
    <w:p w14:paraId="67CD8710">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开发主体选择包括以下程序：</w:t>
      </w:r>
    </w:p>
    <w:p w14:paraId="3F44B004">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（一）</w:t>
      </w:r>
      <w:r>
        <w:rPr>
          <w:rFonts w:hint="eastAsia" w:ascii="宋体" w:hAnsi="宋体" w:eastAsia="方正仿宋_GBK" w:cs="方正仿宋_GBK"/>
          <w:color w:val="auto"/>
          <w:sz w:val="32"/>
          <w:szCs w:val="32"/>
          <w:lang w:val="en-US" w:eastAsia="zh-CN"/>
        </w:rPr>
        <w:t>申请</w:t>
      </w:r>
      <w:r>
        <w:rPr>
          <w:rFonts w:hint="eastAsia" w:ascii="宋体" w:hAnsi="宋体" w:eastAsia="方正仿宋_GBK" w:cs="方正仿宋_GBK"/>
          <w:color w:val="auto"/>
          <w:sz w:val="32"/>
          <w:szCs w:val="32"/>
        </w:rPr>
        <w:t>。符合条件的</w:t>
      </w:r>
      <w:r>
        <w:rPr>
          <w:rFonts w:hint="eastAsia" w:ascii="宋体" w:hAnsi="宋体" w:eastAsia="方正仿宋_GBK" w:cs="方正仿宋_GBK"/>
          <w:color w:val="auto"/>
          <w:kern w:val="0"/>
          <w:sz w:val="32"/>
          <w:szCs w:val="32"/>
          <w:lang w:bidi="ar"/>
        </w:rPr>
        <w:t>法人组织</w:t>
      </w:r>
      <w:r>
        <w:rPr>
          <w:rFonts w:hint="eastAsia" w:ascii="宋体" w:hAnsi="宋体" w:eastAsia="方正仿宋_GBK" w:cs="方正仿宋_GBK"/>
          <w:color w:val="auto"/>
          <w:sz w:val="32"/>
          <w:szCs w:val="32"/>
        </w:rPr>
        <w:t>通过运营平台注册，并提供以下</w:t>
      </w:r>
      <w:r>
        <w:rPr>
          <w:rFonts w:hint="eastAsia" w:ascii="宋体" w:hAnsi="宋体" w:eastAsia="方正仿宋_GBK" w:cs="方正仿宋_GBK"/>
          <w:color w:val="auto"/>
          <w:sz w:val="32"/>
          <w:szCs w:val="32"/>
          <w:lang w:val="en-US" w:eastAsia="zh-CN"/>
        </w:rPr>
        <w:t>申请</w:t>
      </w:r>
      <w:r>
        <w:rPr>
          <w:rFonts w:hint="eastAsia" w:ascii="宋体" w:hAnsi="宋体" w:eastAsia="方正仿宋_GBK" w:cs="方正仿宋_GBK"/>
          <w:color w:val="auto"/>
          <w:sz w:val="32"/>
          <w:szCs w:val="32"/>
        </w:rPr>
        <w:t>材料：</w:t>
      </w:r>
    </w:p>
    <w:p w14:paraId="2C336D1E">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（1）应用场景开发利用方案；</w:t>
      </w:r>
    </w:p>
    <w:p w14:paraId="09D1C3F1">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（2）数据安全承诺书；</w:t>
      </w:r>
    </w:p>
    <w:p w14:paraId="5229E635">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（3）信用状况报告；</w:t>
      </w:r>
    </w:p>
    <w:p w14:paraId="6672F565">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（4）资格证明材料，包括但不限于数据开发利用所需的管理、技术、安全服务能力证明；</w:t>
      </w:r>
    </w:p>
    <w:p w14:paraId="77C9E9B2">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（5）其他要求提供的材料。</w:t>
      </w:r>
    </w:p>
    <w:p w14:paraId="7EF0672E">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（二）资格审查。运营机构</w:t>
      </w:r>
      <w:r>
        <w:rPr>
          <w:rFonts w:ascii="宋体" w:hAnsi="宋体" w:eastAsia="方正仿宋_GBK" w:cs="方正仿宋_GBK"/>
          <w:color w:val="auto"/>
          <w:sz w:val="32"/>
          <w:szCs w:val="32"/>
        </w:rPr>
        <w:t>根据</w:t>
      </w:r>
      <w:r>
        <w:rPr>
          <w:rFonts w:hint="eastAsia" w:ascii="宋体" w:hAnsi="宋体" w:eastAsia="方正仿宋_GBK" w:cs="方正仿宋_GBK"/>
          <w:color w:val="auto"/>
          <w:sz w:val="32"/>
          <w:szCs w:val="32"/>
        </w:rPr>
        <w:t>应用场景及相关要求，对申请单位提交的资料进行审查，若发现材料存在缺失或不符合规范的情况，应及时告知申请单位在规定时限内完成补充或修正。运营机构可采取资料审阅、现场答辩、专家论证等方式进行资格审查。</w:t>
      </w:r>
    </w:p>
    <w:p w14:paraId="7A1263D0">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（三）公示。运营机构根据资格审查结果，将选定的开发主体相关信息向社会公示不少于5个工作日。</w:t>
      </w:r>
    </w:p>
    <w:p w14:paraId="4B90FCC4">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四）协议签订。经公示无异议后，由运营机构与选定的开发主体签订开发利用协议。开发利用协议应当明确授权运营相关方权利义务、资产权属、收益分配、授权范围、服务期限、服务费用、安全要求、禁止条款、信用承诺、退出机制和违约责任等。协议期限原则上不超过3年。</w:t>
      </w:r>
    </w:p>
    <w:p w14:paraId="408C2F3B">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color w:val="auto"/>
          <w:kern w:val="2"/>
          <w:sz w:val="32"/>
          <w:szCs w:val="32"/>
          <w:lang w:val="en-US" w:eastAsia="zh-CN" w:bidi="ar-SA"/>
        </w:rPr>
      </w:pPr>
      <w:bookmarkStart w:id="207" w:name="_Toc19901"/>
      <w:bookmarkStart w:id="208" w:name="_Toc26371"/>
      <w:bookmarkStart w:id="209" w:name="_Toc15195"/>
      <w:bookmarkStart w:id="210" w:name="_Toc7727"/>
      <w:bookmarkStart w:id="211" w:name="_Toc15002"/>
      <w:bookmarkStart w:id="212" w:name="_Toc15705"/>
      <w:bookmarkStart w:id="213" w:name="_Toc23400"/>
      <w:bookmarkStart w:id="214" w:name="_Toc24699"/>
      <w:bookmarkStart w:id="215" w:name="_Toc24475"/>
      <w:bookmarkStart w:id="216" w:name="_Toc19458"/>
      <w:bookmarkStart w:id="217" w:name="_Toc31999"/>
      <w:bookmarkStart w:id="218" w:name="_Toc3296"/>
      <w:bookmarkStart w:id="219" w:name="_Toc31178"/>
      <w:bookmarkStart w:id="220" w:name="_Toc12749"/>
      <w:bookmarkStart w:id="221" w:name="_Toc28612"/>
      <w:bookmarkStart w:id="222" w:name="_Toc8732"/>
      <w:bookmarkStart w:id="223" w:name="_Toc26870"/>
      <w:r>
        <w:rPr>
          <w:rFonts w:hint="eastAsia" w:ascii="宋体" w:hAnsi="宋体" w:eastAsia="方正楷体_GBK" w:cs="Times New Roman"/>
          <w:b w:val="0"/>
          <w:bCs/>
          <w:color w:val="auto"/>
          <w:kern w:val="2"/>
          <w:sz w:val="32"/>
          <w:szCs w:val="32"/>
          <w:lang w:val="en-US" w:eastAsia="zh-CN" w:bidi="ar-SA"/>
        </w:rPr>
        <w:t>【运营禁止情形】</w:t>
      </w:r>
    </w:p>
    <w:p w14:paraId="19C686EE">
      <w:pPr>
        <w:pageBreakBefore w:val="0"/>
        <w:widowControl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各级行业主管部门及其所属事业单位自行或者委托第三方单位开发形成公共数据产品和服务的，未经本办法规定的授权运营程序，不得向社会提供。法律、法规</w:t>
      </w:r>
      <w:r>
        <w:rPr>
          <w:rFonts w:hint="eastAsia" w:ascii="宋体" w:hAnsi="宋体" w:eastAsia="方正仿宋_GBK" w:cs="方正仿宋_GBK"/>
          <w:color w:val="auto"/>
          <w:sz w:val="32"/>
          <w:szCs w:val="32"/>
          <w:lang w:val="en-US" w:eastAsia="zh-CN"/>
        </w:rPr>
        <w:t>以</w:t>
      </w:r>
      <w:r>
        <w:rPr>
          <w:rFonts w:hint="eastAsia" w:ascii="宋体" w:hAnsi="宋体" w:eastAsia="方正仿宋_GBK" w:cs="方正仿宋_GBK"/>
          <w:color w:val="auto"/>
          <w:sz w:val="32"/>
          <w:szCs w:val="32"/>
        </w:rPr>
        <w:t>及</w:t>
      </w:r>
      <w:r>
        <w:rPr>
          <w:rFonts w:hint="eastAsia" w:ascii="宋体" w:hAnsi="宋体" w:eastAsia="方正仿宋_GBK" w:cs="方正仿宋_GBK"/>
          <w:color w:val="auto"/>
          <w:sz w:val="32"/>
          <w:szCs w:val="32"/>
          <w:lang w:val="en-US" w:eastAsia="zh-CN"/>
        </w:rPr>
        <w:t>其他</w:t>
      </w:r>
      <w:r>
        <w:rPr>
          <w:rFonts w:hint="eastAsia" w:ascii="宋体" w:hAnsi="宋体" w:eastAsia="方正仿宋_GBK" w:cs="方正仿宋_GBK"/>
          <w:color w:val="auto"/>
          <w:sz w:val="32"/>
          <w:szCs w:val="32"/>
          <w:lang w:val="en-US"/>
        </w:rPr>
        <w:t>有特别</w:t>
      </w:r>
      <w:r>
        <w:rPr>
          <w:rFonts w:hint="eastAsia" w:ascii="宋体" w:hAnsi="宋体" w:eastAsia="方正仿宋_GBK" w:cs="方正仿宋_GBK"/>
          <w:color w:val="auto"/>
          <w:sz w:val="32"/>
          <w:szCs w:val="32"/>
        </w:rPr>
        <w:t>规定的，从其规定。</w:t>
      </w:r>
    </w:p>
    <w:p w14:paraId="7C74AB06">
      <w:pPr>
        <w:keepNext w:val="0"/>
        <w:keepLines w:val="0"/>
        <w:pageBreakBefore w:val="0"/>
        <w:widowControl w:val="0"/>
        <w:tabs>
          <w:tab w:val="left" w:pos="-399"/>
          <w:tab w:val="left" w:pos="0"/>
          <w:tab w:val="left" w:pos="26"/>
        </w:tabs>
        <w:kinsoku/>
        <w:wordWrap/>
        <w:overflowPunct w:val="0"/>
        <w:topLinePunct w:val="0"/>
        <w:autoSpaceDE/>
        <w:autoSpaceDN/>
        <w:bidi w:val="0"/>
        <w:adjustRightInd/>
        <w:snapToGrid/>
        <w:spacing w:before="0" w:after="0" w:line="594" w:lineRule="exact"/>
        <w:ind w:firstLine="200"/>
        <w:jc w:val="center"/>
        <w:textAlignment w:val="auto"/>
        <w:outlineLvl w:val="0"/>
        <w:rPr>
          <w:rFonts w:ascii="宋体" w:hAnsi="宋体" w:eastAsia="方正仿宋_GBK" w:cs="方正仿宋_GBK"/>
          <w:b/>
          <w:color w:val="auto"/>
          <w:kern w:val="44"/>
          <w:sz w:val="32"/>
          <w:szCs w:val="32"/>
          <w:lang w:val="en-US" w:eastAsia="zh-CN" w:bidi="ar-SA"/>
        </w:rPr>
      </w:pPr>
      <w:r>
        <w:rPr>
          <w:rFonts w:hint="eastAsia" w:ascii="宋体" w:hAnsi="宋体" w:eastAsia="方正黑体_GBK" w:cs="Times New Roman"/>
          <w:b w:val="0"/>
          <w:color w:val="auto"/>
          <w:spacing w:val="6"/>
          <w:kern w:val="44"/>
          <w:sz w:val="32"/>
          <w:szCs w:val="15"/>
          <w:lang w:val="zh-CN" w:eastAsia="zh-CN" w:bidi="zh-CN"/>
        </w:rPr>
        <w:t>第</w:t>
      </w:r>
      <w:r>
        <w:rPr>
          <w:rFonts w:hint="eastAsia" w:ascii="宋体" w:hAnsi="宋体" w:eastAsia="方正黑体_GBK" w:cs="Times New Roman"/>
          <w:b w:val="0"/>
          <w:color w:val="auto"/>
          <w:spacing w:val="6"/>
          <w:kern w:val="44"/>
          <w:sz w:val="32"/>
          <w:szCs w:val="15"/>
          <w:lang w:val="en-US" w:eastAsia="zh-CN" w:bidi="zh-CN"/>
        </w:rPr>
        <w:t>三</w:t>
      </w:r>
      <w:r>
        <w:rPr>
          <w:rFonts w:hint="eastAsia" w:ascii="宋体" w:hAnsi="宋体" w:eastAsia="方正黑体_GBK" w:cs="Times New Roman"/>
          <w:b w:val="0"/>
          <w:color w:val="auto"/>
          <w:spacing w:val="6"/>
          <w:kern w:val="44"/>
          <w:sz w:val="32"/>
          <w:szCs w:val="15"/>
          <w:lang w:val="zh-CN" w:eastAsia="zh-CN" w:bidi="zh-CN"/>
        </w:rPr>
        <w:t>章 数据</w:t>
      </w:r>
      <w:bookmarkEnd w:id="207"/>
      <w:bookmarkEnd w:id="208"/>
      <w:bookmarkEnd w:id="209"/>
      <w:r>
        <w:rPr>
          <w:rFonts w:hint="eastAsia" w:ascii="宋体" w:hAnsi="宋体" w:eastAsia="方正黑体_GBK" w:cs="Times New Roman"/>
          <w:b w:val="0"/>
          <w:color w:val="auto"/>
          <w:spacing w:val="6"/>
          <w:kern w:val="44"/>
          <w:sz w:val="32"/>
          <w:szCs w:val="15"/>
          <w:lang w:val="en-US" w:eastAsia="zh-CN" w:bidi="zh-CN"/>
        </w:rPr>
        <w:t>管理</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C7F925A">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224" w:name="_Toc15084"/>
      <w:bookmarkStart w:id="225" w:name="_Toc21109"/>
      <w:bookmarkStart w:id="226" w:name="_Toc12435"/>
      <w:bookmarkStart w:id="227" w:name="_Toc242"/>
      <w:bookmarkStart w:id="228" w:name="_Toc16113"/>
      <w:bookmarkStart w:id="229" w:name="_Toc16029"/>
      <w:bookmarkStart w:id="230" w:name="_Toc4211"/>
      <w:bookmarkStart w:id="231" w:name="_Toc1928"/>
      <w:bookmarkStart w:id="232" w:name="_Toc13697"/>
      <w:bookmarkStart w:id="233" w:name="_Toc412"/>
      <w:bookmarkStart w:id="234" w:name="_Toc28093"/>
      <w:bookmarkStart w:id="235" w:name="_Toc32316"/>
      <w:bookmarkStart w:id="236" w:name="_Toc24110"/>
      <w:bookmarkStart w:id="237" w:name="_Toc3753"/>
      <w:bookmarkStart w:id="238" w:name="_Toc24802"/>
      <w:bookmarkStart w:id="239" w:name="_Toc26937"/>
      <w:bookmarkStart w:id="240" w:name="_Toc27614"/>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授权数据范围</w:t>
      </w:r>
      <w:bookmarkEnd w:id="224"/>
      <w:bookmarkEnd w:id="225"/>
      <w:bookmarkEnd w:id="226"/>
      <w:bookmarkEnd w:id="227"/>
      <w:bookmarkEnd w:id="228"/>
      <w:r>
        <w:rPr>
          <w:rFonts w:hint="eastAsia" w:ascii="宋体" w:hAnsi="宋体" w:eastAsia="方正楷体_GBK" w:cs="Times New Roman"/>
          <w:b w:val="0"/>
          <w:bCs/>
          <w:color w:val="auto"/>
          <w:kern w:val="2"/>
          <w:sz w:val="32"/>
          <w:szCs w:val="32"/>
          <w:lang w:val="en-US" w:eastAsia="zh-CN" w:bidi="ar-SA"/>
        </w:rPr>
        <w:t>】</w:t>
      </w:r>
    </w:p>
    <w:p w14:paraId="25733A76">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ascii="宋体" w:hAnsi="宋体" w:eastAsia="方正仿宋_GBK" w:cs="方正仿宋_GBK"/>
          <w:color w:val="auto"/>
          <w:sz w:val="32"/>
          <w:szCs w:val="32"/>
        </w:rPr>
        <w:t>县级以上地方各</w:t>
      </w:r>
      <w:r>
        <w:rPr>
          <w:rFonts w:hint="eastAsia" w:ascii="宋体" w:hAnsi="宋体" w:eastAsia="方正仿宋_GBK" w:cs="方正仿宋_GBK"/>
          <w:color w:val="auto"/>
          <w:sz w:val="32"/>
          <w:szCs w:val="32"/>
        </w:rPr>
        <w:t>级人民政府持有的公共数据资源，在落实数据分类分级保护制度要求，不危害国家安全、公共利益，不侵犯商业秘密和个人隐私、个人信息权益等合法权益前提下，应纳入授权运营范围。对确需排除在授权运营范围之外的公共数据资源，应当说明理由，报本级人民政府审议，形成负面清单。</w:t>
      </w:r>
    </w:p>
    <w:p w14:paraId="22DDAB4C">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负面清单由各级</w:t>
      </w:r>
      <w:r>
        <w:rPr>
          <w:rFonts w:hint="eastAsia" w:ascii="宋体" w:hAnsi="宋体" w:eastAsia="方正仿宋_GBK" w:cs="方正仿宋_GBK"/>
          <w:color w:val="auto"/>
          <w:sz w:val="32"/>
          <w:szCs w:val="32"/>
          <w:lang w:eastAsia="zh-CN"/>
        </w:rPr>
        <w:t>数据主管部门</w:t>
      </w:r>
      <w:r>
        <w:rPr>
          <w:rFonts w:hint="eastAsia" w:ascii="宋体" w:hAnsi="宋体" w:eastAsia="方正仿宋_GBK" w:cs="方正仿宋_GBK"/>
          <w:color w:val="auto"/>
          <w:sz w:val="32"/>
          <w:szCs w:val="32"/>
        </w:rPr>
        <w:t>实行动态管理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每年复核。</w:t>
      </w:r>
    </w:p>
    <w:bookmarkEnd w:id="229"/>
    <w:bookmarkEnd w:id="230"/>
    <w:bookmarkEnd w:id="231"/>
    <w:bookmarkEnd w:id="232"/>
    <w:bookmarkEnd w:id="233"/>
    <w:bookmarkEnd w:id="234"/>
    <w:bookmarkEnd w:id="235"/>
    <w:bookmarkEnd w:id="236"/>
    <w:bookmarkEnd w:id="237"/>
    <w:bookmarkEnd w:id="238"/>
    <w:bookmarkEnd w:id="239"/>
    <w:bookmarkEnd w:id="240"/>
    <w:p w14:paraId="0804EC07">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241" w:name="_Toc4701"/>
      <w:bookmarkStart w:id="242" w:name="_Toc8812"/>
      <w:bookmarkStart w:id="243" w:name="_Toc30780"/>
      <w:bookmarkStart w:id="244" w:name="_Toc26094"/>
      <w:bookmarkStart w:id="245" w:name="_Toc24300"/>
      <w:bookmarkStart w:id="246" w:name="_Toc29221"/>
      <w:bookmarkStart w:id="247" w:name="_Toc21013"/>
      <w:bookmarkStart w:id="248" w:name="_Toc14228"/>
      <w:bookmarkStart w:id="249" w:name="_Toc22772"/>
      <w:bookmarkStart w:id="250" w:name="_Toc5251"/>
      <w:bookmarkStart w:id="251" w:name="_Toc21659"/>
      <w:bookmarkStart w:id="252" w:name="_Toc32190"/>
      <w:bookmarkStart w:id="253" w:name="_Toc21110"/>
      <w:bookmarkStart w:id="254" w:name="_Toc13315"/>
      <w:bookmarkStart w:id="255" w:name="_Toc12092"/>
      <w:bookmarkStart w:id="256" w:name="_Toc16803"/>
      <w:bookmarkStart w:id="257" w:name="_Toc22825"/>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数据汇聚管理</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Fonts w:hint="eastAsia" w:ascii="宋体" w:hAnsi="宋体" w:eastAsia="方正楷体_GBK" w:cs="Times New Roman"/>
          <w:b w:val="0"/>
          <w:bCs/>
          <w:color w:val="auto"/>
          <w:kern w:val="2"/>
          <w:sz w:val="32"/>
          <w:szCs w:val="32"/>
          <w:lang w:val="en-US" w:eastAsia="zh-CN" w:bidi="ar-SA"/>
        </w:rPr>
        <w:t>】</w:t>
      </w:r>
    </w:p>
    <w:p w14:paraId="2125E879">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纳入授权运营范围的公共数据资源应按照“应归尽归”的原则，全量归集至全省一体化公共数据平台。</w:t>
      </w:r>
      <w:r>
        <w:rPr>
          <w:rFonts w:hint="eastAsia" w:ascii="宋体" w:hAnsi="宋体" w:eastAsia="方正仿宋_GBK" w:cs="Times New Roman"/>
          <w:color w:val="auto"/>
          <w:sz w:val="32"/>
          <w:szCs w:val="32"/>
          <w:shd w:val="clear" w:color="auto" w:fill="FFFFFF"/>
        </w:rPr>
        <w:t>数据提供单位应当配合</w:t>
      </w:r>
      <w:r>
        <w:rPr>
          <w:rFonts w:hint="eastAsia" w:ascii="宋体" w:hAnsi="宋体" w:eastAsia="方正仿宋_GBK" w:cs="Times New Roman"/>
          <w:color w:val="auto"/>
          <w:sz w:val="32"/>
          <w:szCs w:val="32"/>
          <w:shd w:val="clear" w:color="auto" w:fill="FFFFFF"/>
          <w:lang w:eastAsia="zh-CN"/>
        </w:rPr>
        <w:t>数据主管部门</w:t>
      </w:r>
      <w:r>
        <w:rPr>
          <w:rFonts w:hint="eastAsia" w:ascii="宋体" w:hAnsi="宋体" w:eastAsia="方正仿宋_GBK" w:cs="Times New Roman"/>
          <w:color w:val="auto"/>
          <w:sz w:val="32"/>
          <w:szCs w:val="32"/>
          <w:shd w:val="clear" w:color="auto" w:fill="FFFFFF"/>
        </w:rPr>
        <w:t>开展数据归集工作。</w:t>
      </w:r>
    </w:p>
    <w:p w14:paraId="1939B87F">
      <w:pPr>
        <w:pageBreakBefore w:val="0"/>
        <w:widowControl w:val="0"/>
        <w:kinsoku/>
        <w:wordWrap/>
        <w:overflowPunct w:val="0"/>
        <w:topLinePunct w:val="0"/>
        <w:autoSpaceDE/>
        <w:autoSpaceDN/>
        <w:bidi w:val="0"/>
        <w:adjustRightInd/>
        <w:snapToGrid/>
        <w:spacing w:before="0" w:beforeAutospacing="0" w:after="0" w:afterAutospacing="0" w:line="594" w:lineRule="exact"/>
        <w:ind w:firstLine="640" w:firstLineChars="200"/>
        <w:jc w:val="left"/>
        <w:textAlignment w:val="auto"/>
        <w:rPr>
          <w:rFonts w:ascii="宋体" w:hAnsi="宋体" w:eastAsia="方正仿宋_GBK" w:cs="方正仿宋_GBK"/>
          <w:color w:val="auto"/>
          <w:kern w:val="0"/>
          <w:sz w:val="32"/>
          <w:szCs w:val="32"/>
          <w:highlight w:val="none"/>
          <w:lang w:val="en-US" w:eastAsia="zh-CN" w:bidi="ar-SA"/>
        </w:rPr>
      </w:pPr>
      <w:r>
        <w:rPr>
          <w:rFonts w:hint="eastAsia" w:ascii="宋体" w:hAnsi="宋体" w:eastAsia="方正仿宋_GBK" w:cs="方正仿宋_GBK"/>
          <w:color w:val="auto"/>
          <w:kern w:val="0"/>
          <w:sz w:val="32"/>
          <w:szCs w:val="32"/>
          <w:highlight w:val="none"/>
          <w:lang w:val="en-US" w:eastAsia="zh-CN" w:bidi="ar-SA"/>
        </w:rPr>
        <w:t>省级</w:t>
      </w:r>
      <w:r>
        <w:rPr>
          <w:rFonts w:hint="eastAsia" w:ascii="宋体" w:hAnsi="宋体" w:eastAsia="方正仿宋_GBK" w:cs="方正仿宋_GBK"/>
          <w:color w:val="auto"/>
          <w:kern w:val="0"/>
          <w:sz w:val="32"/>
          <w:szCs w:val="32"/>
          <w:highlight w:val="none"/>
          <w:lang w:val="en-US" w:eastAsia="zh-CN" w:bidi="ar"/>
        </w:rPr>
        <w:t>归集的公共数据资源，经数据提供单位同意，可以原始格式按需向州（市）回流，支持州（市）开展公共数据资源授权运营。</w:t>
      </w:r>
    </w:p>
    <w:p w14:paraId="7BF217D0">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258" w:name="_Toc30590"/>
      <w:bookmarkStart w:id="259" w:name="_Toc1229"/>
      <w:bookmarkStart w:id="260" w:name="_Toc23284"/>
      <w:bookmarkStart w:id="261" w:name="_Toc5565"/>
      <w:bookmarkStart w:id="262" w:name="_Toc30289"/>
      <w:bookmarkStart w:id="263" w:name="_Toc19187"/>
      <w:bookmarkStart w:id="264" w:name="_Toc19642"/>
      <w:bookmarkStart w:id="265" w:name="_Toc32581"/>
      <w:bookmarkStart w:id="266" w:name="_Toc15258"/>
      <w:bookmarkStart w:id="267" w:name="_Toc27330"/>
      <w:bookmarkStart w:id="268" w:name="_Toc18641"/>
      <w:bookmarkStart w:id="269" w:name="_Toc19538"/>
      <w:bookmarkStart w:id="270" w:name="_Toc7522"/>
      <w:bookmarkStart w:id="271" w:name="_Toc24670"/>
      <w:bookmarkStart w:id="272" w:name="_Toc6807"/>
      <w:bookmarkStart w:id="273" w:name="_Toc19947"/>
      <w:bookmarkStart w:id="274" w:name="_Toc30303"/>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数据质量管理</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hint="eastAsia" w:ascii="宋体" w:hAnsi="宋体" w:eastAsia="方正楷体_GBK" w:cs="Times New Roman"/>
          <w:b w:val="0"/>
          <w:bCs/>
          <w:color w:val="auto"/>
          <w:kern w:val="2"/>
          <w:sz w:val="32"/>
          <w:szCs w:val="32"/>
          <w:lang w:val="en-US" w:eastAsia="zh-CN" w:bidi="ar-SA"/>
        </w:rPr>
        <w:t>】</w:t>
      </w:r>
    </w:p>
    <w:p w14:paraId="7D38D819">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数据主管部门</w:t>
      </w:r>
      <w:r>
        <w:rPr>
          <w:rFonts w:hint="eastAsia" w:ascii="宋体" w:hAnsi="宋体" w:eastAsia="方正仿宋_GBK" w:cs="方正仿宋_GBK"/>
          <w:color w:val="auto"/>
          <w:sz w:val="32"/>
          <w:szCs w:val="32"/>
        </w:rPr>
        <w:t>应建立数据质量监测和评价、问题数据纠错、异议核实处理的工作机制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制定公共数据资源</w:t>
      </w:r>
      <w:r>
        <w:rPr>
          <w:rFonts w:hint="eastAsia" w:ascii="宋体" w:hAnsi="宋体" w:eastAsia="方正仿宋_GBK" w:cs="方正仿宋_GBK"/>
          <w:color w:val="auto"/>
          <w:sz w:val="32"/>
          <w:szCs w:val="32"/>
          <w:lang w:val="en-US" w:eastAsia="zh-CN"/>
        </w:rPr>
        <w:t>质量</w:t>
      </w:r>
      <w:r>
        <w:rPr>
          <w:rFonts w:hint="eastAsia" w:ascii="宋体" w:hAnsi="宋体" w:eastAsia="方正仿宋_GBK" w:cs="方正仿宋_GBK"/>
          <w:color w:val="auto"/>
          <w:sz w:val="32"/>
          <w:szCs w:val="32"/>
        </w:rPr>
        <w:t>标准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不断提升数据质量。</w:t>
      </w:r>
    </w:p>
    <w:p w14:paraId="41398A03">
      <w:pPr>
        <w:keepNext w:val="0"/>
        <w:keepLines w:val="0"/>
        <w:pageBreakBefore w:val="0"/>
        <w:widowControl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运营机构对发现的数据质量问题，</w:t>
      </w:r>
      <w:r>
        <w:rPr>
          <w:rFonts w:hint="eastAsia" w:ascii="宋体" w:hAnsi="宋体" w:eastAsia="方正仿宋_GBK" w:cs="方正仿宋_GBK"/>
          <w:color w:val="auto"/>
          <w:sz w:val="32"/>
          <w:szCs w:val="32"/>
          <w:lang w:bidi="ar"/>
        </w:rPr>
        <w:t>可通过公共数据平台提出数据校核需求，</w:t>
      </w:r>
      <w:r>
        <w:rPr>
          <w:rFonts w:hint="eastAsia" w:ascii="宋体" w:hAnsi="宋体" w:eastAsia="方正仿宋_GBK" w:cs="Times New Roman"/>
          <w:color w:val="auto"/>
          <w:sz w:val="32"/>
          <w:lang w:eastAsia="zh-CN"/>
        </w:rPr>
        <w:t>数据提供单位</w:t>
      </w:r>
      <w:r>
        <w:rPr>
          <w:rFonts w:hint="eastAsia" w:ascii="宋体" w:hAnsi="宋体" w:eastAsia="方正仿宋_GBK" w:cs="方正仿宋_GBK"/>
          <w:color w:val="auto"/>
          <w:sz w:val="32"/>
          <w:szCs w:val="32"/>
          <w:lang w:val="en-US" w:eastAsia="zh-CN"/>
        </w:rPr>
        <w:t>应当自收到数据校核申请之日起10个工作日内予以核实、更正并反馈校核处理结果。</w:t>
      </w:r>
    </w:p>
    <w:p w14:paraId="3B1AD444">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Times New Roman"/>
          <w:color w:val="auto"/>
          <w:sz w:val="32"/>
        </w:rPr>
      </w:pPr>
      <w:r>
        <w:rPr>
          <w:rFonts w:hint="eastAsia" w:ascii="宋体" w:hAnsi="宋体" w:eastAsia="方正仿宋_GBK" w:cs="Times New Roman"/>
          <w:color w:val="auto"/>
          <w:sz w:val="32"/>
          <w:lang w:eastAsia="zh-CN"/>
        </w:rPr>
        <w:t>数据提供单位</w:t>
      </w:r>
      <w:r>
        <w:rPr>
          <w:rFonts w:hint="eastAsia" w:ascii="宋体" w:hAnsi="宋体" w:eastAsia="方正仿宋_GBK" w:cs="Times New Roman"/>
          <w:color w:val="auto"/>
          <w:sz w:val="32"/>
        </w:rPr>
        <w:t>应当加强源头数据质量管理，确保数据准确性、完整性、一致性、及时性。</w:t>
      </w:r>
    </w:p>
    <w:p w14:paraId="1A4E9463">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数据资源登记</w:t>
      </w:r>
      <w:r>
        <w:rPr>
          <w:rFonts w:hint="eastAsia" w:ascii="宋体" w:hAnsi="宋体" w:eastAsia="方正楷体_GBK" w:cs="Times New Roman"/>
          <w:b w:val="0"/>
          <w:bCs/>
          <w:color w:val="auto"/>
          <w:kern w:val="2"/>
          <w:sz w:val="32"/>
          <w:szCs w:val="32"/>
          <w:lang w:val="en-US" w:eastAsia="zh-CN" w:bidi="ar-SA"/>
        </w:rPr>
        <w:t>】</w:t>
      </w:r>
    </w:p>
    <w:p w14:paraId="3ABDCC68">
      <w:pPr>
        <w:pageBreakBefore w:val="0"/>
        <w:widowControl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纳入授权运营范围的公共数据资源</w:t>
      </w:r>
      <w:r>
        <w:rPr>
          <w:rFonts w:hint="eastAsia" w:ascii="宋体" w:hAnsi="宋体" w:eastAsia="方正仿宋_GBK" w:cs="方正仿宋_GBK"/>
          <w:strike w:val="0"/>
          <w:dstrike w:val="0"/>
          <w:color w:val="auto"/>
          <w:sz w:val="32"/>
          <w:szCs w:val="32"/>
        </w:rPr>
        <w:t>及开发形成的公共数据产品和服务</w:t>
      </w:r>
      <w:r>
        <w:rPr>
          <w:rFonts w:hint="eastAsia" w:ascii="宋体" w:hAnsi="宋体" w:eastAsia="方正仿宋_GBK" w:cs="方正仿宋_GBK"/>
          <w:strike w:val="0"/>
          <w:color w:val="auto"/>
          <w:sz w:val="32"/>
          <w:szCs w:val="32"/>
        </w:rPr>
        <w:t>，</w:t>
      </w:r>
      <w:r>
        <w:rPr>
          <w:rFonts w:hint="eastAsia" w:ascii="宋体" w:hAnsi="宋体" w:eastAsia="方正仿宋_GBK" w:cs="方正仿宋_GBK"/>
          <w:color w:val="auto"/>
          <w:sz w:val="32"/>
          <w:szCs w:val="32"/>
        </w:rPr>
        <w:t>应当进行公共数据资源登记、编制公共数据资源目录。已开展公共数据资源授权运营的，应当进行补充登记。</w:t>
      </w:r>
    </w:p>
    <w:p w14:paraId="30E6BBA8">
      <w:pPr>
        <w:pageBreakBefore w:val="0"/>
        <w:kinsoku/>
        <w:wordWrap/>
        <w:overflowPunct w:val="0"/>
        <w:topLinePunct w:val="0"/>
        <w:autoSpaceDE/>
        <w:autoSpaceDN/>
        <w:bidi w:val="0"/>
        <w:adjustRightInd/>
        <w:snapToGrid/>
        <w:spacing w:before="0" w:after="0" w:line="594" w:lineRule="exact"/>
        <w:ind w:firstLine="640" w:firstLineChars="200"/>
        <w:jc w:val="left"/>
        <w:textAlignment w:val="auto"/>
        <w:rPr>
          <w:rFonts w:ascii="宋体" w:hAnsi="宋体" w:eastAsia="方正仿宋_GBK" w:cs="方正仿宋_GBK"/>
          <w:strike w:val="0"/>
          <w:dstrike w:val="0"/>
          <w:color w:val="auto"/>
          <w:sz w:val="32"/>
          <w:szCs w:val="32"/>
        </w:rPr>
      </w:pPr>
      <w:r>
        <w:rPr>
          <w:rFonts w:hint="eastAsia" w:ascii="宋体" w:hAnsi="宋体" w:eastAsia="方正仿宋_GBK" w:cs="方正仿宋_GBK"/>
          <w:strike w:val="0"/>
          <w:dstrike w:val="0"/>
          <w:color w:val="auto"/>
          <w:sz w:val="32"/>
          <w:szCs w:val="32"/>
        </w:rPr>
        <w:t>公共数据资源登记按照国家、省相关规定执行。</w:t>
      </w:r>
    </w:p>
    <w:p w14:paraId="37A5807F">
      <w:pPr>
        <w:keepNext w:val="0"/>
        <w:keepLines w:val="0"/>
        <w:pageBreakBefore w:val="0"/>
        <w:widowControl w:val="0"/>
        <w:tabs>
          <w:tab w:val="left" w:pos="-399"/>
          <w:tab w:val="left" w:pos="0"/>
          <w:tab w:val="left" w:pos="26"/>
        </w:tabs>
        <w:kinsoku/>
        <w:wordWrap/>
        <w:overflowPunct w:val="0"/>
        <w:topLinePunct w:val="0"/>
        <w:autoSpaceDE/>
        <w:autoSpaceDN/>
        <w:bidi w:val="0"/>
        <w:adjustRightInd/>
        <w:snapToGrid/>
        <w:spacing w:before="0" w:after="0" w:line="594" w:lineRule="exact"/>
        <w:ind w:firstLine="200"/>
        <w:jc w:val="center"/>
        <w:textAlignment w:val="auto"/>
        <w:outlineLvl w:val="0"/>
        <w:rPr>
          <w:rFonts w:ascii="宋体" w:hAnsi="宋体" w:eastAsia="方正黑体_GBK" w:cs="Times New Roman"/>
          <w:b w:val="0"/>
          <w:color w:val="auto"/>
          <w:spacing w:val="6"/>
          <w:kern w:val="44"/>
          <w:sz w:val="32"/>
          <w:szCs w:val="15"/>
          <w:lang w:val="zh-CN" w:eastAsia="zh-CN" w:bidi="zh-CN"/>
        </w:rPr>
      </w:pPr>
      <w:r>
        <w:rPr>
          <w:rFonts w:hint="eastAsia" w:ascii="宋体" w:hAnsi="宋体" w:eastAsia="方正黑体_GBK" w:cs="Times New Roman"/>
          <w:b w:val="0"/>
          <w:color w:val="auto"/>
          <w:spacing w:val="6"/>
          <w:kern w:val="44"/>
          <w:sz w:val="32"/>
          <w:szCs w:val="15"/>
          <w:lang w:val="zh-CN" w:eastAsia="zh-CN" w:bidi="zh-CN"/>
        </w:rPr>
        <w:t>第</w:t>
      </w:r>
      <w:r>
        <w:rPr>
          <w:rFonts w:hint="eastAsia" w:ascii="宋体" w:hAnsi="宋体" w:eastAsia="方正黑体_GBK" w:cs="Times New Roman"/>
          <w:b w:val="0"/>
          <w:color w:val="auto"/>
          <w:spacing w:val="6"/>
          <w:kern w:val="44"/>
          <w:sz w:val="32"/>
          <w:szCs w:val="15"/>
          <w:lang w:val="en-US" w:eastAsia="zh-CN" w:bidi="zh-CN"/>
        </w:rPr>
        <w:t>四</w:t>
      </w:r>
      <w:r>
        <w:rPr>
          <w:rFonts w:hint="eastAsia" w:ascii="宋体" w:hAnsi="宋体" w:eastAsia="方正黑体_GBK" w:cs="Times New Roman"/>
          <w:b w:val="0"/>
          <w:color w:val="auto"/>
          <w:spacing w:val="6"/>
          <w:kern w:val="44"/>
          <w:sz w:val="32"/>
          <w:szCs w:val="15"/>
          <w:lang w:val="zh-CN" w:eastAsia="zh-CN" w:bidi="zh-CN"/>
        </w:rPr>
        <w:t xml:space="preserve">章 </w:t>
      </w:r>
      <w:r>
        <w:rPr>
          <w:rFonts w:hint="eastAsia" w:ascii="宋体" w:hAnsi="宋体" w:eastAsia="方正黑体_GBK" w:cs="Times New Roman"/>
          <w:b w:val="0"/>
          <w:color w:val="auto"/>
          <w:spacing w:val="6"/>
          <w:kern w:val="44"/>
          <w:sz w:val="32"/>
          <w:szCs w:val="15"/>
          <w:lang w:val="en-US" w:eastAsia="zh-CN" w:bidi="zh-CN"/>
        </w:rPr>
        <w:t>运营实施</w:t>
      </w:r>
    </w:p>
    <w:p w14:paraId="5F7F33B1">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仿宋_GBK" w:cs="方正仿宋_GBK"/>
          <w:b w:val="0"/>
          <w:bCs w:val="0"/>
          <w:color w:val="auto"/>
          <w:kern w:val="2"/>
          <w:sz w:val="32"/>
          <w:szCs w:val="32"/>
          <w:lang w:val="en-US" w:eastAsia="zh-CN" w:bidi="ar"/>
        </w:rPr>
      </w:pPr>
      <w:bookmarkStart w:id="275" w:name="_Toc2369"/>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
        </w:rPr>
        <w:t>应用场景拓展</w:t>
      </w:r>
      <w:bookmarkEnd w:id="275"/>
      <w:r>
        <w:rPr>
          <w:rFonts w:hint="eastAsia" w:ascii="宋体" w:hAnsi="宋体" w:eastAsia="方正楷体_GBK" w:cs="Times New Roman"/>
          <w:b w:val="0"/>
          <w:bCs/>
          <w:color w:val="auto"/>
          <w:kern w:val="2"/>
          <w:sz w:val="32"/>
          <w:szCs w:val="32"/>
          <w:lang w:val="en-US" w:eastAsia="zh-CN" w:bidi="ar-SA"/>
        </w:rPr>
        <w:t>】</w:t>
      </w:r>
    </w:p>
    <w:p w14:paraId="286D03F9">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运营机构应积极探索，广泛挖掘公共数据资源应用需求，丰富数据产品和服务，推动市场规模持续壮大。鼓励企业、科研院所等社会主体积极拓展</w:t>
      </w:r>
      <w:r>
        <w:rPr>
          <w:rFonts w:hint="eastAsia" w:ascii="宋体" w:hAnsi="宋体" w:eastAsia="方正仿宋_GBK" w:cs="方正仿宋_GBK"/>
          <w:color w:val="auto"/>
          <w:kern w:val="0"/>
          <w:sz w:val="32"/>
          <w:szCs w:val="32"/>
          <w:lang w:bidi="ar"/>
        </w:rPr>
        <w:t>创新应用场景</w:t>
      </w:r>
      <w:r>
        <w:rPr>
          <w:rFonts w:hint="eastAsia" w:ascii="宋体" w:hAnsi="宋体" w:eastAsia="方正仿宋_GBK" w:cs="方正仿宋_GBK"/>
          <w:color w:val="auto"/>
          <w:sz w:val="32"/>
          <w:szCs w:val="32"/>
        </w:rPr>
        <w:t>，申请成为开发主体，促进公共数据资源开发利用。</w:t>
      </w:r>
    </w:p>
    <w:p w14:paraId="30A05E42">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仿宋" w:cs="Times New Roman"/>
          <w:b/>
          <w:bCs/>
          <w:color w:val="auto"/>
          <w:kern w:val="2"/>
          <w:sz w:val="32"/>
          <w:szCs w:val="32"/>
          <w:lang w:val="en-US" w:eastAsia="zh-CN" w:bidi="ar-SA"/>
        </w:rPr>
      </w:pPr>
      <w:bookmarkStart w:id="276" w:name="_Toc32389"/>
      <w:bookmarkStart w:id="277" w:name="_Toc21609"/>
      <w:bookmarkStart w:id="278" w:name="_Toc30166"/>
      <w:bookmarkStart w:id="279" w:name="_Toc15577"/>
      <w:bookmarkStart w:id="280" w:name="_Toc19919"/>
      <w:bookmarkStart w:id="281" w:name="_Toc26341"/>
      <w:r>
        <w:rPr>
          <w:rFonts w:hint="eastAsia" w:ascii="宋体" w:hAnsi="宋体" w:eastAsia="方正楷体_GBK" w:cs="Times New Roman"/>
          <w:b w:val="0"/>
          <w:bCs/>
          <w:color w:val="auto"/>
          <w:kern w:val="2"/>
          <w:sz w:val="32"/>
          <w:szCs w:val="32"/>
          <w:lang w:val="en-US" w:eastAsia="zh-CN" w:bidi="ar-SA"/>
        </w:rPr>
        <w:t>【</w:t>
      </w:r>
      <w:r>
        <w:rPr>
          <w:rFonts w:ascii="宋体" w:hAnsi="宋体" w:eastAsia="方正楷体_GBK" w:cs="Times New Roman"/>
          <w:b w:val="0"/>
          <w:bCs w:val="0"/>
          <w:color w:val="auto"/>
          <w:kern w:val="2"/>
          <w:sz w:val="32"/>
          <w:szCs w:val="22"/>
          <w:lang w:val="en-US" w:eastAsia="zh-CN" w:bidi="ar-SA"/>
        </w:rPr>
        <w:t>数据申请</w:t>
      </w:r>
      <w:r>
        <w:rPr>
          <w:rFonts w:hint="eastAsia" w:ascii="宋体" w:hAnsi="宋体" w:eastAsia="方正楷体_GBK" w:cs="Times New Roman"/>
          <w:b w:val="0"/>
          <w:bCs w:val="0"/>
          <w:color w:val="auto"/>
          <w:kern w:val="2"/>
          <w:sz w:val="32"/>
          <w:szCs w:val="22"/>
          <w:lang w:val="en-US" w:eastAsia="zh-CN" w:bidi="ar-SA"/>
        </w:rPr>
        <w:t>和</w:t>
      </w:r>
      <w:r>
        <w:rPr>
          <w:rFonts w:ascii="宋体" w:hAnsi="宋体" w:eastAsia="方正楷体_GBK" w:cs="Times New Roman"/>
          <w:b w:val="0"/>
          <w:bCs w:val="0"/>
          <w:color w:val="auto"/>
          <w:kern w:val="2"/>
          <w:sz w:val="32"/>
          <w:szCs w:val="22"/>
          <w:lang w:val="en-US" w:eastAsia="zh-CN" w:bidi="ar-SA"/>
        </w:rPr>
        <w:t>获取</w:t>
      </w:r>
      <w:bookmarkEnd w:id="276"/>
      <w:bookmarkEnd w:id="277"/>
      <w:bookmarkEnd w:id="278"/>
      <w:bookmarkEnd w:id="279"/>
      <w:bookmarkEnd w:id="280"/>
      <w:bookmarkEnd w:id="281"/>
      <w:r>
        <w:rPr>
          <w:rFonts w:hint="eastAsia" w:ascii="宋体" w:hAnsi="宋体" w:eastAsia="方正楷体_GBK" w:cs="Times New Roman"/>
          <w:b w:val="0"/>
          <w:bCs/>
          <w:color w:val="auto"/>
          <w:kern w:val="2"/>
          <w:sz w:val="32"/>
          <w:szCs w:val="32"/>
          <w:lang w:val="en-US" w:eastAsia="zh-CN" w:bidi="ar-SA"/>
        </w:rPr>
        <w:t>】</w:t>
      </w:r>
    </w:p>
    <w:p w14:paraId="63972922">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highlight w:val="yellow"/>
        </w:rPr>
      </w:pPr>
      <w:r>
        <w:rPr>
          <w:rFonts w:hint="eastAsia" w:ascii="宋体" w:hAnsi="宋体" w:eastAsia="方正仿宋_GBK" w:cs="方正仿宋_GBK"/>
          <w:strike w:val="0"/>
          <w:dstrike w:val="0"/>
          <w:color w:val="auto"/>
          <w:sz w:val="32"/>
          <w:szCs w:val="32"/>
          <w:highlight w:val="none"/>
        </w:rPr>
        <w:t>运营机构</w:t>
      </w:r>
      <w:r>
        <w:rPr>
          <w:rFonts w:hint="eastAsia" w:ascii="宋体" w:hAnsi="宋体" w:eastAsia="方正仿宋_GBK" w:cs="方正仿宋_GBK"/>
          <w:strike w:val="0"/>
          <w:dstrike w:val="0"/>
          <w:color w:val="auto"/>
          <w:sz w:val="32"/>
          <w:szCs w:val="32"/>
          <w:highlight w:val="none"/>
          <w:lang w:val="en-US" w:eastAsia="zh-CN"/>
        </w:rPr>
        <w:t>应</w:t>
      </w:r>
      <w:r>
        <w:rPr>
          <w:rFonts w:hint="eastAsia" w:ascii="宋体" w:hAnsi="宋体" w:eastAsia="方正仿宋_GBK" w:cs="Times New Roman"/>
          <w:strike w:val="0"/>
          <w:dstrike w:val="0"/>
          <w:color w:val="auto"/>
          <w:sz w:val="32"/>
          <w:szCs w:val="20"/>
          <w:highlight w:val="none"/>
        </w:rPr>
        <w:t>按照最小必要原则</w:t>
      </w:r>
      <w:r>
        <w:rPr>
          <w:rFonts w:hint="eastAsia" w:ascii="宋体" w:hAnsi="宋体" w:eastAsia="方正仿宋_GBK" w:cs="Times New Roman"/>
          <w:strike w:val="0"/>
          <w:dstrike w:val="0"/>
          <w:color w:val="auto"/>
          <w:sz w:val="32"/>
          <w:szCs w:val="20"/>
          <w:highlight w:val="none"/>
          <w:lang w:eastAsia="zh-CN"/>
        </w:rPr>
        <w:t>，</w:t>
      </w:r>
      <w:r>
        <w:rPr>
          <w:rFonts w:hint="eastAsia" w:ascii="宋体" w:hAnsi="宋体" w:eastAsia="方正仿宋_GBK" w:cs="方正仿宋_GBK"/>
          <w:strike w:val="0"/>
          <w:dstrike w:val="0"/>
          <w:color w:val="auto"/>
          <w:sz w:val="32"/>
          <w:szCs w:val="32"/>
          <w:highlight w:val="none"/>
        </w:rPr>
        <w:t>基于公共数据资源授权运营目录</w:t>
      </w:r>
      <w:r>
        <w:rPr>
          <w:rFonts w:hint="eastAsia" w:ascii="宋体" w:hAnsi="宋体" w:eastAsia="方正仿宋_GBK" w:cs="方正仿宋_GBK"/>
          <w:strike w:val="0"/>
          <w:dstrike w:val="0"/>
          <w:color w:val="auto"/>
          <w:sz w:val="32"/>
          <w:szCs w:val="32"/>
          <w:highlight w:val="none"/>
          <w:lang w:val="en-US" w:eastAsia="zh-CN"/>
        </w:rPr>
        <w:t>和</w:t>
      </w:r>
      <w:r>
        <w:rPr>
          <w:rFonts w:hint="eastAsia" w:ascii="宋体" w:hAnsi="宋体" w:eastAsia="方正仿宋_GBK" w:cs="Times New Roman"/>
          <w:strike w:val="0"/>
          <w:dstrike w:val="0"/>
          <w:color w:val="auto"/>
          <w:sz w:val="32"/>
          <w:szCs w:val="20"/>
          <w:highlight w:val="none"/>
        </w:rPr>
        <w:t>应用场景，通过运营平台提出公共数据资源用数申请，经</w:t>
      </w:r>
      <w:r>
        <w:rPr>
          <w:rFonts w:hint="eastAsia" w:ascii="宋体" w:hAnsi="宋体" w:eastAsia="方正仿宋_GBK" w:cs="Times New Roman"/>
          <w:strike w:val="0"/>
          <w:dstrike w:val="0"/>
          <w:color w:val="auto"/>
          <w:sz w:val="32"/>
          <w:szCs w:val="20"/>
          <w:highlight w:val="none"/>
          <w:lang w:eastAsia="zh-CN"/>
        </w:rPr>
        <w:t>数据主管部门</w:t>
      </w:r>
      <w:r>
        <w:rPr>
          <w:rFonts w:hint="eastAsia" w:ascii="宋体" w:hAnsi="宋体" w:eastAsia="方正仿宋_GBK" w:cs="Times New Roman"/>
          <w:strike w:val="0"/>
          <w:dstrike w:val="0"/>
          <w:color w:val="auto"/>
          <w:sz w:val="32"/>
          <w:szCs w:val="20"/>
          <w:highlight w:val="none"/>
        </w:rPr>
        <w:t>和</w:t>
      </w:r>
      <w:r>
        <w:rPr>
          <w:rFonts w:hint="eastAsia" w:ascii="宋体" w:hAnsi="宋体" w:eastAsia="方正仿宋_GBK" w:cs="Times New Roman"/>
          <w:strike w:val="0"/>
          <w:dstrike w:val="0"/>
          <w:color w:val="auto"/>
          <w:sz w:val="32"/>
          <w:szCs w:val="20"/>
          <w:highlight w:val="none"/>
          <w:lang w:eastAsia="zh-CN"/>
        </w:rPr>
        <w:t>数据提供单位</w:t>
      </w:r>
      <w:r>
        <w:rPr>
          <w:rFonts w:hint="eastAsia" w:ascii="宋体" w:hAnsi="宋体" w:eastAsia="方正仿宋_GBK" w:cs="Times New Roman"/>
          <w:strike w:val="0"/>
          <w:dstrike w:val="0"/>
          <w:color w:val="auto"/>
          <w:sz w:val="32"/>
          <w:szCs w:val="20"/>
          <w:highlight w:val="none"/>
        </w:rPr>
        <w:t>审核通过后获取公共数据资源。</w:t>
      </w:r>
    </w:p>
    <w:p w14:paraId="0F2B9D7F">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仿宋_GBK" w:cs="方正仿宋_GBK"/>
          <w:b/>
          <w:bCs/>
          <w:color w:val="auto"/>
          <w:kern w:val="2"/>
          <w:sz w:val="32"/>
          <w:szCs w:val="32"/>
          <w:lang w:val="en-US" w:eastAsia="zh-CN" w:bidi="ar-SA"/>
        </w:rPr>
      </w:pPr>
      <w:bookmarkStart w:id="282" w:name="_Toc8560"/>
      <w:bookmarkStart w:id="283" w:name="_Toc3676"/>
      <w:bookmarkStart w:id="284" w:name="_Toc24233"/>
      <w:bookmarkStart w:id="285" w:name="_Toc7504"/>
      <w:bookmarkStart w:id="286" w:name="_Toc12416"/>
      <w:bookmarkStart w:id="287" w:name="_Toc31862"/>
      <w:bookmarkStart w:id="288" w:name="_Toc17487"/>
      <w:bookmarkStart w:id="289" w:name="_Toc8467"/>
      <w:bookmarkStart w:id="290" w:name="_Toc11877"/>
      <w:bookmarkStart w:id="291" w:name="_Toc18687"/>
      <w:bookmarkStart w:id="292" w:name="_Toc6302"/>
      <w:bookmarkStart w:id="293" w:name="_Toc10285"/>
      <w:bookmarkStart w:id="294" w:name="_Toc5716"/>
      <w:bookmarkStart w:id="295" w:name="_Toc23696"/>
      <w:bookmarkStart w:id="296" w:name="_Toc13040"/>
      <w:bookmarkStart w:id="297" w:name="_Toc31543"/>
      <w:bookmarkStart w:id="298" w:name="_Toc19313"/>
      <w:r>
        <w:rPr>
          <w:rFonts w:hint="eastAsia" w:ascii="宋体" w:hAnsi="宋体" w:eastAsia="方正楷体_GBK" w:cs="Times New Roman"/>
          <w:b w:val="0"/>
          <w:bCs/>
          <w:color w:val="auto"/>
          <w:kern w:val="2"/>
          <w:sz w:val="32"/>
          <w:szCs w:val="32"/>
          <w:lang w:val="en-US" w:eastAsia="zh-CN" w:bidi="ar-SA"/>
        </w:rPr>
        <w:t>【</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rFonts w:hint="eastAsia" w:ascii="宋体" w:hAnsi="宋体" w:eastAsia="方正楷体_GBK" w:cs="Times New Roman"/>
          <w:b w:val="0"/>
          <w:bCs/>
          <w:color w:val="auto"/>
          <w:kern w:val="2"/>
          <w:sz w:val="32"/>
          <w:szCs w:val="32"/>
          <w:lang w:val="en-US" w:eastAsia="zh-CN" w:bidi="ar-SA"/>
        </w:rPr>
        <w:t>产品和服务开发】</w:t>
      </w:r>
    </w:p>
    <w:p w14:paraId="4DCCF5FB">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运营机构对已获取的公共数据资源进行加工处理，形成可供再开发的数据产品和服务，并按照开发利用协议约定向开发主体提供。开发主体利用运营机构交付的数据产品和服务进行再开发，融合多源数据，提升数据产品和服务价值，繁荣数据产业发展生态。</w:t>
      </w:r>
    </w:p>
    <w:p w14:paraId="136B45D1">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运营机构不得直接或间接参与授权范围内的公共数据产品和服务再开发，不得非法篡改、获取公共数据资源，不得将获取的公共数据资源擅自转让、挪作他用。</w:t>
      </w:r>
    </w:p>
    <w:p w14:paraId="3248E106">
      <w:pPr>
        <w:pageBreakBefore w:val="0"/>
        <w:numPr>
          <w:ilvl w:val="2"/>
          <w:numId w:val="0"/>
        </w:numPr>
        <w:kinsoku/>
        <w:wordWrap/>
        <w:overflowPunct w:val="0"/>
        <w:topLinePunct w:val="0"/>
        <w:autoSpaceDE/>
        <w:autoSpaceDN/>
        <w:bidi w:val="0"/>
        <w:adjustRightInd/>
        <w:snapToGrid/>
        <w:spacing w:before="0" w:after="0" w:line="594" w:lineRule="exact"/>
        <w:ind w:firstLine="640" w:firstLineChars="200"/>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rPr>
        <w:t>开发主体应严格按照公共数据</w:t>
      </w:r>
      <w:r>
        <w:rPr>
          <w:rFonts w:hint="eastAsia" w:ascii="宋体" w:hAnsi="宋体" w:eastAsia="方正仿宋_GBK" w:cs="方正仿宋_GBK"/>
          <w:color w:val="auto"/>
          <w:sz w:val="32"/>
          <w:szCs w:val="32"/>
          <w:lang w:eastAsia="zh-CN"/>
        </w:rPr>
        <w:t>资源</w:t>
      </w:r>
      <w:r>
        <w:rPr>
          <w:rFonts w:hint="eastAsia" w:ascii="宋体" w:hAnsi="宋体" w:eastAsia="方正仿宋_GBK" w:cs="方正仿宋_GBK"/>
          <w:color w:val="auto"/>
          <w:sz w:val="32"/>
          <w:szCs w:val="32"/>
        </w:rPr>
        <w:t>开发利用协议约定，规范使用运营机构交付的公共数据产品和服务</w:t>
      </w:r>
      <w:r>
        <w:rPr>
          <w:rFonts w:hint="eastAsia" w:ascii="宋体" w:hAnsi="宋体" w:eastAsia="方正仿宋_GBK" w:cs="方正仿宋_GBK"/>
          <w:color w:val="auto"/>
          <w:sz w:val="32"/>
          <w:szCs w:val="32"/>
          <w:lang w:val="en-US" w:eastAsia="zh-CN"/>
        </w:rPr>
        <w:t>。</w:t>
      </w:r>
    </w:p>
    <w:p w14:paraId="643E0F16">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运营机构应对开发主体加强管理，建立黑名单制度。对存在违规行为的开发主体，视情节采取提醒约谈、暂停或取消其开发利用资格、限制其未来参与资格等措施；对违反相关法律法规的，依法追究其责任。</w:t>
      </w:r>
    </w:p>
    <w:p w14:paraId="62E8AD17">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299" w:name="_Toc6146"/>
      <w:bookmarkStart w:id="300" w:name="_Toc2554"/>
      <w:bookmarkStart w:id="301" w:name="_Toc4573"/>
      <w:bookmarkStart w:id="302" w:name="_Toc24748"/>
      <w:bookmarkStart w:id="303" w:name="_Toc4995"/>
      <w:bookmarkStart w:id="304" w:name="_Toc15605"/>
      <w:bookmarkStart w:id="305" w:name="_Toc23135"/>
      <w:bookmarkStart w:id="306" w:name="_Toc4637"/>
      <w:bookmarkStart w:id="307" w:name="_Toc20453"/>
      <w:bookmarkStart w:id="308" w:name="_Toc19830"/>
      <w:bookmarkStart w:id="309" w:name="_Toc6377"/>
      <w:bookmarkStart w:id="310" w:name="_Toc25198"/>
      <w:bookmarkStart w:id="311" w:name="_Toc26194"/>
      <w:bookmarkStart w:id="312" w:name="_Toc17072"/>
      <w:bookmarkStart w:id="313" w:name="_Toc7700"/>
      <w:bookmarkStart w:id="314" w:name="_Toc14873"/>
      <w:bookmarkStart w:id="315" w:name="_Toc17098"/>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产品和服务审查</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hint="eastAsia" w:ascii="宋体" w:hAnsi="宋体" w:eastAsia="方正楷体_GBK" w:cs="Times New Roman"/>
          <w:b w:val="0"/>
          <w:bCs/>
          <w:color w:val="auto"/>
          <w:kern w:val="2"/>
          <w:sz w:val="32"/>
          <w:szCs w:val="32"/>
          <w:lang w:val="en-US" w:eastAsia="zh-CN" w:bidi="ar-SA"/>
        </w:rPr>
        <w:t>】</w:t>
      </w:r>
    </w:p>
    <w:p w14:paraId="31303260">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再开发形成的数据产品和服务，由开发主体通过运营平台提交发布申请，运营机构评估审查后发布。</w:t>
      </w:r>
    </w:p>
    <w:p w14:paraId="48EF5029">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评估审核要点包括但不限于以下内容：</w:t>
      </w:r>
    </w:p>
    <w:p w14:paraId="2F453327">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1.是否符合数据的申请用途和使用范围；</w:t>
      </w:r>
    </w:p>
    <w:p w14:paraId="00980EE0">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2.是否注明使用的数据来源及其合法合规性；</w:t>
      </w:r>
    </w:p>
    <w:p w14:paraId="7FF5FF84">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3.是否存在原始数据、敏感数据直接暴露的风险；</w:t>
      </w:r>
    </w:p>
    <w:p w14:paraId="6D90AFFB">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4.是否存在个人信息和商业秘密泄露、滥用等风险；</w:t>
      </w:r>
    </w:p>
    <w:p w14:paraId="7889149D">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5.是否涉及数据出境；</w:t>
      </w:r>
    </w:p>
    <w:p w14:paraId="0D8C93AD">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6.是否存在其他可能危害数据安全和运营合规的风险。</w:t>
      </w:r>
    </w:p>
    <w:p w14:paraId="62A11C9B">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产品和服务定价</w:t>
      </w:r>
      <w:r>
        <w:rPr>
          <w:rFonts w:hint="eastAsia" w:ascii="宋体" w:hAnsi="宋体" w:eastAsia="方正楷体_GBK" w:cs="Times New Roman"/>
          <w:b w:val="0"/>
          <w:bCs/>
          <w:color w:val="auto"/>
          <w:kern w:val="2"/>
          <w:sz w:val="32"/>
          <w:szCs w:val="32"/>
          <w:lang w:val="en-US" w:eastAsia="zh-CN" w:bidi="ar-SA"/>
        </w:rPr>
        <w:t>】</w:t>
      </w:r>
    </w:p>
    <w:p w14:paraId="28D7ECFF">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lang w:eastAsia="zh-CN"/>
        </w:rPr>
      </w:pPr>
      <w:r>
        <w:rPr>
          <w:rFonts w:hint="eastAsia" w:ascii="宋体" w:hAnsi="宋体" w:eastAsia="方正仿宋_GBK" w:cs="方正仿宋_GBK"/>
          <w:color w:val="auto"/>
          <w:sz w:val="32"/>
          <w:szCs w:val="32"/>
        </w:rPr>
        <w:t>授权运营形成的数据产品和服务，对用于公共治理、公益事业的，免费提供；用于产业发展、行业发展的，可收取公共数据运营服务费。运营机构开发形成的数据产品和服务</w:t>
      </w:r>
      <w:r>
        <w:rPr>
          <w:rFonts w:hint="eastAsia" w:ascii="宋体" w:hAnsi="宋体" w:eastAsia="方正仿宋_GBK" w:cs="方正仿宋_GBK"/>
          <w:color w:val="auto"/>
          <w:kern w:val="0"/>
          <w:sz w:val="32"/>
          <w:szCs w:val="32"/>
          <w:lang w:bidi="ar"/>
        </w:rPr>
        <w:t>按照国家和省价格主管部门有关规定</w:t>
      </w:r>
      <w:r>
        <w:rPr>
          <w:rFonts w:hint="eastAsia" w:ascii="宋体" w:hAnsi="宋体" w:eastAsia="方正仿宋_GBK" w:cs="方正仿宋_GBK"/>
          <w:color w:val="auto"/>
          <w:sz w:val="32"/>
          <w:szCs w:val="32"/>
          <w:lang w:val="en-US" w:eastAsia="zh-CN"/>
        </w:rPr>
        <w:t>执行</w:t>
      </w:r>
      <w:r>
        <w:rPr>
          <w:rFonts w:hint="eastAsia" w:ascii="宋体" w:hAnsi="宋体" w:eastAsia="方正仿宋_GBK" w:cs="方正仿宋_GBK"/>
          <w:color w:val="auto"/>
          <w:sz w:val="32"/>
          <w:szCs w:val="32"/>
        </w:rPr>
        <w:t>，开发主体再开发形成的数据产品和服务通过市场化方式形成价格</w:t>
      </w:r>
      <w:r>
        <w:rPr>
          <w:rFonts w:hint="eastAsia" w:ascii="宋体" w:hAnsi="宋体" w:eastAsia="方正仿宋_GBK" w:cs="方正仿宋_GBK"/>
          <w:color w:val="auto"/>
          <w:sz w:val="32"/>
          <w:szCs w:val="32"/>
          <w:lang w:eastAsia="zh-CN"/>
        </w:rPr>
        <w:t>。</w:t>
      </w:r>
    </w:p>
    <w:p w14:paraId="728A1AC4">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316" w:name="_Toc31621"/>
      <w:bookmarkStart w:id="317" w:name="_Toc24752"/>
      <w:bookmarkStart w:id="318" w:name="_Toc24765"/>
      <w:bookmarkStart w:id="319" w:name="_Toc27508"/>
      <w:bookmarkStart w:id="320" w:name="_Toc32127"/>
      <w:bookmarkStart w:id="321" w:name="_Toc10816"/>
      <w:bookmarkStart w:id="322" w:name="_Toc4166"/>
      <w:bookmarkStart w:id="323" w:name="_Toc11515"/>
      <w:bookmarkStart w:id="324" w:name="_Toc3738"/>
      <w:bookmarkStart w:id="325" w:name="_Toc11107"/>
      <w:bookmarkStart w:id="326" w:name="_Toc15519"/>
      <w:bookmarkStart w:id="327" w:name="_Toc23056"/>
      <w:bookmarkStart w:id="328" w:name="_Toc144"/>
      <w:bookmarkStart w:id="329" w:name="_Toc31619"/>
      <w:bookmarkStart w:id="330" w:name="_Toc20212"/>
      <w:bookmarkStart w:id="331" w:name="_Toc10291"/>
      <w:bookmarkStart w:id="332" w:name="_Toc15108"/>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
        </w:rPr>
        <w:t>产品</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Fonts w:hint="eastAsia" w:ascii="宋体" w:hAnsi="宋体" w:eastAsia="方正楷体_GBK" w:cs="Times New Roman"/>
          <w:b w:val="0"/>
          <w:bCs w:val="0"/>
          <w:color w:val="auto"/>
          <w:kern w:val="2"/>
          <w:sz w:val="32"/>
          <w:szCs w:val="22"/>
          <w:lang w:val="en-US" w:eastAsia="zh-CN" w:bidi="ar"/>
        </w:rPr>
        <w:t>和服务交易</w:t>
      </w:r>
      <w:bookmarkEnd w:id="332"/>
      <w:r>
        <w:rPr>
          <w:rFonts w:hint="eastAsia" w:ascii="宋体" w:hAnsi="宋体" w:eastAsia="方正楷体_GBK" w:cs="Times New Roman"/>
          <w:b w:val="0"/>
          <w:bCs/>
          <w:color w:val="auto"/>
          <w:kern w:val="2"/>
          <w:sz w:val="32"/>
          <w:szCs w:val="32"/>
          <w:lang w:val="en-US" w:eastAsia="zh-CN" w:bidi="ar-SA"/>
        </w:rPr>
        <w:t>】</w:t>
      </w:r>
    </w:p>
    <w:p w14:paraId="704A9CAA">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开发主体</w:t>
      </w:r>
      <w:r>
        <w:rPr>
          <w:rFonts w:hint="eastAsia" w:ascii="宋体" w:hAnsi="宋体" w:eastAsia="方正仿宋_GBK" w:cs="方正仿宋_GBK"/>
          <w:strike w:val="0"/>
          <w:dstrike w:val="0"/>
          <w:color w:val="auto"/>
          <w:sz w:val="32"/>
          <w:szCs w:val="32"/>
        </w:rPr>
        <w:t>负责</w:t>
      </w:r>
      <w:r>
        <w:rPr>
          <w:rFonts w:hint="eastAsia" w:ascii="宋体" w:hAnsi="宋体" w:eastAsia="方正仿宋_GBK" w:cs="方正仿宋_GBK"/>
          <w:color w:val="auto"/>
          <w:sz w:val="32"/>
          <w:szCs w:val="32"/>
        </w:rPr>
        <w:t>对再开发形成的数据产品和服务进行市场化经营，鼓励和引导再开发形成的数据产品和服务，通过依法设立的数据交易场所进行交易。</w:t>
      </w:r>
    </w:p>
    <w:p w14:paraId="452C735C">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仿宋_GBK" w:cs="方正仿宋_GBK"/>
          <w:b/>
          <w:bCs/>
          <w:color w:val="auto"/>
          <w:kern w:val="2"/>
          <w:sz w:val="32"/>
          <w:szCs w:val="32"/>
          <w:lang w:val="en-US" w:eastAsia="zh-CN" w:bidi="ar-SA"/>
        </w:rPr>
      </w:pPr>
      <w:bookmarkStart w:id="333" w:name="_Toc10833"/>
      <w:bookmarkStart w:id="334" w:name="_Toc31613"/>
      <w:bookmarkStart w:id="335" w:name="_Toc5348"/>
      <w:bookmarkStart w:id="336" w:name="_Toc31741"/>
      <w:bookmarkStart w:id="337" w:name="_Toc18374"/>
      <w:bookmarkStart w:id="338" w:name="_Toc12943"/>
      <w:bookmarkStart w:id="339" w:name="_Toc16017"/>
      <w:bookmarkStart w:id="340" w:name="_Toc11747"/>
      <w:bookmarkStart w:id="341" w:name="_Toc16591"/>
      <w:bookmarkStart w:id="342" w:name="_Toc32526"/>
      <w:bookmarkStart w:id="343" w:name="_Toc18368"/>
      <w:bookmarkStart w:id="344" w:name="_Toc15176"/>
      <w:bookmarkStart w:id="345" w:name="_Toc22572"/>
      <w:bookmarkStart w:id="346" w:name="_Toc13147"/>
      <w:bookmarkStart w:id="347" w:name="_Toc21178"/>
      <w:bookmarkStart w:id="348" w:name="_Toc30684"/>
      <w:bookmarkStart w:id="349" w:name="_Toc4958"/>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
        </w:rPr>
        <w:t>开发利用要求</w:t>
      </w:r>
      <w:r>
        <w:rPr>
          <w:rFonts w:hint="eastAsia" w:ascii="宋体" w:hAnsi="宋体" w:eastAsia="方正楷体_GBK" w:cs="Times New Roman"/>
          <w:b w:val="0"/>
          <w:bCs/>
          <w:color w:val="auto"/>
          <w:kern w:val="2"/>
          <w:sz w:val="32"/>
          <w:szCs w:val="32"/>
          <w:lang w:val="en-US" w:eastAsia="zh-CN" w:bidi="ar-SA"/>
        </w:rPr>
        <w:t>】</w:t>
      </w:r>
    </w:p>
    <w:p w14:paraId="4D310395">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公共数据资源的开发利用应按照以下要求，开发形成可面向市场的公共数据产品和服务：</w:t>
      </w:r>
    </w:p>
    <w:p w14:paraId="0F2D68AE">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strike/>
          <w:dstrike w:val="0"/>
          <w:color w:val="auto"/>
          <w:sz w:val="32"/>
          <w:szCs w:val="32"/>
          <w:lang w:eastAsia="zh-CN"/>
        </w:rPr>
      </w:pPr>
      <w:r>
        <w:rPr>
          <w:rFonts w:hint="eastAsia" w:ascii="宋体" w:hAnsi="宋体" w:eastAsia="方正仿宋_GBK" w:cs="方正仿宋_GBK"/>
          <w:color w:val="auto"/>
          <w:kern w:val="0"/>
          <w:sz w:val="32"/>
          <w:szCs w:val="32"/>
          <w:lang w:val="en-US" w:eastAsia="zh-CN" w:bidi="ar-SA"/>
        </w:rPr>
        <w:t>（一）</w:t>
      </w:r>
      <w:r>
        <w:rPr>
          <w:rFonts w:hint="eastAsia" w:ascii="宋体" w:hAnsi="宋体" w:eastAsia="方正仿宋_GBK" w:cs="方正仿宋_GBK"/>
          <w:strike w:val="0"/>
          <w:dstrike w:val="0"/>
          <w:color w:val="auto"/>
          <w:sz w:val="32"/>
          <w:szCs w:val="32"/>
        </w:rPr>
        <w:t>所有参与数据加工处理的人员须经实名认证、备案与审查，签订保密协议，操作行为应有记录、可审查、可追溯</w:t>
      </w:r>
      <w:r>
        <w:rPr>
          <w:rFonts w:hint="eastAsia" w:ascii="宋体" w:hAnsi="宋体" w:eastAsia="方正仿宋_GBK" w:cs="方正仿宋_GBK"/>
          <w:strike w:val="0"/>
          <w:dstrike w:val="0"/>
          <w:color w:val="auto"/>
          <w:sz w:val="32"/>
          <w:szCs w:val="32"/>
          <w:lang w:eastAsia="zh-CN"/>
        </w:rPr>
        <w:t>。</w:t>
      </w:r>
    </w:p>
    <w:p w14:paraId="73D30107">
      <w:pPr>
        <w:pageBreakBefore w:val="0"/>
        <w:widowControl w:val="0"/>
        <w:kinsoku/>
        <w:wordWrap/>
        <w:overflowPunct w:val="0"/>
        <w:topLinePunct w:val="0"/>
        <w:autoSpaceDE/>
        <w:autoSpaceDN/>
        <w:bidi w:val="0"/>
        <w:adjustRightInd/>
        <w:snapToGrid/>
        <w:spacing w:before="0" w:beforeAutospacing="0" w:after="0" w:afterAutospacing="0" w:line="594" w:lineRule="exact"/>
        <w:ind w:firstLine="640" w:firstLineChars="200"/>
        <w:jc w:val="left"/>
        <w:textAlignment w:val="auto"/>
        <w:rPr>
          <w:rFonts w:ascii="宋体" w:hAnsi="宋体" w:eastAsia="方正仿宋_GBK" w:cs="方正仿宋_GBK"/>
          <w:color w:val="auto"/>
          <w:kern w:val="0"/>
          <w:sz w:val="32"/>
          <w:szCs w:val="32"/>
          <w:lang w:val="en-US" w:eastAsia="zh-CN" w:bidi="ar"/>
        </w:rPr>
      </w:pPr>
      <w:r>
        <w:rPr>
          <w:rFonts w:hint="eastAsia" w:ascii="宋体" w:hAnsi="宋体" w:eastAsia="方正仿宋_GBK" w:cs="方正仿宋_GBK"/>
          <w:color w:val="auto"/>
          <w:kern w:val="0"/>
          <w:sz w:val="32"/>
          <w:szCs w:val="32"/>
          <w:lang w:val="en-US" w:eastAsia="zh-CN" w:bidi="ar-SA"/>
        </w:rPr>
        <w:t>（二）</w:t>
      </w:r>
      <w:r>
        <w:rPr>
          <w:rFonts w:hint="eastAsia" w:ascii="宋体" w:hAnsi="宋体" w:eastAsia="方正仿宋_GBK" w:cs="方正仿宋_GBK"/>
          <w:color w:val="auto"/>
          <w:kern w:val="0"/>
          <w:sz w:val="32"/>
          <w:szCs w:val="32"/>
          <w:lang w:val="en-US" w:eastAsia="zh-CN" w:bidi="ar"/>
        </w:rPr>
        <w:t>再开发形成的公共数据产品和服务应符合法律法规和标准规范要求，保护个人信息权益、知识产权、商业秘密等不受侵害。</w:t>
      </w:r>
    </w:p>
    <w:p w14:paraId="069898EB">
      <w:pPr>
        <w:pageBreakBefore w:val="0"/>
        <w:widowControl w:val="0"/>
        <w:kinsoku/>
        <w:wordWrap/>
        <w:overflowPunct w:val="0"/>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宋体" w:hAnsi="宋体" w:eastAsia="方正仿宋_GBK" w:cs="方正仿宋_GBK"/>
          <w:color w:val="auto"/>
          <w:kern w:val="0"/>
          <w:sz w:val="32"/>
          <w:szCs w:val="32"/>
          <w:lang w:val="en-US" w:eastAsia="zh-CN" w:bidi="ar-SA"/>
        </w:rPr>
      </w:pPr>
      <w:r>
        <w:rPr>
          <w:rFonts w:hint="eastAsia" w:ascii="宋体" w:hAnsi="宋体" w:eastAsia="方正仿宋_GBK" w:cs="方正仿宋_GBK"/>
          <w:color w:val="auto"/>
          <w:kern w:val="0"/>
          <w:sz w:val="32"/>
          <w:szCs w:val="32"/>
          <w:lang w:val="en-US" w:eastAsia="zh-CN" w:bidi="ar-SA"/>
        </w:rPr>
        <w:t>（三）开发主体确需探查或利用原始数据的，由运营机构进行安全性评估并通过</w:t>
      </w:r>
      <w:r>
        <w:rPr>
          <w:rFonts w:hint="eastAsia" w:ascii="宋体" w:hAnsi="宋体" w:eastAsia="方正仿宋_GBK" w:cs="Times New Roman"/>
          <w:color w:val="auto"/>
          <w:kern w:val="0"/>
          <w:sz w:val="32"/>
          <w:szCs w:val="24"/>
          <w:lang w:val="en-US" w:eastAsia="zh-CN" w:bidi="ar-SA"/>
        </w:rPr>
        <w:t>运营平台安全</w:t>
      </w:r>
      <w:r>
        <w:rPr>
          <w:rFonts w:hint="eastAsia" w:ascii="宋体" w:hAnsi="宋体" w:eastAsia="方正仿宋_GBK" w:cs="方正仿宋_GBK"/>
          <w:color w:val="auto"/>
          <w:kern w:val="0"/>
          <w:sz w:val="32"/>
          <w:szCs w:val="32"/>
          <w:lang w:val="en-US" w:eastAsia="zh-CN" w:bidi="ar-SA"/>
        </w:rPr>
        <w:t>提供，开发主体须在安全且受控环境下开展相关操作，</w:t>
      </w:r>
      <w:r>
        <w:rPr>
          <w:rFonts w:hint="eastAsia" w:ascii="宋体" w:hAnsi="宋体" w:eastAsia="方正仿宋_GBK" w:cs="方正仿宋_GBK"/>
          <w:color w:val="auto"/>
          <w:kern w:val="2"/>
          <w:sz w:val="32"/>
          <w:szCs w:val="32"/>
          <w:lang w:val="en-US" w:eastAsia="zh-CN" w:bidi="ar-SA"/>
        </w:rPr>
        <w:t>确保原始数</w:t>
      </w:r>
      <w:r>
        <w:rPr>
          <w:rFonts w:hint="eastAsia" w:ascii="宋体" w:hAnsi="宋体" w:eastAsia="方正仿宋_GBK" w:cs="方正仿宋_GBK"/>
          <w:color w:val="auto"/>
          <w:kern w:val="0"/>
          <w:sz w:val="32"/>
          <w:szCs w:val="32"/>
          <w:lang w:val="en-US" w:eastAsia="zh-CN" w:bidi="ar-SA"/>
        </w:rPr>
        <w:t>据不出域。</w:t>
      </w:r>
    </w:p>
    <w:p w14:paraId="64487B90">
      <w:pPr>
        <w:pageBreakBefore w:val="0"/>
        <w:widowControl w:val="0"/>
        <w:kinsoku/>
        <w:wordWrap/>
        <w:overflowPunct w:val="0"/>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宋体" w:hAnsi="宋体" w:eastAsia="方正仿宋_GBK" w:cs="方正仿宋_GBK"/>
          <w:color w:val="auto"/>
          <w:kern w:val="0"/>
          <w:sz w:val="32"/>
          <w:szCs w:val="32"/>
          <w:lang w:val="en-US" w:eastAsia="zh-CN" w:bidi="ar-SA"/>
        </w:rPr>
      </w:pPr>
      <w:r>
        <w:rPr>
          <w:rFonts w:hint="eastAsia" w:ascii="宋体" w:hAnsi="宋体" w:eastAsia="方正仿宋_GBK" w:cs="方正仿宋_GBK"/>
          <w:color w:val="auto"/>
          <w:kern w:val="0"/>
          <w:sz w:val="32"/>
          <w:szCs w:val="32"/>
          <w:lang w:val="en-US" w:eastAsia="zh-CN" w:bidi="ar-SA"/>
        </w:rPr>
        <w:t>（四）运营机构应对数据处理过程进行记录，相关日志至少保存5年。</w:t>
      </w:r>
    </w:p>
    <w:p w14:paraId="26A07932">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default"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五</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开发利用协议</w:t>
      </w:r>
      <w:r>
        <w:rPr>
          <w:rFonts w:hint="eastAsia" w:ascii="宋体" w:hAnsi="宋体" w:eastAsia="方正仿宋_GBK" w:cs="方正仿宋_GBK"/>
          <w:b w:val="0"/>
          <w:i w:val="0"/>
          <w:snapToGrid/>
          <w:color w:val="auto"/>
          <w:kern w:val="0"/>
          <w:sz w:val="32"/>
          <w:szCs w:val="32"/>
          <w:lang w:val="en-US" w:eastAsia="zh-CN" w:bidi="ar"/>
        </w:rPr>
        <w:t>终止、解除或被撤销的，运营机构应当及时关闭开发主体的平台权限，督促其及时删除开发利用留存的相关数据。</w:t>
      </w:r>
    </w:p>
    <w:p w14:paraId="5C8245A3">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r>
        <w:rPr>
          <w:rFonts w:hint="eastAsia" w:ascii="宋体" w:hAnsi="宋体" w:eastAsia="方正楷体_GBK" w:cs="Times New Roman"/>
          <w:b w:val="0"/>
          <w:bCs/>
          <w:color w:val="auto"/>
          <w:kern w:val="2"/>
          <w:sz w:val="32"/>
          <w:szCs w:val="32"/>
          <w:lang w:val="en-US" w:eastAsia="zh-CN" w:bidi="ar-SA"/>
        </w:rPr>
        <w:t>【工作</w:t>
      </w:r>
      <w:r>
        <w:rPr>
          <w:rFonts w:hint="eastAsia" w:ascii="宋体" w:hAnsi="宋体" w:eastAsia="方正楷体_GBK" w:cs="Times New Roman"/>
          <w:b w:val="0"/>
          <w:bCs w:val="0"/>
          <w:color w:val="auto"/>
          <w:kern w:val="2"/>
          <w:sz w:val="32"/>
          <w:szCs w:val="22"/>
          <w:lang w:val="en-US" w:eastAsia="zh-CN" w:bidi="ar-SA"/>
        </w:rPr>
        <w:t>评估</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Pr>
          <w:rFonts w:hint="eastAsia" w:ascii="宋体" w:hAnsi="宋体" w:eastAsia="方正楷体_GBK" w:cs="Times New Roman"/>
          <w:b w:val="0"/>
          <w:bCs/>
          <w:color w:val="auto"/>
          <w:kern w:val="2"/>
          <w:sz w:val="32"/>
          <w:szCs w:val="32"/>
          <w:lang w:val="en-US" w:eastAsia="zh-CN" w:bidi="ar-SA"/>
        </w:rPr>
        <w:t>】</w:t>
      </w:r>
    </w:p>
    <w:p w14:paraId="7171178B">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kern w:val="0"/>
          <w:sz w:val="32"/>
          <w:szCs w:val="32"/>
          <w:lang w:eastAsia="zh-CN" w:bidi="ar"/>
        </w:rPr>
        <w:t>数据主管部门</w:t>
      </w:r>
      <w:r>
        <w:rPr>
          <w:rFonts w:hint="eastAsia" w:ascii="宋体" w:hAnsi="宋体" w:eastAsia="方正仿宋_GBK" w:cs="方正仿宋_GBK"/>
          <w:color w:val="auto"/>
          <w:kern w:val="0"/>
          <w:sz w:val="32"/>
          <w:szCs w:val="32"/>
          <w:lang w:bidi="ar"/>
        </w:rPr>
        <w:t>定期对行业主管部门的数据供给进行评价评估，评估结果作为信息化项目立项、资金安排的重要参考。</w:t>
      </w:r>
    </w:p>
    <w:p w14:paraId="796789A7">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rPr>
        <w:t>实施机构应当会同有关</w:t>
      </w:r>
      <w:r>
        <w:rPr>
          <w:rFonts w:hint="default" w:ascii="宋体" w:hAnsi="宋体" w:eastAsia="方正仿宋_GBK" w:cs="方正仿宋_GBK"/>
          <w:color w:val="auto"/>
          <w:sz w:val="32"/>
          <w:szCs w:val="32"/>
          <w:lang w:val="en-US"/>
        </w:rPr>
        <w:t>单位</w:t>
      </w:r>
      <w:r>
        <w:rPr>
          <w:rFonts w:hint="eastAsia" w:ascii="宋体" w:hAnsi="宋体" w:eastAsia="方正仿宋_GBK" w:cs="方正仿宋_GBK"/>
          <w:color w:val="auto"/>
          <w:sz w:val="32"/>
          <w:szCs w:val="32"/>
        </w:rPr>
        <w:t>或者委托第三方机构定期对运营机构的运营成效进行评价评估。运营机构应定期对开发主体的开发利用成效进行评价评估。评估结果分为</w:t>
      </w:r>
      <w:r>
        <w:rPr>
          <w:rFonts w:hint="eastAsia" w:ascii="宋体" w:hAnsi="宋体" w:eastAsia="方正仿宋_GBK" w:cs="方正仿宋_GBK"/>
          <w:color w:val="auto"/>
          <w:sz w:val="32"/>
          <w:szCs w:val="32"/>
          <w:lang w:val="en-US" w:eastAsia="zh-CN"/>
        </w:rPr>
        <w:t>“通过”、“未通过”和“限期整改”</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评估结果为“限期整改”的，运营机构或开发主体应当制定整改方案，30日内完成整改，报评估单位再次评估。</w:t>
      </w:r>
      <w:r>
        <w:rPr>
          <w:rFonts w:hint="eastAsia" w:ascii="宋体" w:hAnsi="宋体" w:eastAsia="方正仿宋_GBK" w:cs="方正仿宋_GBK"/>
          <w:color w:val="auto"/>
          <w:sz w:val="32"/>
          <w:szCs w:val="32"/>
          <w:lang w:bidi="ar"/>
        </w:rPr>
        <w:t>评估结果将作为继续开展授权运营或开发利用的重要依据。</w:t>
      </w:r>
    </w:p>
    <w:p w14:paraId="6FDB8F8E">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被评估方应当如实提供相关资料，不得拒绝、隐匿、瞒报。</w:t>
      </w:r>
    </w:p>
    <w:p w14:paraId="236CEC31">
      <w:pPr>
        <w:keepNext w:val="0"/>
        <w:keepLines w:val="0"/>
        <w:pageBreakBefore w:val="0"/>
        <w:widowControl w:val="0"/>
        <w:tabs>
          <w:tab w:val="left" w:pos="-399"/>
          <w:tab w:val="left" w:pos="0"/>
          <w:tab w:val="left" w:pos="26"/>
        </w:tabs>
        <w:kinsoku/>
        <w:wordWrap/>
        <w:overflowPunct w:val="0"/>
        <w:topLinePunct w:val="0"/>
        <w:autoSpaceDE/>
        <w:autoSpaceDN/>
        <w:bidi w:val="0"/>
        <w:adjustRightInd/>
        <w:snapToGrid/>
        <w:spacing w:before="0" w:after="0" w:line="594" w:lineRule="exact"/>
        <w:jc w:val="center"/>
        <w:textAlignment w:val="auto"/>
        <w:outlineLvl w:val="0"/>
        <w:rPr>
          <w:rFonts w:ascii="宋体" w:hAnsi="宋体" w:eastAsia="方正黑体_GBK" w:cs="Times New Roman"/>
          <w:b w:val="0"/>
          <w:color w:val="auto"/>
          <w:spacing w:val="6"/>
          <w:kern w:val="44"/>
          <w:sz w:val="32"/>
          <w:szCs w:val="15"/>
          <w:lang w:val="en-US" w:eastAsia="zh-CN" w:bidi="zh-CN"/>
        </w:rPr>
      </w:pPr>
      <w:bookmarkStart w:id="350" w:name="_Toc24400"/>
      <w:r>
        <w:rPr>
          <w:rFonts w:hint="eastAsia" w:ascii="宋体" w:hAnsi="宋体" w:eastAsia="方正黑体_GBK" w:cs="Times New Roman"/>
          <w:b w:val="0"/>
          <w:color w:val="auto"/>
          <w:spacing w:val="6"/>
          <w:kern w:val="44"/>
          <w:sz w:val="32"/>
          <w:szCs w:val="15"/>
          <w:lang w:val="en-US" w:eastAsia="zh-CN" w:bidi="zh-CN"/>
        </w:rPr>
        <w:t xml:space="preserve">第五章 </w:t>
      </w:r>
      <w:bookmarkEnd w:id="350"/>
      <w:r>
        <w:rPr>
          <w:rFonts w:hint="eastAsia" w:ascii="宋体" w:hAnsi="宋体" w:eastAsia="方正黑体_GBK" w:cs="Times New Roman"/>
          <w:b w:val="0"/>
          <w:color w:val="auto"/>
          <w:spacing w:val="6"/>
          <w:kern w:val="44"/>
          <w:sz w:val="32"/>
          <w:szCs w:val="15"/>
          <w:lang w:val="en-US" w:eastAsia="zh-CN" w:bidi="zh-CN"/>
        </w:rPr>
        <w:t>监督管理</w:t>
      </w:r>
    </w:p>
    <w:p w14:paraId="164483DB">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仿宋_GBK" w:cs="方正仿宋_GBK"/>
          <w:b/>
          <w:bCs/>
          <w:color w:val="auto"/>
          <w:kern w:val="2"/>
          <w:sz w:val="32"/>
          <w:szCs w:val="32"/>
          <w:lang w:val="en-US" w:eastAsia="zh-CN" w:bidi="ar-SA"/>
        </w:rPr>
      </w:pPr>
      <w:bookmarkStart w:id="351" w:name="_Toc25792"/>
      <w:bookmarkStart w:id="352" w:name="_Toc23831"/>
      <w:bookmarkStart w:id="353" w:name="_Toc5340"/>
      <w:bookmarkStart w:id="354" w:name="_Toc15717"/>
      <w:bookmarkStart w:id="355" w:name="_Toc2688"/>
      <w:bookmarkStart w:id="356" w:name="_Toc6838"/>
      <w:bookmarkStart w:id="357" w:name="_Toc8030"/>
      <w:bookmarkStart w:id="358" w:name="_Toc32261"/>
      <w:bookmarkStart w:id="359" w:name="_Toc14491"/>
      <w:bookmarkStart w:id="360" w:name="_Toc16399"/>
      <w:bookmarkStart w:id="361" w:name="_Toc24164"/>
      <w:bookmarkStart w:id="362" w:name="_Toc28073"/>
      <w:bookmarkStart w:id="363" w:name="_Toc32136"/>
      <w:bookmarkStart w:id="364" w:name="_Toc27897"/>
      <w:bookmarkStart w:id="365" w:name="_Toc16421"/>
      <w:bookmarkStart w:id="366" w:name="_Toc31137"/>
      <w:bookmarkStart w:id="367" w:name="_Toc6884"/>
      <w:bookmarkStart w:id="368" w:name="_Toc18320"/>
      <w:bookmarkStart w:id="369" w:name="_Toc15783"/>
      <w:bookmarkStart w:id="370" w:name="_Toc14425"/>
      <w:bookmarkStart w:id="371" w:name="_Toc17684"/>
      <w:bookmarkStart w:id="372" w:name="_Toc21911"/>
      <w:bookmarkStart w:id="373" w:name="_Toc20349"/>
      <w:bookmarkStart w:id="374" w:name="_Toc24913"/>
      <w:bookmarkStart w:id="375" w:name="_Toc22175"/>
      <w:bookmarkStart w:id="376" w:name="_Toc23554"/>
      <w:bookmarkStart w:id="377" w:name="_Toc5097"/>
      <w:bookmarkStart w:id="378" w:name="_Toc29162"/>
      <w:bookmarkStart w:id="379" w:name="_Toc9816"/>
      <w:bookmarkStart w:id="380" w:name="_Toc10183"/>
      <w:bookmarkStart w:id="381" w:name="_Toc13961"/>
      <w:bookmarkStart w:id="382" w:name="_Toc31638"/>
      <w:bookmarkStart w:id="383" w:name="_Toc11182"/>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安全原则</w:t>
      </w:r>
      <w:r>
        <w:rPr>
          <w:rFonts w:hint="eastAsia" w:ascii="宋体" w:hAnsi="宋体" w:eastAsia="方正楷体_GBK" w:cs="Times New Roman"/>
          <w:b w:val="0"/>
          <w:bCs/>
          <w:color w:val="auto"/>
          <w:kern w:val="2"/>
          <w:sz w:val="32"/>
          <w:szCs w:val="32"/>
          <w:lang w:val="en-US" w:eastAsia="zh-CN" w:bidi="ar-SA"/>
        </w:rPr>
        <w:t>】</w:t>
      </w:r>
    </w:p>
    <w:p w14:paraId="402076EB">
      <w:pPr>
        <w:pageBreakBefore w:val="0"/>
        <w:numPr>
          <w:ilvl w:val="2"/>
          <w:numId w:val="0"/>
        </w:numPr>
        <w:kinsoku/>
        <w:wordWrap/>
        <w:overflowPunct w:val="0"/>
        <w:topLinePunct w:val="0"/>
        <w:autoSpaceDE/>
        <w:autoSpaceDN/>
        <w:bidi w:val="0"/>
        <w:adjustRightInd/>
        <w:snapToGrid/>
        <w:spacing w:before="0" w:after="0" w:line="594" w:lineRule="exact"/>
        <w:ind w:firstLine="640" w:firstLineChars="200"/>
        <w:jc w:val="left"/>
        <w:textAlignment w:val="auto"/>
        <w:rPr>
          <w:rFonts w:hint="eastAsia" w:ascii="宋体" w:hAnsi="宋体" w:eastAsia="方正仿宋_GBK" w:cs="方正仿宋_GBK"/>
          <w:color w:val="auto"/>
          <w:sz w:val="32"/>
          <w:szCs w:val="32"/>
        </w:rPr>
      </w:pPr>
      <w:r>
        <w:rPr>
          <w:rFonts w:ascii="宋体" w:hAnsi="宋体" w:eastAsia="方正仿宋_GBK" w:cs="方正仿宋_GBK"/>
          <w:color w:val="auto"/>
          <w:sz w:val="32"/>
          <w:szCs w:val="32"/>
        </w:rPr>
        <w:t>公共数据授权运营</w:t>
      </w:r>
      <w:r>
        <w:rPr>
          <w:rFonts w:hint="eastAsia" w:ascii="宋体" w:hAnsi="宋体" w:eastAsia="方正仿宋_GBK" w:cs="方正仿宋_GBK"/>
          <w:color w:val="auto"/>
          <w:sz w:val="32"/>
          <w:szCs w:val="32"/>
        </w:rPr>
        <w:t>按照“谁</w:t>
      </w:r>
      <w:r>
        <w:rPr>
          <w:rFonts w:hint="eastAsia" w:ascii="宋体" w:hAnsi="宋体" w:eastAsia="方正仿宋_GBK" w:cs="方正仿宋_GBK"/>
          <w:color w:val="auto"/>
          <w:sz w:val="32"/>
          <w:szCs w:val="32"/>
          <w:lang w:val="en-US" w:eastAsia="zh-CN"/>
        </w:rPr>
        <w:t>管理</w:t>
      </w:r>
      <w:r>
        <w:rPr>
          <w:rFonts w:hint="eastAsia" w:ascii="宋体" w:hAnsi="宋体" w:eastAsia="方正仿宋_GBK" w:cs="方正仿宋_GBK"/>
          <w:color w:val="auto"/>
          <w:sz w:val="32"/>
          <w:szCs w:val="32"/>
        </w:rPr>
        <w:t>谁负责</w:t>
      </w:r>
      <w:r>
        <w:rPr>
          <w:rFonts w:hint="eastAsia" w:ascii="宋体" w:hAnsi="宋体" w:eastAsia="方正仿宋_GBK" w:cs="方正仿宋_GBK"/>
          <w:strike w:val="0"/>
          <w:dstrike w:val="0"/>
          <w:color w:val="auto"/>
          <w:sz w:val="32"/>
          <w:szCs w:val="32"/>
        </w:rPr>
        <w:t>、谁持有谁负责</w:t>
      </w:r>
      <w:r>
        <w:rPr>
          <w:rFonts w:hint="eastAsia" w:ascii="宋体" w:hAnsi="宋体" w:eastAsia="方正仿宋_GBK" w:cs="方正仿宋_GBK"/>
          <w:strike w:val="0"/>
          <w:color w:val="auto"/>
          <w:sz w:val="32"/>
          <w:szCs w:val="32"/>
        </w:rPr>
        <w:t>、谁使用谁负责</w:t>
      </w:r>
      <w:r>
        <w:rPr>
          <w:rFonts w:hint="eastAsia" w:ascii="宋体" w:hAnsi="宋体" w:eastAsia="方正仿宋_GBK" w:cs="方正仿宋_GBK"/>
          <w:strike w:val="0"/>
          <w:dstrike w:val="0"/>
          <w:color w:val="auto"/>
          <w:sz w:val="32"/>
          <w:szCs w:val="32"/>
        </w:rPr>
        <w:t>、谁运营谁负责</w:t>
      </w:r>
      <w:r>
        <w:rPr>
          <w:rFonts w:hint="eastAsia" w:ascii="宋体" w:hAnsi="宋体" w:eastAsia="方正仿宋_GBK" w:cs="方正仿宋_GBK"/>
          <w:color w:val="auto"/>
          <w:sz w:val="32"/>
          <w:szCs w:val="32"/>
        </w:rPr>
        <w:t>”的原则，落实相关各方</w:t>
      </w:r>
      <w:r>
        <w:rPr>
          <w:rFonts w:ascii="宋体" w:hAnsi="宋体" w:eastAsia="方正仿宋_GBK" w:cs="方正仿宋_GBK"/>
          <w:color w:val="auto"/>
          <w:sz w:val="32"/>
          <w:szCs w:val="32"/>
        </w:rPr>
        <w:t>数据安全责任和合规责任。</w:t>
      </w:r>
    </w:p>
    <w:p w14:paraId="797FE286">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安全管理</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ascii="宋体" w:hAnsi="宋体" w:eastAsia="方正楷体_GBK" w:cs="Times New Roman"/>
          <w:b w:val="0"/>
          <w:bCs/>
          <w:color w:val="auto"/>
          <w:kern w:val="2"/>
          <w:sz w:val="32"/>
          <w:szCs w:val="32"/>
          <w:lang w:val="en-US" w:eastAsia="zh-CN" w:bidi="ar-SA"/>
        </w:rPr>
        <w:t>】</w:t>
      </w:r>
    </w:p>
    <w:p w14:paraId="04886855">
      <w:pPr>
        <w:pageBreakBefore w:val="0"/>
        <w:numPr>
          <w:ilvl w:val="2"/>
          <w:numId w:val="0"/>
        </w:numPr>
        <w:kinsoku/>
        <w:wordWrap/>
        <w:overflowPunct w:val="0"/>
        <w:topLinePunct w:val="0"/>
        <w:autoSpaceDE/>
        <w:autoSpaceDN/>
        <w:bidi w:val="0"/>
        <w:adjustRightInd/>
        <w:snapToGrid/>
        <w:spacing w:before="0" w:after="0" w:line="594" w:lineRule="exact"/>
        <w:ind w:firstLine="640" w:firstLineChars="200"/>
        <w:jc w:val="left"/>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实施机构应建立健全安全合规审查、风险评估、监测预警、应急处置等授权运营安全管理制度规范，严格管控未依法依规公开的原始公共数据资源直接进入市场，强化对运营机构涉及公共数据资源授权运营的内控审计。</w:t>
      </w:r>
    </w:p>
    <w:p w14:paraId="4BB23BB7">
      <w:pPr>
        <w:pageBreakBefore w:val="0"/>
        <w:numPr>
          <w:ilvl w:val="2"/>
          <w:numId w:val="0"/>
        </w:numPr>
        <w:kinsoku/>
        <w:wordWrap/>
        <w:overflowPunct w:val="0"/>
        <w:topLinePunct w:val="0"/>
        <w:autoSpaceDE/>
        <w:autoSpaceDN/>
        <w:bidi w:val="0"/>
        <w:adjustRightInd/>
        <w:snapToGrid/>
        <w:spacing w:before="0" w:after="0" w:line="594" w:lineRule="exact"/>
        <w:ind w:firstLine="640" w:firstLineChars="200"/>
        <w:jc w:val="left"/>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运营机构应当履行数据安全主体责任，建立健全安全管理制度，落实公共数据资源分类分级管理要求，加强内控管理、技术管理和人员管理，加强授权运营过程中数据的全生命周期安全和合法利用管理，不得超授权范围使用公共数据资源，严防数据加工、处理、运营、服务等环节数据安全风险。</w:t>
      </w:r>
    </w:p>
    <w:p w14:paraId="325C1ABB">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实施机构、运营机构应通过管理和技术措施，加强数据关联汇聚风险识别和管控，保障数据安全。</w:t>
      </w:r>
    </w:p>
    <w:p w14:paraId="75E16184">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开发主体承担数据产品和服务再开发的安全主体责任，负责对再加工形成的数据产品和服务流通的全过程合规和安全，建立健全全流程数据安全管理制度，落实数据安全管理要求和保护责任。</w:t>
      </w:r>
    </w:p>
    <w:p w14:paraId="0F9104BD">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省数据局应加强公共数据平台网络安全、数据安全防护能力，加强授权运营相关平台安全监管，定期开展相关平台安全检测和日常监测。</w:t>
      </w:r>
    </w:p>
    <w:p w14:paraId="3F3EE034">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数据管理、</w:t>
      </w:r>
      <w:r>
        <w:rPr>
          <w:rFonts w:hint="eastAsia" w:ascii="宋体" w:hAnsi="宋体" w:eastAsia="方正仿宋_GBK" w:cs="方正仿宋_GBK"/>
          <w:color w:val="auto"/>
          <w:sz w:val="32"/>
          <w:szCs w:val="32"/>
          <w:shd w:val="clear" w:color="auto" w:fill="auto"/>
        </w:rPr>
        <w:t>网信、公安、国家安全、保密、密码管理等部门按照各自职责，做好公共数据授权运营的安全统筹协调、监管、联合排查，协同处置有关安全风险事件。</w:t>
      </w:r>
    </w:p>
    <w:p w14:paraId="7F3984F3">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lang w:eastAsia="zh-CN"/>
        </w:rPr>
      </w:pPr>
      <w:r>
        <w:rPr>
          <w:rFonts w:hint="eastAsia" w:ascii="宋体" w:hAnsi="宋体" w:eastAsia="方正仿宋_GBK" w:cs="Times New Roman"/>
          <w:color w:val="auto"/>
          <w:sz w:val="32"/>
        </w:rPr>
        <w:t>行业主管部门</w:t>
      </w:r>
      <w:r>
        <w:rPr>
          <w:rFonts w:hint="eastAsia" w:ascii="宋体" w:hAnsi="宋体" w:eastAsia="方正仿宋_GBK" w:cs="方正仿宋_GBK"/>
          <w:color w:val="auto"/>
          <w:sz w:val="32"/>
          <w:szCs w:val="32"/>
        </w:rPr>
        <w:t>应在数据汇聚、治理、提供等环节强化安全保障，加强本行业本领域公共数据资源分领域授权运营安全监管。对于履行监管职责中发现的数据安全风险及违法违规问题，协同数据、网信、公安、国家安全、保密、密码管理等有关部门处置</w:t>
      </w:r>
      <w:r>
        <w:rPr>
          <w:rFonts w:hint="eastAsia" w:ascii="宋体" w:hAnsi="宋体" w:eastAsia="方正仿宋_GBK" w:cs="方正仿宋_GBK"/>
          <w:color w:val="auto"/>
          <w:sz w:val="32"/>
          <w:szCs w:val="32"/>
          <w:lang w:eastAsia="zh-CN"/>
        </w:rPr>
        <w:t>。</w:t>
      </w:r>
    </w:p>
    <w:p w14:paraId="2CC5AD34">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384" w:name="_Toc15601"/>
      <w:bookmarkStart w:id="385" w:name="_Toc3243"/>
      <w:bookmarkStart w:id="386" w:name="_Toc3345"/>
      <w:bookmarkStart w:id="387" w:name="_Toc23279"/>
      <w:bookmarkStart w:id="388" w:name="_Toc31585"/>
      <w:bookmarkStart w:id="389" w:name="_Toc30215"/>
      <w:bookmarkStart w:id="390" w:name="_Toc32676"/>
      <w:bookmarkStart w:id="391" w:name="_Toc15775"/>
      <w:bookmarkStart w:id="392" w:name="_Toc14700"/>
      <w:bookmarkStart w:id="393" w:name="_Toc13019"/>
      <w:bookmarkStart w:id="394" w:name="_Toc11550"/>
      <w:bookmarkStart w:id="395" w:name="_Toc30019"/>
      <w:bookmarkStart w:id="396" w:name="_Toc24021"/>
      <w:bookmarkStart w:id="397" w:name="_Toc27286"/>
      <w:bookmarkStart w:id="398" w:name="_Toc13863"/>
      <w:bookmarkStart w:id="399" w:name="_Toc31702"/>
      <w:bookmarkStart w:id="400" w:name="_Toc12824"/>
      <w:r>
        <w:rPr>
          <w:rFonts w:hint="eastAsia" w:ascii="宋体" w:hAnsi="宋体" w:eastAsia="方正楷体_GBK" w:cs="Times New Roman"/>
          <w:b w:val="0"/>
          <w:bCs/>
          <w:color w:val="auto"/>
          <w:kern w:val="2"/>
          <w:sz w:val="32"/>
          <w:szCs w:val="32"/>
          <w:lang w:val="en-US" w:eastAsia="zh-CN" w:bidi="ar-SA"/>
        </w:rPr>
        <w:t>【</w:t>
      </w:r>
      <w:r>
        <w:rPr>
          <w:rFonts w:ascii="宋体" w:hAnsi="宋体" w:eastAsia="方正楷体_GBK" w:cs="Times New Roman"/>
          <w:b w:val="0"/>
          <w:bCs w:val="0"/>
          <w:color w:val="auto"/>
          <w:kern w:val="2"/>
          <w:sz w:val="32"/>
          <w:szCs w:val="22"/>
          <w:lang w:val="en-US" w:eastAsia="zh-CN" w:bidi="ar-SA"/>
        </w:rPr>
        <w:t>应急处置</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hint="eastAsia" w:ascii="宋体" w:hAnsi="宋体" w:eastAsia="方正楷体_GBK" w:cs="Times New Roman"/>
          <w:b w:val="0"/>
          <w:bCs/>
          <w:color w:val="auto"/>
          <w:kern w:val="2"/>
          <w:sz w:val="32"/>
          <w:szCs w:val="32"/>
          <w:lang w:val="en-US" w:eastAsia="zh-CN" w:bidi="ar-SA"/>
        </w:rPr>
        <w:t>】</w:t>
      </w:r>
    </w:p>
    <w:p w14:paraId="250F57A4">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运营机构应当制定数据安全事件应急处置预案，并定期组织演练，发生数据丢失、泄露、篡改、毁损等数据安全事件或发现重大风险时，应当立即启动应急处置预案，采取相应的应急处置措施，防止危害扩大，消除安全隐患</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并向实施机构及相关主管部门报告。</w:t>
      </w:r>
    </w:p>
    <w:p w14:paraId="5A05BC30">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开发主体制定公共数据</w:t>
      </w:r>
      <w:r>
        <w:rPr>
          <w:rFonts w:hint="eastAsia" w:ascii="宋体" w:hAnsi="宋体" w:eastAsia="方正仿宋_GBK" w:cs="方正仿宋_GBK"/>
          <w:color w:val="auto"/>
          <w:sz w:val="32"/>
          <w:szCs w:val="32"/>
          <w:lang w:val="en-US" w:eastAsia="zh-CN"/>
        </w:rPr>
        <w:t>资源</w:t>
      </w:r>
      <w:r>
        <w:rPr>
          <w:rFonts w:hint="eastAsia" w:ascii="宋体" w:hAnsi="宋体" w:eastAsia="方正仿宋_GBK" w:cs="方正仿宋_GBK"/>
          <w:color w:val="auto"/>
          <w:sz w:val="32"/>
          <w:szCs w:val="32"/>
        </w:rPr>
        <w:t>开发利用安全事件应急处置预案，发生安全事件时，应当立即采取处置措施，并向运营机构报告。</w:t>
      </w:r>
    </w:p>
    <w:p w14:paraId="0DD4ECE6">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财务管理</w:t>
      </w:r>
      <w:r>
        <w:rPr>
          <w:rFonts w:hint="eastAsia" w:ascii="宋体" w:hAnsi="宋体" w:eastAsia="方正楷体_GBK" w:cs="Times New Roman"/>
          <w:b w:val="0"/>
          <w:bCs/>
          <w:color w:val="auto"/>
          <w:kern w:val="2"/>
          <w:sz w:val="32"/>
          <w:szCs w:val="32"/>
          <w:lang w:val="en-US" w:eastAsia="zh-CN" w:bidi="ar-SA"/>
        </w:rPr>
        <w:t>】</w:t>
      </w:r>
    </w:p>
    <w:p w14:paraId="70335D06">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运营机构应加强公共数据产品和服务相关的成本、收入和支出的内部管理，对公共数据产品和服务相关的财务收支按照现有财务管理制度进行管理，依法接受监督。</w:t>
      </w:r>
    </w:p>
    <w:p w14:paraId="659F2F13">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r>
        <w:rPr>
          <w:rFonts w:hint="eastAsia" w:ascii="宋体" w:hAnsi="宋体" w:eastAsia="方正楷体_GBK" w:cs="Times New Roman"/>
          <w:b w:val="0"/>
          <w:bCs/>
          <w:color w:val="auto"/>
          <w:kern w:val="2"/>
          <w:sz w:val="32"/>
          <w:szCs w:val="32"/>
          <w:lang w:val="en-US" w:eastAsia="zh-CN" w:bidi="ar-SA"/>
        </w:rPr>
        <w:t>【金融风险防范】</w:t>
      </w:r>
    </w:p>
    <w:p w14:paraId="01DF4816">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开展授权运营应有效识别和管控数据资产化、数据资产资本化不当操作带来的安全隐患，切实防范化解金融风险。</w:t>
      </w:r>
    </w:p>
    <w:p w14:paraId="4B2DE22A">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r>
        <w:rPr>
          <w:rFonts w:hint="eastAsia" w:ascii="宋体" w:hAnsi="宋体" w:eastAsia="方正楷体_GBK" w:cs="Times New Roman"/>
          <w:b w:val="0"/>
          <w:bCs/>
          <w:color w:val="auto"/>
          <w:kern w:val="2"/>
          <w:sz w:val="32"/>
          <w:szCs w:val="32"/>
          <w:lang w:val="en-US" w:eastAsia="zh-CN" w:bidi="ar-SA"/>
        </w:rPr>
        <w:t>【信息披露】</w:t>
      </w:r>
    </w:p>
    <w:p w14:paraId="3244B354">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kern w:val="0"/>
          <w:sz w:val="32"/>
          <w:szCs w:val="32"/>
          <w:lang w:bidi="ar"/>
        </w:rPr>
      </w:pPr>
      <w:r>
        <w:rPr>
          <w:rFonts w:hint="eastAsia" w:ascii="宋体" w:hAnsi="宋体" w:eastAsia="方正仿宋_GBK" w:cs="方正仿宋_GBK"/>
          <w:color w:val="auto"/>
          <w:kern w:val="0"/>
          <w:sz w:val="32"/>
          <w:szCs w:val="32"/>
          <w:lang w:bidi="ar"/>
        </w:rPr>
        <w:t>实施机构按规定公开授权运营情况，定期向社会披露授权对象、内容、范围和时限等，接受社会监督。</w:t>
      </w:r>
    </w:p>
    <w:p w14:paraId="7016F1FF">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Times New Roman"/>
          <w:color w:val="auto"/>
          <w:sz w:val="32"/>
        </w:rPr>
      </w:pPr>
      <w:r>
        <w:rPr>
          <w:rFonts w:hint="eastAsia" w:ascii="宋体" w:hAnsi="宋体" w:eastAsia="方正仿宋_GBK" w:cs="Times New Roman"/>
          <w:color w:val="auto"/>
          <w:sz w:val="32"/>
        </w:rPr>
        <w:t>运营机构应公开公共数据产品和服务清单，定期向社会披露公共数据资源使用情况，接受社会监督。</w:t>
      </w:r>
    </w:p>
    <w:p w14:paraId="3A1A1D56">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r>
        <w:rPr>
          <w:rFonts w:hint="eastAsia" w:ascii="宋体" w:hAnsi="宋体" w:eastAsia="方正楷体_GBK" w:cs="Times New Roman"/>
          <w:b w:val="0"/>
          <w:bCs/>
          <w:color w:val="auto"/>
          <w:kern w:val="2"/>
          <w:sz w:val="32"/>
          <w:szCs w:val="32"/>
          <w:lang w:val="en-US" w:eastAsia="zh-CN" w:bidi="ar-SA"/>
        </w:rPr>
        <w:t>【</w:t>
      </w:r>
      <w:r>
        <w:rPr>
          <w:rFonts w:ascii="宋体" w:hAnsi="宋体" w:eastAsia="方正楷体_GBK" w:cs="Times New Roman"/>
          <w:b w:val="0"/>
          <w:bCs w:val="0"/>
          <w:color w:val="auto"/>
          <w:kern w:val="2"/>
          <w:sz w:val="32"/>
          <w:szCs w:val="22"/>
          <w:lang w:val="en-US" w:eastAsia="zh-CN" w:bidi="ar-SA"/>
        </w:rPr>
        <w:t>容错</w:t>
      </w:r>
      <w:r>
        <w:rPr>
          <w:rFonts w:hint="eastAsia" w:ascii="宋体" w:hAnsi="宋体" w:eastAsia="方正楷体_GBK" w:cs="Times New Roman"/>
          <w:b w:val="0"/>
          <w:bCs w:val="0"/>
          <w:color w:val="auto"/>
          <w:kern w:val="2"/>
          <w:sz w:val="32"/>
          <w:szCs w:val="22"/>
          <w:lang w:val="en-US" w:eastAsia="zh-CN" w:bidi="ar-SA"/>
        </w:rPr>
        <w:t>及反哺</w:t>
      </w:r>
      <w:r>
        <w:rPr>
          <w:rFonts w:ascii="宋体" w:hAnsi="宋体" w:eastAsia="方正楷体_GBK" w:cs="Times New Roman"/>
          <w:b w:val="0"/>
          <w:bCs w:val="0"/>
          <w:color w:val="auto"/>
          <w:kern w:val="2"/>
          <w:sz w:val="32"/>
          <w:szCs w:val="22"/>
          <w:lang w:val="en-US" w:eastAsia="zh-CN" w:bidi="ar-SA"/>
        </w:rPr>
        <w:t>机制</w:t>
      </w:r>
      <w:r>
        <w:rPr>
          <w:rFonts w:hint="eastAsia" w:ascii="宋体" w:hAnsi="宋体" w:eastAsia="方正楷体_GBK" w:cs="Times New Roman"/>
          <w:b w:val="0"/>
          <w:bCs/>
          <w:color w:val="auto"/>
          <w:kern w:val="2"/>
          <w:sz w:val="32"/>
          <w:szCs w:val="32"/>
          <w:lang w:val="en-US" w:eastAsia="zh-CN" w:bidi="ar-SA"/>
        </w:rPr>
        <w:t>】</w:t>
      </w:r>
    </w:p>
    <w:p w14:paraId="257AF7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0"/>
          <w:sz w:val="32"/>
          <w:szCs w:val="32"/>
          <w:lang w:val="en-US" w:eastAsia="zh-CN" w:bidi="ar"/>
        </w:rPr>
        <w:t>鼓励和支持实施机构、运营机构积极探索有利于公共数据资源开发利用的创新举措，鼓励和保护干部担当作为，营造鼓励创新、包容创新的干事创业氛围。</w:t>
      </w:r>
    </w:p>
    <w:p w14:paraId="0FCEED06">
      <w:pPr>
        <w:pageBreakBefore w:val="0"/>
        <w:numPr>
          <w:ilvl w:val="2"/>
          <w:numId w:val="0"/>
        </w:numPr>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Times New Roman"/>
          <w:color w:val="auto"/>
          <w:sz w:val="32"/>
        </w:rPr>
        <w:t>授权运营应保护各参与方的合法权益，实施机构、运营机构可依法合规通过技术、产品和服务、收益等方式，支持各地区、各部门数据治理和信息化服务能力建设。</w:t>
      </w:r>
    </w:p>
    <w:bookmarkEnd w:id="349"/>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0D77F1C9">
      <w:pPr>
        <w:keepNext w:val="0"/>
        <w:keepLines w:val="0"/>
        <w:pageBreakBefore w:val="0"/>
        <w:widowControl w:val="0"/>
        <w:tabs>
          <w:tab w:val="left" w:pos="-399"/>
          <w:tab w:val="left" w:pos="0"/>
          <w:tab w:val="left" w:pos="26"/>
        </w:tabs>
        <w:kinsoku/>
        <w:wordWrap/>
        <w:overflowPunct w:val="0"/>
        <w:topLinePunct w:val="0"/>
        <w:autoSpaceDE/>
        <w:autoSpaceDN/>
        <w:bidi w:val="0"/>
        <w:adjustRightInd/>
        <w:snapToGrid/>
        <w:spacing w:before="0" w:after="0" w:line="594" w:lineRule="exact"/>
        <w:ind w:firstLine="200"/>
        <w:jc w:val="center"/>
        <w:textAlignment w:val="auto"/>
        <w:outlineLvl w:val="0"/>
        <w:rPr>
          <w:rFonts w:ascii="宋体" w:hAnsi="宋体" w:eastAsia="方正黑体_GBK" w:cs="Times New Roman"/>
          <w:b w:val="0"/>
          <w:color w:val="auto"/>
          <w:spacing w:val="6"/>
          <w:kern w:val="44"/>
          <w:sz w:val="32"/>
          <w:szCs w:val="15"/>
          <w:lang w:val="zh-CN" w:eastAsia="zh-CN" w:bidi="zh-CN"/>
        </w:rPr>
      </w:pPr>
      <w:bookmarkStart w:id="401" w:name="_Toc20838"/>
      <w:bookmarkStart w:id="402" w:name="_Toc16680"/>
      <w:bookmarkStart w:id="403" w:name="_Toc30240"/>
      <w:bookmarkStart w:id="404" w:name="_Toc7697"/>
      <w:bookmarkStart w:id="405" w:name="_Toc23625"/>
      <w:bookmarkStart w:id="406" w:name="_Toc25442"/>
      <w:bookmarkStart w:id="407" w:name="_Toc23265"/>
      <w:bookmarkStart w:id="408" w:name="_Toc24909"/>
      <w:bookmarkStart w:id="409" w:name="_Toc31538"/>
      <w:bookmarkStart w:id="410" w:name="_Toc8387"/>
      <w:bookmarkStart w:id="411" w:name="_Toc19335"/>
      <w:bookmarkStart w:id="412" w:name="_Toc19254"/>
      <w:bookmarkStart w:id="413" w:name="_Toc5298"/>
      <w:bookmarkStart w:id="414" w:name="_Toc197"/>
      <w:bookmarkStart w:id="415" w:name="_Toc27705"/>
      <w:bookmarkStart w:id="416" w:name="_Toc3770"/>
      <w:bookmarkStart w:id="417" w:name="_Toc27584"/>
      <w:r>
        <w:rPr>
          <w:rFonts w:hint="eastAsia" w:ascii="宋体" w:hAnsi="宋体" w:eastAsia="方正黑体_GBK" w:cs="Times New Roman"/>
          <w:b w:val="0"/>
          <w:color w:val="auto"/>
          <w:spacing w:val="6"/>
          <w:kern w:val="44"/>
          <w:sz w:val="32"/>
          <w:szCs w:val="15"/>
          <w:lang w:val="zh-CN" w:eastAsia="zh-CN" w:bidi="zh-CN"/>
        </w:rPr>
        <w:t>第</w:t>
      </w:r>
      <w:r>
        <w:rPr>
          <w:rFonts w:hint="eastAsia" w:ascii="宋体" w:hAnsi="宋体" w:eastAsia="方正黑体_GBK" w:cs="Times New Roman"/>
          <w:b w:val="0"/>
          <w:color w:val="auto"/>
          <w:spacing w:val="6"/>
          <w:kern w:val="44"/>
          <w:sz w:val="32"/>
          <w:szCs w:val="15"/>
          <w:lang w:val="en-US" w:eastAsia="zh-CN" w:bidi="zh-CN"/>
        </w:rPr>
        <w:t>六</w:t>
      </w:r>
      <w:r>
        <w:rPr>
          <w:rFonts w:hint="eastAsia" w:ascii="宋体" w:hAnsi="宋体" w:eastAsia="方正黑体_GBK" w:cs="Times New Roman"/>
          <w:b w:val="0"/>
          <w:color w:val="auto"/>
          <w:spacing w:val="6"/>
          <w:kern w:val="44"/>
          <w:sz w:val="32"/>
          <w:szCs w:val="15"/>
          <w:lang w:val="zh-CN" w:eastAsia="zh-CN" w:bidi="zh-CN"/>
        </w:rPr>
        <w:t>章 附则</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48B4E7BA">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418" w:name="_Toc25195"/>
      <w:bookmarkStart w:id="419" w:name="_Toc11062"/>
      <w:bookmarkStart w:id="420" w:name="_Toc13399"/>
      <w:bookmarkStart w:id="421" w:name="_Toc22786"/>
      <w:bookmarkStart w:id="422" w:name="_Toc28893"/>
      <w:bookmarkStart w:id="423" w:name="_Toc10445"/>
      <w:bookmarkStart w:id="424" w:name="_Toc1328"/>
      <w:bookmarkStart w:id="425" w:name="_Toc24834"/>
      <w:bookmarkStart w:id="426" w:name="_Toc30749"/>
      <w:bookmarkStart w:id="427" w:name="_Toc14287"/>
      <w:bookmarkStart w:id="428" w:name="_Toc14454"/>
      <w:bookmarkStart w:id="429" w:name="_Toc23626"/>
      <w:bookmarkStart w:id="430" w:name="_Toc19792"/>
      <w:bookmarkStart w:id="431" w:name="_Toc30376"/>
      <w:bookmarkStart w:id="432" w:name="_Toc28897"/>
      <w:bookmarkStart w:id="433" w:name="_Toc27639"/>
      <w:bookmarkStart w:id="434" w:name="_Toc15524"/>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补充要求</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ascii="宋体" w:hAnsi="宋体" w:eastAsia="方正楷体_GBK" w:cs="Times New Roman"/>
          <w:b w:val="0"/>
          <w:bCs/>
          <w:color w:val="auto"/>
          <w:kern w:val="2"/>
          <w:sz w:val="32"/>
          <w:szCs w:val="32"/>
          <w:lang w:val="en-US" w:eastAsia="zh-CN" w:bidi="ar-SA"/>
        </w:rPr>
        <w:t>】</w:t>
      </w:r>
    </w:p>
    <w:p w14:paraId="7163F439">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本办法实施前，已开展授权运营的，应参照本办法规范完善。本办法实施后新开展的授权运营活动按本办法执行。</w:t>
      </w:r>
    </w:p>
    <w:p w14:paraId="0006BE27">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供水、供气、供热、供电、公共交通等公用企业持有的公共数据资源的开发利用，可参考本规范有关程序要求授权使用，维护公共利益和企业合法数据权益，接受政府和社会监督。</w:t>
      </w:r>
    </w:p>
    <w:p w14:paraId="32027112">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435" w:name="_Toc340"/>
      <w:bookmarkStart w:id="436" w:name="_Toc30152"/>
      <w:bookmarkStart w:id="437" w:name="_Toc4180"/>
      <w:bookmarkStart w:id="438" w:name="_Toc15441"/>
      <w:bookmarkStart w:id="439" w:name="_Toc22430"/>
      <w:bookmarkStart w:id="440" w:name="_Toc1056"/>
      <w:bookmarkStart w:id="441" w:name="_Toc18387"/>
      <w:bookmarkStart w:id="442" w:name="_Toc25708"/>
      <w:bookmarkStart w:id="443" w:name="_Toc24349"/>
      <w:bookmarkStart w:id="444" w:name="_Toc1122"/>
      <w:bookmarkStart w:id="445" w:name="_Toc9162"/>
      <w:bookmarkStart w:id="446" w:name="_Toc28279"/>
      <w:bookmarkStart w:id="447" w:name="_Toc20072"/>
      <w:bookmarkStart w:id="448" w:name="_Toc11156"/>
      <w:bookmarkStart w:id="449" w:name="_Toc7200"/>
      <w:bookmarkStart w:id="450" w:name="_Toc9242"/>
      <w:bookmarkStart w:id="451" w:name="_Toc13649"/>
      <w:r>
        <w:rPr>
          <w:rFonts w:hint="eastAsia" w:ascii="宋体" w:hAnsi="宋体" w:eastAsia="方正楷体_GBK" w:cs="Times New Roman"/>
          <w:b w:val="0"/>
          <w:bCs/>
          <w:color w:val="auto"/>
          <w:kern w:val="2"/>
          <w:sz w:val="32"/>
          <w:szCs w:val="32"/>
          <w:lang w:val="en-US" w:eastAsia="zh-CN" w:bidi="ar-SA"/>
        </w:rPr>
        <w:t>【</w:t>
      </w:r>
      <w:r>
        <w:rPr>
          <w:rFonts w:ascii="宋体" w:hAnsi="宋体" w:eastAsia="方正楷体_GBK" w:cs="Times New Roman"/>
          <w:b w:val="0"/>
          <w:bCs w:val="0"/>
          <w:color w:val="auto"/>
          <w:kern w:val="2"/>
          <w:sz w:val="32"/>
          <w:szCs w:val="22"/>
          <w:lang w:val="en-US" w:eastAsia="zh-CN" w:bidi="ar-SA"/>
        </w:rPr>
        <w:t>解释权</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宋体" w:hAnsi="宋体" w:eastAsia="方正楷体_GBK" w:cs="Times New Roman"/>
          <w:b w:val="0"/>
          <w:bCs/>
          <w:color w:val="auto"/>
          <w:kern w:val="2"/>
          <w:sz w:val="32"/>
          <w:szCs w:val="32"/>
          <w:lang w:val="en-US" w:eastAsia="zh-CN" w:bidi="ar-SA"/>
        </w:rPr>
        <w:t>】</w:t>
      </w:r>
    </w:p>
    <w:p w14:paraId="2AC6C457">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本办法解释工作由省人民政府办公厅负责，省数据局具体承担。</w:t>
      </w:r>
    </w:p>
    <w:p w14:paraId="4A270AC0">
      <w:pPr>
        <w:keepNext w:val="0"/>
        <w:keepLines w:val="0"/>
        <w:pageBreakBefore w:val="0"/>
        <w:widowControl w:val="0"/>
        <w:numPr>
          <w:ilvl w:val="0"/>
          <w:numId w:val="2"/>
        </w:numPr>
        <w:kinsoku/>
        <w:wordWrap/>
        <w:overflowPunct w:val="0"/>
        <w:topLinePunct w:val="0"/>
        <w:autoSpaceDE/>
        <w:autoSpaceDN/>
        <w:bidi w:val="0"/>
        <w:adjustRightInd/>
        <w:snapToGrid/>
        <w:spacing w:before="0" w:after="0" w:line="594" w:lineRule="exact"/>
        <w:ind w:left="1260"/>
        <w:jc w:val="both"/>
        <w:textAlignment w:val="auto"/>
        <w:outlineLvl w:val="2"/>
        <w:rPr>
          <w:rFonts w:ascii="宋体" w:hAnsi="宋体" w:eastAsia="方正楷体_GBK" w:cs="Times New Roman"/>
          <w:b w:val="0"/>
          <w:bCs w:val="0"/>
          <w:color w:val="auto"/>
          <w:kern w:val="2"/>
          <w:sz w:val="32"/>
          <w:szCs w:val="22"/>
          <w:lang w:val="en-US" w:eastAsia="zh-CN" w:bidi="ar-SA"/>
        </w:rPr>
      </w:pPr>
      <w:bookmarkStart w:id="452" w:name="_Toc2903"/>
      <w:bookmarkStart w:id="453" w:name="_Toc8682"/>
      <w:bookmarkStart w:id="454" w:name="_Toc20493"/>
      <w:bookmarkStart w:id="455" w:name="_Toc4452"/>
      <w:bookmarkStart w:id="456" w:name="_Toc10524"/>
      <w:bookmarkStart w:id="457" w:name="_Toc17099"/>
      <w:bookmarkStart w:id="458" w:name="_Toc17498"/>
      <w:bookmarkStart w:id="459" w:name="_Toc27914"/>
      <w:bookmarkStart w:id="460" w:name="_Toc18547"/>
      <w:bookmarkStart w:id="461" w:name="_Toc7400"/>
      <w:bookmarkStart w:id="462" w:name="_Toc26553"/>
      <w:bookmarkStart w:id="463" w:name="_Toc25333"/>
      <w:bookmarkStart w:id="464" w:name="_Toc23438"/>
      <w:bookmarkStart w:id="465" w:name="_Toc22779"/>
      <w:bookmarkStart w:id="466" w:name="_Toc13579"/>
      <w:bookmarkStart w:id="467" w:name="_Toc5956"/>
      <w:bookmarkStart w:id="468" w:name="_Toc20088"/>
      <w:r>
        <w:rPr>
          <w:rFonts w:hint="eastAsia" w:ascii="宋体" w:hAnsi="宋体" w:eastAsia="方正楷体_GBK" w:cs="Times New Roman"/>
          <w:b w:val="0"/>
          <w:bCs/>
          <w:color w:val="auto"/>
          <w:kern w:val="2"/>
          <w:sz w:val="32"/>
          <w:szCs w:val="32"/>
          <w:lang w:val="en-US" w:eastAsia="zh-CN" w:bidi="ar-SA"/>
        </w:rPr>
        <w:t>【</w:t>
      </w:r>
      <w:r>
        <w:rPr>
          <w:rFonts w:hint="eastAsia" w:ascii="宋体" w:hAnsi="宋体" w:eastAsia="方正楷体_GBK" w:cs="Times New Roman"/>
          <w:b w:val="0"/>
          <w:bCs w:val="0"/>
          <w:color w:val="auto"/>
          <w:kern w:val="2"/>
          <w:sz w:val="32"/>
          <w:szCs w:val="22"/>
          <w:lang w:val="en-US" w:eastAsia="zh-CN" w:bidi="ar-SA"/>
        </w:rPr>
        <w:t>生效日期</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Pr>
          <w:rFonts w:hint="eastAsia" w:ascii="宋体" w:hAnsi="宋体" w:eastAsia="方正楷体_GBK" w:cs="Times New Roman"/>
          <w:b w:val="0"/>
          <w:bCs/>
          <w:color w:val="auto"/>
          <w:kern w:val="2"/>
          <w:sz w:val="32"/>
          <w:szCs w:val="32"/>
          <w:lang w:val="en-US" w:eastAsia="zh-CN" w:bidi="ar-SA"/>
        </w:rPr>
        <w:t>】</w:t>
      </w:r>
    </w:p>
    <w:p w14:paraId="77567A1A">
      <w:pPr>
        <w:pageBreakBefore w:val="0"/>
        <w:kinsoku/>
        <w:wordWrap/>
        <w:overflowPunct w:val="0"/>
        <w:topLinePunct w:val="0"/>
        <w:autoSpaceDE/>
        <w:autoSpaceDN/>
        <w:bidi w:val="0"/>
        <w:adjustRightInd/>
        <w:snapToGrid/>
        <w:spacing w:before="0" w:after="0" w:line="594" w:lineRule="exact"/>
        <w:ind w:firstLine="640" w:firstLineChars="200"/>
        <w:textAlignment w:val="auto"/>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本办法自2025年X月X日起施行。国家和本省对公共数据资源授权运营</w:t>
      </w:r>
      <w:r>
        <w:rPr>
          <w:rFonts w:hint="eastAsia" w:ascii="宋体" w:hAnsi="宋体" w:eastAsia="方正仿宋_GBK" w:cs="方正仿宋_GBK"/>
          <w:color w:val="auto"/>
          <w:kern w:val="0"/>
          <w:sz w:val="32"/>
          <w:szCs w:val="32"/>
          <w:lang w:bidi="ar"/>
        </w:rPr>
        <w:t>另有规定的</w:t>
      </w:r>
      <w:r>
        <w:rPr>
          <w:rFonts w:hint="eastAsia" w:ascii="宋体" w:hAnsi="宋体" w:eastAsia="方正仿宋_GBK" w:cs="方正仿宋_GBK"/>
          <w:color w:val="auto"/>
          <w:sz w:val="32"/>
          <w:szCs w:val="32"/>
        </w:rPr>
        <w:t>，从其规定。</w:t>
      </w:r>
    </w:p>
    <w:p w14:paraId="5E01FF78">
      <w:bookmarkStart w:id="469" w:name="_GoBack"/>
      <w:bookmarkEnd w:id="46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2AA49"/>
    <w:multiLevelType w:val="multilevel"/>
    <w:tmpl w:val="8E42AA49"/>
    <w:lvl w:ilvl="0" w:tentative="0">
      <w:start w:val="1"/>
      <w:numFmt w:val="chineseCountingThousand"/>
      <w:suff w:val="space"/>
      <w:lvlText w:val="第%1条"/>
      <w:lvlJc w:val="left"/>
      <w:pPr>
        <w:ind w:left="2355" w:hanging="528"/>
      </w:pPr>
      <w:rPr>
        <w:rFonts w:hint="eastAsia" w:ascii="方正楷体_GBK" w:hAnsi="方正楷体_GBK" w:eastAsia="方正楷体_GBK" w:cs="方正楷体_GBK"/>
        <w:b w:val="0"/>
        <w:bCs w:val="0"/>
        <w:sz w:val="32"/>
        <w:szCs w:val="32"/>
      </w:rPr>
    </w:lvl>
    <w:lvl w:ilvl="1" w:tentative="0">
      <w:start w:val="1"/>
      <w:numFmt w:val="lowerLetter"/>
      <w:lvlText w:val="%2)"/>
      <w:lvlJc w:val="left"/>
      <w:pPr>
        <w:tabs>
          <w:tab w:val="left" w:pos="1260"/>
        </w:tabs>
        <w:ind w:left="2795" w:hanging="440"/>
      </w:pPr>
      <w:rPr>
        <w:rFonts w:hint="eastAsia"/>
      </w:rPr>
    </w:lvl>
    <w:lvl w:ilvl="2" w:tentative="0">
      <w:start w:val="1"/>
      <w:numFmt w:val="lowerRoman"/>
      <w:lvlText w:val="%3."/>
      <w:lvlJc w:val="right"/>
      <w:pPr>
        <w:tabs>
          <w:tab w:val="left" w:pos="1260"/>
        </w:tabs>
        <w:ind w:left="3235" w:hanging="440"/>
      </w:pPr>
      <w:rPr>
        <w:rFonts w:hint="eastAsia"/>
      </w:rPr>
    </w:lvl>
    <w:lvl w:ilvl="3" w:tentative="0">
      <w:start w:val="1"/>
      <w:numFmt w:val="decimal"/>
      <w:lvlText w:val="%4."/>
      <w:lvlJc w:val="left"/>
      <w:pPr>
        <w:tabs>
          <w:tab w:val="left" w:pos="1260"/>
        </w:tabs>
        <w:ind w:left="3675" w:hanging="440"/>
      </w:pPr>
      <w:rPr>
        <w:rFonts w:hint="eastAsia"/>
      </w:rPr>
    </w:lvl>
    <w:lvl w:ilvl="4" w:tentative="0">
      <w:start w:val="1"/>
      <w:numFmt w:val="lowerLetter"/>
      <w:lvlText w:val="%5)"/>
      <w:lvlJc w:val="left"/>
      <w:pPr>
        <w:tabs>
          <w:tab w:val="left" w:pos="1260"/>
        </w:tabs>
        <w:ind w:left="4115" w:hanging="440"/>
      </w:pPr>
      <w:rPr>
        <w:rFonts w:hint="eastAsia"/>
      </w:rPr>
    </w:lvl>
    <w:lvl w:ilvl="5" w:tentative="0">
      <w:start w:val="1"/>
      <w:numFmt w:val="lowerRoman"/>
      <w:lvlText w:val="%6."/>
      <w:lvlJc w:val="right"/>
      <w:pPr>
        <w:tabs>
          <w:tab w:val="left" w:pos="1260"/>
        </w:tabs>
        <w:ind w:left="4555" w:hanging="440"/>
      </w:pPr>
      <w:rPr>
        <w:rFonts w:hint="eastAsia"/>
      </w:rPr>
    </w:lvl>
    <w:lvl w:ilvl="6" w:tentative="0">
      <w:start w:val="1"/>
      <w:numFmt w:val="decimal"/>
      <w:lvlText w:val="%7."/>
      <w:lvlJc w:val="left"/>
      <w:pPr>
        <w:tabs>
          <w:tab w:val="left" w:pos="1260"/>
        </w:tabs>
        <w:ind w:left="4995" w:hanging="440"/>
      </w:pPr>
      <w:rPr>
        <w:rFonts w:hint="eastAsia"/>
      </w:rPr>
    </w:lvl>
    <w:lvl w:ilvl="7" w:tentative="0">
      <w:start w:val="1"/>
      <w:numFmt w:val="lowerLetter"/>
      <w:lvlText w:val="%8)"/>
      <w:lvlJc w:val="left"/>
      <w:pPr>
        <w:tabs>
          <w:tab w:val="left" w:pos="1260"/>
        </w:tabs>
        <w:ind w:left="5435" w:hanging="440"/>
      </w:pPr>
      <w:rPr>
        <w:rFonts w:hint="eastAsia"/>
      </w:rPr>
    </w:lvl>
    <w:lvl w:ilvl="8" w:tentative="0">
      <w:start w:val="1"/>
      <w:numFmt w:val="lowerRoman"/>
      <w:lvlText w:val="%9."/>
      <w:lvlJc w:val="right"/>
      <w:pPr>
        <w:tabs>
          <w:tab w:val="left" w:pos="1260"/>
        </w:tabs>
        <w:ind w:left="5875" w:hanging="440"/>
      </w:pPr>
      <w:rPr>
        <w:rFonts w:hint="eastAsia"/>
      </w:rPr>
    </w:lvl>
  </w:abstractNum>
  <w:abstractNum w:abstractNumId="1">
    <w:nsid w:val="4C6C819E"/>
    <w:multiLevelType w:val="singleLevel"/>
    <w:tmpl w:val="4C6C819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54A44"/>
    <w:rsid w:val="34A5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2025-07-24T09:06:00Z</dcterms:created>
  <dc:creator>Lyu zhaowanyue</dc:creator>
  <cp:lastModifiedBy>Lyu zhaowanyue</cp:lastModifiedBy>
  <dcterms:modified xsi:type="dcterms:W3CDTF">2025-07-24T09:07:11Z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3093C54D847841E9ACA6BB7A0317D246_11</vt:lpwstr>
  </property>
  <property fmtid="{D5CDD505-2E9C-101B-9397-08002B2CF9AE}" pid="4" name="KSOTemplateDocerSaveRecord">
    <vt:lpwstr>eyJoZGlkIjoiMTc0MDcyNTBhMTQ0M2UyNmVkOGQzNDkzY2VjMzkyMmMiLCJ1c2VySWQiOiIzNDIwNDAxMzYifQ==</vt:lpwstr>
  </property>
</Properties>
</file>