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540" w:lineRule="exact"/>
        <w:rPr>
          <w:rFonts w:ascii="宋体" w:hAnsi="宋体" w:eastAsia="宋体" w:cs="宋体"/>
          <w:sz w:val="32"/>
          <w:szCs w:val="32"/>
        </w:rPr>
      </w:pPr>
      <w:bookmarkStart w:id="0" w:name="_GoBack"/>
      <w:bookmarkEnd w:id="0"/>
    </w:p>
    <w:p>
      <w:pPr>
        <w:spacing w:line="600" w:lineRule="exact"/>
        <w:jc w:val="center"/>
        <w:rPr>
          <w:rFonts w:hint="eastAsia" w:ascii="方正大标宋_GBK" w:hAnsi="方正大标宋_GBK" w:eastAsia="方正大标宋_GBK" w:cs="方正大标宋_GBK"/>
          <w:sz w:val="42"/>
          <w:szCs w:val="42"/>
        </w:rPr>
      </w:pPr>
      <w:r>
        <w:rPr>
          <w:rFonts w:hint="eastAsia" w:ascii="方正大标宋_GBK" w:hAnsi="方正大标宋_GBK" w:eastAsia="方正大标宋_GBK" w:cs="方正大标宋_GBK"/>
          <w:sz w:val="42"/>
          <w:szCs w:val="42"/>
        </w:rPr>
        <w:t>关于《江门市超声和中医类等医疗服务项目价格定价方案（征求意见稿）》的说明</w:t>
      </w:r>
    </w:p>
    <w:p>
      <w:pPr>
        <w:adjustRightInd w:val="0"/>
        <w:snapToGrid w:val="0"/>
        <w:spacing w:line="600" w:lineRule="exact"/>
        <w:ind w:firstLine="640" w:firstLineChars="200"/>
        <w:rPr>
          <w:rFonts w:hint="eastAsia" w:ascii="仿宋_GB2312" w:hAnsi="仿宋_GB2312" w:eastAsia="仿宋_GB2312" w:cs="仿宋_GB2312"/>
          <w:sz w:val="32"/>
        </w:rPr>
      </w:pPr>
    </w:p>
    <w:p>
      <w:pPr>
        <w:keepNext w:val="0"/>
        <w:keepLines w:val="0"/>
        <w:pageBreakBefore w:val="0"/>
        <w:widowControl w:val="0"/>
        <w:kinsoku/>
        <w:wordWrap/>
        <w:overflowPunct/>
        <w:topLinePunct w:val="0"/>
        <w:bidi w:val="0"/>
        <w:adjustRightInd w:val="0"/>
        <w:snapToGrid w:val="0"/>
        <w:spacing w:line="580" w:lineRule="exact"/>
        <w:ind w:firstLine="600" w:firstLineChars="200"/>
        <w:textAlignment w:val="auto"/>
        <w:rPr>
          <w:rFonts w:hint="default" w:ascii="Times New Roman" w:hAnsi="Times New Roman" w:eastAsia="方正仿宋_GBK" w:cs="Times New Roman"/>
          <w:b/>
          <w:bCs/>
          <w:sz w:val="30"/>
          <w:szCs w:val="30"/>
        </w:rPr>
      </w:pPr>
      <w:r>
        <w:rPr>
          <w:rFonts w:hint="default" w:ascii="Times New Roman" w:hAnsi="Times New Roman" w:eastAsia="方正仿宋_GBK" w:cs="Times New Roman"/>
          <w:sz w:val="30"/>
          <w:szCs w:val="30"/>
        </w:rPr>
        <w:t>根据《国家医疗保障局办公室关于进一步做好医疗服务价格管理工作的通知》（医保办发〔2022〕16号）和《广东省医疗保障局关于公布超声和中医类等医疗服务价格项目的通知》（粤医保发〔2025〕11号）</w:t>
      </w:r>
      <w:r>
        <w:rPr>
          <w:rFonts w:hint="eastAsia" w:ascii="Times New Roman" w:hAnsi="Times New Roman" w:eastAsia="方正仿宋_GBK" w:cs="Times New Roman"/>
          <w:sz w:val="30"/>
          <w:szCs w:val="30"/>
          <w:lang w:eastAsia="zh-CN"/>
        </w:rPr>
        <w:t>等</w:t>
      </w:r>
      <w:r>
        <w:rPr>
          <w:rFonts w:hint="default" w:ascii="Times New Roman" w:hAnsi="Times New Roman" w:eastAsia="方正仿宋_GBK" w:cs="Times New Roman"/>
          <w:sz w:val="30"/>
          <w:szCs w:val="30"/>
        </w:rPr>
        <w:t>文件精神，为明确我市</w:t>
      </w:r>
      <w:r>
        <w:rPr>
          <w:rFonts w:hint="eastAsia" w:ascii="Times New Roman" w:hAnsi="Times New Roman" w:eastAsia="方正仿宋_GBK" w:cs="Times New Roman"/>
          <w:sz w:val="30"/>
          <w:szCs w:val="30"/>
          <w:lang w:eastAsia="zh-CN"/>
        </w:rPr>
        <w:t>超声和中医类等</w:t>
      </w:r>
      <w:r>
        <w:rPr>
          <w:rFonts w:hint="default" w:ascii="Times New Roman" w:hAnsi="Times New Roman" w:eastAsia="方正仿宋_GBK" w:cs="Times New Roman"/>
          <w:sz w:val="30"/>
          <w:szCs w:val="30"/>
        </w:rPr>
        <w:t>医疗服务项目价格，我局制定了《江门市超声和中医类等医疗服务项目价格定价方案（征求意见稿）》，现就有关情况说明如下：</w:t>
      </w:r>
    </w:p>
    <w:p>
      <w:pPr>
        <w:keepNext w:val="0"/>
        <w:keepLines w:val="0"/>
        <w:pageBreakBefore w:val="0"/>
        <w:widowControl w:val="0"/>
        <w:kinsoku/>
        <w:wordWrap/>
        <w:overflowPunct/>
        <w:topLinePunct w:val="0"/>
        <w:bidi w:val="0"/>
        <w:adjustRightInd w:val="0"/>
        <w:snapToGrid w:val="0"/>
        <w:spacing w:line="580" w:lineRule="exact"/>
        <w:ind w:firstLine="600" w:firstLineChars="200"/>
        <w:textAlignment w:val="auto"/>
        <w:rPr>
          <w:rFonts w:hint="eastAsia" w:ascii="方正黑体_GBK" w:hAnsi="方正黑体_GBK" w:eastAsia="方正黑体_GBK" w:cs="方正黑体_GBK"/>
          <w:b/>
          <w:bCs/>
          <w:sz w:val="30"/>
          <w:szCs w:val="30"/>
        </w:rPr>
      </w:pPr>
      <w:r>
        <w:rPr>
          <w:rFonts w:hint="eastAsia" w:ascii="方正黑体_GBK" w:hAnsi="方正黑体_GBK" w:eastAsia="方正黑体_GBK" w:cs="方正黑体_GBK"/>
          <w:b/>
          <w:bCs/>
          <w:sz w:val="30"/>
          <w:szCs w:val="30"/>
        </w:rPr>
        <w:t>一、背景及必要性</w:t>
      </w:r>
    </w:p>
    <w:p>
      <w:pPr>
        <w:keepNext w:val="0"/>
        <w:keepLines w:val="0"/>
        <w:pageBreakBefore w:val="0"/>
        <w:widowControl w:val="0"/>
        <w:kinsoku/>
        <w:wordWrap/>
        <w:overflowPunct/>
        <w:topLinePunct w:val="0"/>
        <w:bidi w:val="0"/>
        <w:adjustRightInd w:val="0"/>
        <w:snapToGrid w:val="0"/>
        <w:spacing w:line="58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省医保局印发</w:t>
      </w:r>
      <w:r>
        <w:rPr>
          <w:rFonts w:hint="eastAsia" w:ascii="Times New Roman" w:hAnsi="Times New Roman" w:eastAsia="方正仿宋_GBK" w:cs="Times New Roman"/>
          <w:sz w:val="30"/>
          <w:szCs w:val="30"/>
          <w:lang w:eastAsia="zh-CN"/>
        </w:rPr>
        <w:t>了</w:t>
      </w:r>
      <w:r>
        <w:rPr>
          <w:rFonts w:hint="default" w:ascii="Times New Roman" w:hAnsi="Times New Roman" w:eastAsia="方正仿宋_GBK" w:cs="Times New Roman"/>
          <w:sz w:val="30"/>
          <w:szCs w:val="30"/>
        </w:rPr>
        <w:t>《广东省医疗保障局关于公布超声和中医类等医疗服务价格项目的通知》，对</w:t>
      </w:r>
      <w:r>
        <w:rPr>
          <w:rFonts w:hint="eastAsia" w:ascii="Times New Roman" w:hAnsi="Times New Roman" w:eastAsia="方正仿宋_GBK" w:cs="Times New Roman"/>
          <w:sz w:val="30"/>
          <w:szCs w:val="30"/>
          <w:lang w:eastAsia="zh-CN"/>
        </w:rPr>
        <w:t>超声和中医类等</w:t>
      </w:r>
      <w:r>
        <w:rPr>
          <w:rFonts w:hint="default" w:ascii="Times New Roman" w:hAnsi="Times New Roman" w:eastAsia="方正仿宋_GBK" w:cs="Times New Roman"/>
          <w:sz w:val="30"/>
          <w:szCs w:val="30"/>
        </w:rPr>
        <w:t>医疗服务项目进行规范整合，制定项目的最高限价，并要求各地市</w:t>
      </w:r>
      <w:r>
        <w:rPr>
          <w:rFonts w:hint="eastAsia" w:ascii="Times New Roman" w:hAnsi="Times New Roman" w:eastAsia="方正仿宋_GBK" w:cs="Times New Roman"/>
          <w:sz w:val="30"/>
          <w:szCs w:val="30"/>
          <w:lang w:eastAsia="zh-CN"/>
        </w:rPr>
        <w:t>制定</w:t>
      </w:r>
      <w:r>
        <w:rPr>
          <w:rFonts w:hint="default" w:ascii="Times New Roman" w:hAnsi="Times New Roman" w:eastAsia="方正仿宋_GBK" w:cs="Times New Roman"/>
          <w:sz w:val="30"/>
          <w:szCs w:val="30"/>
        </w:rPr>
        <w:t>政府指导价。</w:t>
      </w:r>
    </w:p>
    <w:p>
      <w:pPr>
        <w:keepNext w:val="0"/>
        <w:keepLines w:val="0"/>
        <w:pageBreakBefore w:val="0"/>
        <w:widowControl w:val="0"/>
        <w:kinsoku/>
        <w:wordWrap/>
        <w:overflowPunct/>
        <w:topLinePunct w:val="0"/>
        <w:bidi w:val="0"/>
        <w:adjustRightInd w:val="0"/>
        <w:snapToGrid w:val="0"/>
        <w:spacing w:line="580" w:lineRule="exact"/>
        <w:ind w:firstLine="600" w:firstLineChars="200"/>
        <w:textAlignment w:val="auto"/>
        <w:rPr>
          <w:rFonts w:hint="eastAsia" w:ascii="方正黑体_GBK" w:hAnsi="方正黑体_GBK" w:eastAsia="方正黑体_GBK" w:cs="方正黑体_GBK"/>
          <w:b/>
          <w:bCs/>
          <w:sz w:val="30"/>
          <w:szCs w:val="30"/>
        </w:rPr>
      </w:pPr>
      <w:r>
        <w:rPr>
          <w:rFonts w:hint="eastAsia" w:ascii="方正黑体_GBK" w:hAnsi="方正黑体_GBK" w:eastAsia="方正黑体_GBK" w:cs="方正黑体_GBK"/>
          <w:b/>
          <w:bCs/>
          <w:sz w:val="30"/>
          <w:szCs w:val="30"/>
        </w:rPr>
        <w:t>二、定价文件依据</w:t>
      </w:r>
    </w:p>
    <w:p>
      <w:pPr>
        <w:pStyle w:val="2"/>
        <w:keepNext w:val="0"/>
        <w:keepLines w:val="0"/>
        <w:pageBreakBefore w:val="0"/>
        <w:widowControl w:val="0"/>
        <w:kinsoku/>
        <w:wordWrap/>
        <w:overflowPunct/>
        <w:topLinePunct w:val="0"/>
        <w:bidi w:val="0"/>
        <w:spacing w:line="580" w:lineRule="exact"/>
        <w:ind w:firstLine="640"/>
        <w:textAlignment w:val="auto"/>
        <w:rPr>
          <w:rFonts w:hint="default" w:ascii="Times New Roman" w:hAnsi="Times New Roman" w:eastAsia="方正仿宋_GBK" w:cs="Times New Roman"/>
          <w:color w:val="000000" w:themeColor="text1"/>
          <w:kern w:val="2"/>
          <w:sz w:val="30"/>
          <w:szCs w:val="30"/>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30"/>
          <w:szCs w:val="30"/>
          <w:lang w:val="en-US" w:eastAsia="zh-CN"/>
          <w14:textFill>
            <w14:solidFill>
              <w14:schemeClr w14:val="tx1"/>
            </w14:solidFill>
          </w14:textFill>
        </w:rPr>
        <w:t>（一）《广东省医疗保障局关于公布超声和中医类等医疗服务价格项目的通知》（粤医保发〔2025〕11号）</w:t>
      </w:r>
    </w:p>
    <w:p>
      <w:pPr>
        <w:keepNext w:val="0"/>
        <w:keepLines w:val="0"/>
        <w:pageBreakBefore w:val="0"/>
        <w:widowControl w:val="0"/>
        <w:kinsoku/>
        <w:wordWrap/>
        <w:overflowPunct/>
        <w:topLinePunct w:val="0"/>
        <w:bidi w:val="0"/>
        <w:adjustRightInd w:val="0"/>
        <w:snapToGrid w:val="0"/>
        <w:spacing w:line="580" w:lineRule="exact"/>
        <w:ind w:firstLine="600" w:firstLineChars="200"/>
        <w:textAlignment w:val="auto"/>
        <w:rPr>
          <w:rFonts w:hint="default" w:ascii="Times New Roman" w:hAnsi="Times New Roman" w:eastAsia="方正仿宋_GBK" w:cs="Times New Roman"/>
          <w:color w:val="000000" w:themeColor="text1"/>
          <w:kern w:val="2"/>
          <w:sz w:val="30"/>
          <w:szCs w:val="30"/>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30"/>
          <w:szCs w:val="30"/>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2"/>
          <w:sz w:val="30"/>
          <w:szCs w:val="30"/>
          <w:lang w:val="en-US" w:eastAsia="zh-CN"/>
          <w14:textFill>
            <w14:solidFill>
              <w14:schemeClr w14:val="tx1"/>
            </w14:solidFill>
          </w14:textFill>
        </w:rPr>
        <w:t>二</w:t>
      </w:r>
      <w:r>
        <w:rPr>
          <w:rFonts w:hint="default" w:ascii="Times New Roman" w:hAnsi="Times New Roman" w:eastAsia="方正仿宋_GBK" w:cs="Times New Roman"/>
          <w:color w:val="000000" w:themeColor="text1"/>
          <w:kern w:val="2"/>
          <w:sz w:val="30"/>
          <w:szCs w:val="30"/>
          <w:lang w:val="en-US" w:eastAsia="zh-CN"/>
          <w14:textFill>
            <w14:solidFill>
              <w14:schemeClr w14:val="tx1"/>
            </w14:solidFill>
          </w14:textFill>
        </w:rPr>
        <w:t>）《广东省发展改革委关于印发&lt;关于政府制定价格行为规则的实施细则（2024年修订）&gt;的通知》（粤发改规〔2024〕3号）</w:t>
      </w:r>
    </w:p>
    <w:p>
      <w:pPr>
        <w:keepNext w:val="0"/>
        <w:keepLines w:val="0"/>
        <w:pageBreakBefore w:val="0"/>
        <w:widowControl w:val="0"/>
        <w:kinsoku/>
        <w:wordWrap/>
        <w:overflowPunct/>
        <w:topLinePunct w:val="0"/>
        <w:bidi w:val="0"/>
        <w:spacing w:line="580" w:lineRule="exact"/>
        <w:ind w:firstLine="600" w:firstLineChars="200"/>
        <w:textAlignment w:val="auto"/>
        <w:rPr>
          <w:rFonts w:hint="eastAsia" w:ascii="方正黑体_GBK" w:hAnsi="方正黑体_GBK" w:eastAsia="方正黑体_GBK" w:cs="方正黑体_GBK"/>
          <w:b/>
          <w:bCs/>
          <w:sz w:val="30"/>
          <w:szCs w:val="30"/>
          <w:lang w:eastAsia="zh-CN"/>
        </w:rPr>
      </w:pPr>
      <w:r>
        <w:rPr>
          <w:rFonts w:hint="eastAsia" w:ascii="方正黑体_GBK" w:hAnsi="方正黑体_GBK" w:eastAsia="方正黑体_GBK" w:cs="方正黑体_GBK"/>
          <w:b/>
          <w:bCs/>
          <w:sz w:val="30"/>
          <w:szCs w:val="30"/>
        </w:rPr>
        <w:t>三、</w:t>
      </w:r>
      <w:r>
        <w:rPr>
          <w:rFonts w:hint="eastAsia" w:ascii="方正黑体_GBK" w:hAnsi="方正黑体_GBK" w:eastAsia="方正黑体_GBK" w:cs="方正黑体_GBK"/>
          <w:b/>
          <w:bCs/>
          <w:sz w:val="30"/>
          <w:szCs w:val="30"/>
          <w:lang w:eastAsia="zh-CN"/>
        </w:rPr>
        <w:t>主要内容</w:t>
      </w:r>
    </w:p>
    <w:p>
      <w:pPr>
        <w:keepNext w:val="0"/>
        <w:keepLines w:val="0"/>
        <w:pageBreakBefore w:val="0"/>
        <w:widowControl w:val="0"/>
        <w:kinsoku/>
        <w:wordWrap/>
        <w:overflowPunct/>
        <w:topLinePunct w:val="0"/>
        <w:bidi w:val="0"/>
        <w:spacing w:line="580" w:lineRule="exact"/>
        <w:ind w:firstLine="600"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对</w:t>
      </w:r>
      <w:r>
        <w:rPr>
          <w:rFonts w:hint="eastAsia" w:ascii="Times New Roman" w:hAnsi="Times New Roman" w:eastAsia="方正仿宋_GBK" w:cs="Times New Roman"/>
          <w:sz w:val="30"/>
          <w:szCs w:val="30"/>
          <w:lang w:eastAsia="zh-CN"/>
        </w:rPr>
        <w:t>超声和中医类等</w:t>
      </w:r>
      <w:r>
        <w:rPr>
          <w:rFonts w:hint="default" w:ascii="Times New Roman" w:hAnsi="Times New Roman" w:eastAsia="方正仿宋_GBK" w:cs="Times New Roman"/>
          <w:sz w:val="30"/>
          <w:szCs w:val="30"/>
          <w:lang w:eastAsia="zh-CN"/>
        </w:rPr>
        <w:t>医疗服务项目进行规范整合，对省公布的10项中医针法类价格项目、9项中医骨伤类价格项目、6项中医特殊疗</w:t>
      </w:r>
      <w:r>
        <w:rPr>
          <w:rFonts w:hint="eastAsia" w:ascii="Times New Roman" w:hAnsi="Times New Roman" w:eastAsia="方正仿宋_GBK" w:cs="Times New Roman"/>
          <w:sz w:val="30"/>
          <w:szCs w:val="30"/>
          <w:lang w:eastAsia="zh-CN"/>
        </w:rPr>
        <w:t>和</w:t>
      </w:r>
      <w:r>
        <w:rPr>
          <w:rFonts w:hint="default" w:ascii="Times New Roman" w:hAnsi="Times New Roman" w:eastAsia="方正仿宋_GBK" w:cs="Times New Roman"/>
          <w:sz w:val="30"/>
          <w:szCs w:val="30"/>
          <w:lang w:eastAsia="zh-CN"/>
        </w:rPr>
        <w:t>13项超声检查类项目</w:t>
      </w:r>
      <w:r>
        <w:rPr>
          <w:rFonts w:hint="eastAsia" w:ascii="Times New Roman" w:hAnsi="Times New Roman" w:eastAsia="方正仿宋_GBK" w:cs="Times New Roman"/>
          <w:sz w:val="30"/>
          <w:szCs w:val="30"/>
          <w:lang w:eastAsia="zh-CN"/>
        </w:rPr>
        <w:t>按以下原则进行定价</w:t>
      </w:r>
      <w:r>
        <w:rPr>
          <w:rFonts w:hint="default" w:ascii="Times New Roman" w:hAnsi="Times New Roman" w:eastAsia="方正仿宋_GBK" w:cs="Times New Roman"/>
          <w:sz w:val="30"/>
          <w:szCs w:val="30"/>
          <w:lang w:eastAsia="zh-CN"/>
        </w:rPr>
        <w:t>：</w:t>
      </w:r>
    </w:p>
    <w:p>
      <w:pPr>
        <w:pStyle w:val="2"/>
        <w:keepNext w:val="0"/>
        <w:keepLines w:val="0"/>
        <w:pageBreakBefore w:val="0"/>
        <w:widowControl w:val="0"/>
        <w:numPr>
          <w:ilvl w:val="0"/>
          <w:numId w:val="0"/>
        </w:numPr>
        <w:kinsoku/>
        <w:wordWrap/>
        <w:overflowPunct/>
        <w:topLinePunct w:val="0"/>
        <w:bidi w:val="0"/>
        <w:spacing w:line="580" w:lineRule="exact"/>
        <w:ind w:firstLine="600"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（一）医疗机构成本调查平均值高于省最高限价的医疗服务价格项目，按省最高限价定价；</w:t>
      </w:r>
    </w:p>
    <w:p>
      <w:pPr>
        <w:pStyle w:val="2"/>
        <w:keepNext w:val="0"/>
        <w:keepLines w:val="0"/>
        <w:pageBreakBefore w:val="0"/>
        <w:widowControl w:val="0"/>
        <w:numPr>
          <w:ilvl w:val="0"/>
          <w:numId w:val="0"/>
        </w:numPr>
        <w:kinsoku/>
        <w:wordWrap/>
        <w:overflowPunct/>
        <w:topLinePunct w:val="0"/>
        <w:bidi w:val="0"/>
        <w:spacing w:line="580" w:lineRule="exact"/>
        <w:ind w:firstLine="600"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（二）医疗机构成本调查平均值低于省最高限价的医疗服务价格项目，按医疗机构成本调查结果定价；</w:t>
      </w:r>
    </w:p>
    <w:p>
      <w:pPr>
        <w:pStyle w:val="2"/>
        <w:keepNext w:val="0"/>
        <w:keepLines w:val="0"/>
        <w:pageBreakBefore w:val="0"/>
        <w:widowControl w:val="0"/>
        <w:kinsoku/>
        <w:wordWrap/>
        <w:overflowPunct/>
        <w:topLinePunct w:val="0"/>
        <w:bidi w:val="0"/>
        <w:spacing w:line="580" w:lineRule="exact"/>
        <w:ind w:firstLine="600"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w:t>
      </w:r>
      <w:r>
        <w:rPr>
          <w:rFonts w:hint="eastAsia" w:ascii="Times New Roman" w:hAnsi="Times New Roman" w:eastAsia="方正仿宋_GBK" w:cs="Times New Roman"/>
          <w:sz w:val="30"/>
          <w:szCs w:val="30"/>
          <w:lang w:eastAsia="zh-CN"/>
        </w:rPr>
        <w:t>三</w:t>
      </w:r>
      <w:r>
        <w:rPr>
          <w:rFonts w:hint="default" w:ascii="Times New Roman" w:hAnsi="Times New Roman" w:eastAsia="方正仿宋_GBK" w:cs="Times New Roman"/>
          <w:sz w:val="30"/>
          <w:szCs w:val="30"/>
          <w:lang w:eastAsia="zh-CN"/>
        </w:rPr>
        <w:t>）根据《江门市非营利性医疗机构医疗服务价格》〔2008〕246号文要求，本批定价的项目参照我市既往做法，城市三级按我市最高限价设置，城市二级和县市一级下浮5%，乡镇一级下浮10%。儿童加收项目的加收比例统一按我市现行政策加收10%执行。</w:t>
      </w:r>
    </w:p>
    <w:p>
      <w:pPr>
        <w:pStyle w:val="2"/>
        <w:keepNext w:val="0"/>
        <w:keepLines w:val="0"/>
        <w:pageBreakBefore w:val="0"/>
        <w:widowControl w:val="0"/>
        <w:kinsoku/>
        <w:wordWrap/>
        <w:overflowPunct/>
        <w:topLinePunct w:val="0"/>
        <w:bidi w:val="0"/>
        <w:spacing w:line="580" w:lineRule="exact"/>
        <w:ind w:firstLine="600" w:firstLineChars="200"/>
        <w:textAlignment w:val="auto"/>
        <w:rPr>
          <w:rFonts w:hint="eastAsia" w:ascii="方正黑体_GBK" w:hAnsi="方正黑体_GBK" w:eastAsia="方正黑体_GBK" w:cs="方正黑体_GBK"/>
          <w:sz w:val="30"/>
          <w:szCs w:val="30"/>
          <w:lang w:eastAsia="zh-CN"/>
        </w:rPr>
      </w:pPr>
      <w:r>
        <w:rPr>
          <w:rFonts w:hint="eastAsia" w:ascii="方正黑体_GBK" w:hAnsi="方正黑体_GBK" w:eastAsia="方正黑体_GBK" w:cs="方正黑体_GBK"/>
          <w:b/>
          <w:bCs/>
          <w:sz w:val="30"/>
          <w:szCs w:val="30"/>
          <w:lang w:eastAsia="zh-CN"/>
        </w:rPr>
        <w:t>四</w:t>
      </w:r>
      <w:r>
        <w:rPr>
          <w:rFonts w:hint="eastAsia" w:ascii="方正黑体_GBK" w:hAnsi="方正黑体_GBK" w:eastAsia="方正黑体_GBK" w:cs="方正黑体_GBK"/>
          <w:b/>
          <w:bCs/>
          <w:sz w:val="30"/>
          <w:szCs w:val="30"/>
        </w:rPr>
        <w:t>、</w:t>
      </w:r>
      <w:r>
        <w:rPr>
          <w:rFonts w:hint="eastAsia" w:ascii="方正黑体_GBK" w:hAnsi="方正黑体_GBK" w:eastAsia="方正黑体_GBK" w:cs="方正黑体_GBK"/>
          <w:b/>
          <w:bCs/>
          <w:sz w:val="30"/>
          <w:szCs w:val="30"/>
          <w:lang w:eastAsia="zh-CN"/>
        </w:rPr>
        <w:t>实施时间</w:t>
      </w:r>
    </w:p>
    <w:p>
      <w:pPr>
        <w:pStyle w:val="2"/>
        <w:keepNext w:val="0"/>
        <w:keepLines w:val="0"/>
        <w:pageBreakBefore w:val="0"/>
        <w:widowControl w:val="0"/>
        <w:numPr>
          <w:ilvl w:val="-1"/>
          <w:numId w:val="0"/>
        </w:numPr>
        <w:kinsoku/>
        <w:wordWrap/>
        <w:overflowPunct/>
        <w:topLinePunct w:val="0"/>
        <w:bidi w:val="0"/>
        <w:spacing w:line="580" w:lineRule="exact"/>
        <w:ind w:firstLine="600" w:firstLineChars="200"/>
        <w:textAlignment w:val="auto"/>
        <w:rPr>
          <w:rFonts w:hint="default" w:ascii="Times New Roman" w:hAnsi="Times New Roman" w:eastAsia="方正仿宋_GBK" w:cs="Times New Roman"/>
          <w:color w:val="auto"/>
          <w:kern w:val="2"/>
          <w:sz w:val="30"/>
          <w:szCs w:val="30"/>
          <w:lang w:val="en-US" w:eastAsia="zh-CN"/>
        </w:rPr>
      </w:pPr>
      <w:r>
        <w:rPr>
          <w:rFonts w:hint="default" w:ascii="Times New Roman" w:hAnsi="Times New Roman" w:eastAsia="方正仿宋_GBK" w:cs="Times New Roman"/>
          <w:sz w:val="30"/>
          <w:szCs w:val="30"/>
        </w:rPr>
        <w:t>本通知自2025年7月31日起实施，此前文件与本通知不符的，以本通知为准。</w:t>
      </w:r>
    </w:p>
    <w:sectPr>
      <w:footerReference r:id="rId3" w:type="default"/>
      <w:footerReference r:id="rId4" w:type="even"/>
      <w:pgSz w:w="11906" w:h="16838"/>
      <w:pgMar w:top="1701" w:right="1474" w:bottom="1134" w:left="1588" w:header="851" w:footer="992"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大标宋_GBK">
    <w:altName w:val="方正书宋_GBK"/>
    <w:panose1 w:val="03000509000000000000"/>
    <w:charset w:val="86"/>
    <w:family w:val="auto"/>
    <w:pitch w:val="default"/>
    <w:sig w:usb0="00000000" w:usb1="00000000" w:usb2="00000000" w:usb3="00000000" w:csb0="00040000" w:csb1="00000000"/>
  </w:font>
  <w:font w:name="仿宋_GB2312">
    <w:altName w:val="微软雅黑"/>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Style w:val="10"/>
                              <w:rFonts w:ascii="宋体" w:hAnsi="宋体"/>
                              <w:sz w:val="28"/>
                            </w:rPr>
                          </w:pPr>
                          <w:r>
                            <w:rPr>
                              <w:rFonts w:ascii="宋体" w:hAnsi="宋体"/>
                              <w:sz w:val="28"/>
                            </w:rPr>
                            <w:fldChar w:fldCharType="begin"/>
                          </w:r>
                          <w:r>
                            <w:rPr>
                              <w:rStyle w:val="10"/>
                              <w:rFonts w:ascii="宋体" w:hAnsi="宋体"/>
                              <w:sz w:val="28"/>
                            </w:rPr>
                            <w:instrText xml:space="preserve">PAGE  </w:instrText>
                          </w:r>
                          <w:r>
                            <w:rPr>
                              <w:rFonts w:ascii="宋体" w:hAnsi="宋体"/>
                              <w:sz w:val="28"/>
                            </w:rPr>
                            <w:fldChar w:fldCharType="separate"/>
                          </w:r>
                          <w:r>
                            <w:rPr>
                              <w:rStyle w:val="10"/>
                              <w:rFonts w:ascii="宋体" w:hAnsi="宋体"/>
                              <w:sz w:val="28"/>
                            </w:rPr>
                            <w:t>- 1 -</w:t>
                          </w:r>
                          <w:r>
                            <w:rPr>
                              <w:rFonts w:ascii="宋体" w:hAnsi="宋体"/>
                              <w:sz w:val="28"/>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5"/>
                      <w:rPr>
                        <w:rStyle w:val="10"/>
                        <w:rFonts w:ascii="宋体" w:hAnsi="宋体"/>
                        <w:sz w:val="28"/>
                      </w:rPr>
                    </w:pPr>
                    <w:r>
                      <w:rPr>
                        <w:rFonts w:ascii="宋体" w:hAnsi="宋体"/>
                        <w:sz w:val="28"/>
                      </w:rPr>
                      <w:fldChar w:fldCharType="begin"/>
                    </w:r>
                    <w:r>
                      <w:rPr>
                        <w:rStyle w:val="10"/>
                        <w:rFonts w:ascii="宋体" w:hAnsi="宋体"/>
                        <w:sz w:val="28"/>
                      </w:rPr>
                      <w:instrText xml:space="preserve">PAGE  </w:instrText>
                    </w:r>
                    <w:r>
                      <w:rPr>
                        <w:rFonts w:ascii="宋体" w:hAnsi="宋体"/>
                        <w:sz w:val="28"/>
                      </w:rPr>
                      <w:fldChar w:fldCharType="separate"/>
                    </w:r>
                    <w:r>
                      <w:rPr>
                        <w:rStyle w:val="10"/>
                        <w:rFonts w:ascii="宋体" w:hAnsi="宋体"/>
                        <w:sz w:val="28"/>
                      </w:rPr>
                      <w:t>- 1 -</w:t>
                    </w:r>
                    <w:r>
                      <w:rPr>
                        <w:rFonts w:ascii="宋体" w:hAnsi="宋体"/>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- 1 -</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172A27"/>
    <w:rsid w:val="00005AF9"/>
    <w:rsid w:val="00015382"/>
    <w:rsid w:val="00031E6F"/>
    <w:rsid w:val="000461B4"/>
    <w:rsid w:val="0004731F"/>
    <w:rsid w:val="00052947"/>
    <w:rsid w:val="000669D4"/>
    <w:rsid w:val="00070185"/>
    <w:rsid w:val="00080F05"/>
    <w:rsid w:val="00086F39"/>
    <w:rsid w:val="000A20CC"/>
    <w:rsid w:val="000B0C37"/>
    <w:rsid w:val="000D0E34"/>
    <w:rsid w:val="000E1A23"/>
    <w:rsid w:val="000F0344"/>
    <w:rsid w:val="00105301"/>
    <w:rsid w:val="00106EBA"/>
    <w:rsid w:val="00115406"/>
    <w:rsid w:val="0014421E"/>
    <w:rsid w:val="00145E00"/>
    <w:rsid w:val="00151D21"/>
    <w:rsid w:val="001712C8"/>
    <w:rsid w:val="001748F5"/>
    <w:rsid w:val="001A2061"/>
    <w:rsid w:val="001A3E21"/>
    <w:rsid w:val="001C6A44"/>
    <w:rsid w:val="001D2746"/>
    <w:rsid w:val="001D7A1C"/>
    <w:rsid w:val="001E21A6"/>
    <w:rsid w:val="001E4CF5"/>
    <w:rsid w:val="001F71ED"/>
    <w:rsid w:val="002057E4"/>
    <w:rsid w:val="00206CA1"/>
    <w:rsid w:val="00210248"/>
    <w:rsid w:val="00234B11"/>
    <w:rsid w:val="002368C7"/>
    <w:rsid w:val="002627DD"/>
    <w:rsid w:val="002640CF"/>
    <w:rsid w:val="00264839"/>
    <w:rsid w:val="00275573"/>
    <w:rsid w:val="00291173"/>
    <w:rsid w:val="00297775"/>
    <w:rsid w:val="002B749A"/>
    <w:rsid w:val="002B7FDE"/>
    <w:rsid w:val="002C434C"/>
    <w:rsid w:val="002C5FA7"/>
    <w:rsid w:val="002D1714"/>
    <w:rsid w:val="002D422C"/>
    <w:rsid w:val="002D4670"/>
    <w:rsid w:val="002D589D"/>
    <w:rsid w:val="002E2A2A"/>
    <w:rsid w:val="002E2BA3"/>
    <w:rsid w:val="002E2EBD"/>
    <w:rsid w:val="002E7416"/>
    <w:rsid w:val="002E7D17"/>
    <w:rsid w:val="002F2A95"/>
    <w:rsid w:val="0031317C"/>
    <w:rsid w:val="00321C78"/>
    <w:rsid w:val="00333DD8"/>
    <w:rsid w:val="00334FFA"/>
    <w:rsid w:val="00354803"/>
    <w:rsid w:val="00356EA1"/>
    <w:rsid w:val="00362973"/>
    <w:rsid w:val="0036657C"/>
    <w:rsid w:val="00367F1D"/>
    <w:rsid w:val="003726B9"/>
    <w:rsid w:val="00383630"/>
    <w:rsid w:val="00392D2F"/>
    <w:rsid w:val="0039475F"/>
    <w:rsid w:val="003A2BE4"/>
    <w:rsid w:val="003C505D"/>
    <w:rsid w:val="003E1D4D"/>
    <w:rsid w:val="003E4E7A"/>
    <w:rsid w:val="003F10F9"/>
    <w:rsid w:val="003F3BA5"/>
    <w:rsid w:val="003F3ECF"/>
    <w:rsid w:val="003F4DD3"/>
    <w:rsid w:val="00403A81"/>
    <w:rsid w:val="00407F09"/>
    <w:rsid w:val="00413772"/>
    <w:rsid w:val="00424262"/>
    <w:rsid w:val="004278FA"/>
    <w:rsid w:val="00444AFA"/>
    <w:rsid w:val="004472DD"/>
    <w:rsid w:val="0045375D"/>
    <w:rsid w:val="00482D73"/>
    <w:rsid w:val="0048772D"/>
    <w:rsid w:val="004940D8"/>
    <w:rsid w:val="004972A6"/>
    <w:rsid w:val="004A4B0D"/>
    <w:rsid w:val="004C3F0C"/>
    <w:rsid w:val="004D0A89"/>
    <w:rsid w:val="004D14F7"/>
    <w:rsid w:val="004D34F4"/>
    <w:rsid w:val="004D38C6"/>
    <w:rsid w:val="004D6140"/>
    <w:rsid w:val="004F6B64"/>
    <w:rsid w:val="00500D9A"/>
    <w:rsid w:val="005435D8"/>
    <w:rsid w:val="005508C6"/>
    <w:rsid w:val="00554976"/>
    <w:rsid w:val="00556F07"/>
    <w:rsid w:val="0058062C"/>
    <w:rsid w:val="00597CFA"/>
    <w:rsid w:val="005A02FF"/>
    <w:rsid w:val="005B2B6F"/>
    <w:rsid w:val="005B6DD0"/>
    <w:rsid w:val="005B79F3"/>
    <w:rsid w:val="005C6261"/>
    <w:rsid w:val="005E3DCF"/>
    <w:rsid w:val="005F1AD3"/>
    <w:rsid w:val="005F75FF"/>
    <w:rsid w:val="005F7D4C"/>
    <w:rsid w:val="00602D38"/>
    <w:rsid w:val="00603E9C"/>
    <w:rsid w:val="00604400"/>
    <w:rsid w:val="00606ED8"/>
    <w:rsid w:val="00611586"/>
    <w:rsid w:val="0061503A"/>
    <w:rsid w:val="00615D8A"/>
    <w:rsid w:val="006317AE"/>
    <w:rsid w:val="006359E6"/>
    <w:rsid w:val="0064624F"/>
    <w:rsid w:val="00651DDD"/>
    <w:rsid w:val="00655677"/>
    <w:rsid w:val="006719FD"/>
    <w:rsid w:val="006725BB"/>
    <w:rsid w:val="00677A64"/>
    <w:rsid w:val="00697387"/>
    <w:rsid w:val="00697597"/>
    <w:rsid w:val="006A0C68"/>
    <w:rsid w:val="006A361B"/>
    <w:rsid w:val="006B4469"/>
    <w:rsid w:val="006D5352"/>
    <w:rsid w:val="006D6F12"/>
    <w:rsid w:val="006F327F"/>
    <w:rsid w:val="00710940"/>
    <w:rsid w:val="007342D4"/>
    <w:rsid w:val="0073478D"/>
    <w:rsid w:val="00742072"/>
    <w:rsid w:val="00746DFF"/>
    <w:rsid w:val="00770467"/>
    <w:rsid w:val="00781896"/>
    <w:rsid w:val="007832B2"/>
    <w:rsid w:val="00786914"/>
    <w:rsid w:val="00793B97"/>
    <w:rsid w:val="007B44B8"/>
    <w:rsid w:val="007D061D"/>
    <w:rsid w:val="007E09F3"/>
    <w:rsid w:val="007E19FF"/>
    <w:rsid w:val="0080587E"/>
    <w:rsid w:val="0081149A"/>
    <w:rsid w:val="008216CE"/>
    <w:rsid w:val="008328D6"/>
    <w:rsid w:val="008329BD"/>
    <w:rsid w:val="00847AB6"/>
    <w:rsid w:val="008573EC"/>
    <w:rsid w:val="0087455A"/>
    <w:rsid w:val="00874961"/>
    <w:rsid w:val="0088769F"/>
    <w:rsid w:val="0089302E"/>
    <w:rsid w:val="00896B28"/>
    <w:rsid w:val="008A737F"/>
    <w:rsid w:val="008C3FA0"/>
    <w:rsid w:val="008D3118"/>
    <w:rsid w:val="008D31D9"/>
    <w:rsid w:val="008D5FF0"/>
    <w:rsid w:val="008F1B0C"/>
    <w:rsid w:val="008F6DBC"/>
    <w:rsid w:val="00911F52"/>
    <w:rsid w:val="0091292F"/>
    <w:rsid w:val="009167C2"/>
    <w:rsid w:val="00926127"/>
    <w:rsid w:val="00937F3D"/>
    <w:rsid w:val="0094022D"/>
    <w:rsid w:val="00945085"/>
    <w:rsid w:val="00945E84"/>
    <w:rsid w:val="00953495"/>
    <w:rsid w:val="00953897"/>
    <w:rsid w:val="00954EBC"/>
    <w:rsid w:val="0095754F"/>
    <w:rsid w:val="00963708"/>
    <w:rsid w:val="00966B24"/>
    <w:rsid w:val="00971476"/>
    <w:rsid w:val="009742A1"/>
    <w:rsid w:val="00980641"/>
    <w:rsid w:val="009977D4"/>
    <w:rsid w:val="009A177E"/>
    <w:rsid w:val="009A4D39"/>
    <w:rsid w:val="009A7744"/>
    <w:rsid w:val="009C3DE2"/>
    <w:rsid w:val="009D1135"/>
    <w:rsid w:val="009E2BB9"/>
    <w:rsid w:val="009F74EA"/>
    <w:rsid w:val="00A03ED5"/>
    <w:rsid w:val="00A22DD5"/>
    <w:rsid w:val="00A25084"/>
    <w:rsid w:val="00A37FAE"/>
    <w:rsid w:val="00A450B0"/>
    <w:rsid w:val="00A4707B"/>
    <w:rsid w:val="00A51256"/>
    <w:rsid w:val="00A51A1C"/>
    <w:rsid w:val="00A57C73"/>
    <w:rsid w:val="00A7240D"/>
    <w:rsid w:val="00A80A82"/>
    <w:rsid w:val="00A9767E"/>
    <w:rsid w:val="00AA1718"/>
    <w:rsid w:val="00AA5907"/>
    <w:rsid w:val="00AB0063"/>
    <w:rsid w:val="00AB233F"/>
    <w:rsid w:val="00AC3029"/>
    <w:rsid w:val="00AC4EDB"/>
    <w:rsid w:val="00AD3BB4"/>
    <w:rsid w:val="00AD65FF"/>
    <w:rsid w:val="00AE01DA"/>
    <w:rsid w:val="00AE750C"/>
    <w:rsid w:val="00B00EB1"/>
    <w:rsid w:val="00B032C6"/>
    <w:rsid w:val="00B157FF"/>
    <w:rsid w:val="00B3105E"/>
    <w:rsid w:val="00B8670B"/>
    <w:rsid w:val="00B92F15"/>
    <w:rsid w:val="00BC49A6"/>
    <w:rsid w:val="00BD24DA"/>
    <w:rsid w:val="00BE2790"/>
    <w:rsid w:val="00BE7EF6"/>
    <w:rsid w:val="00C00633"/>
    <w:rsid w:val="00C110DE"/>
    <w:rsid w:val="00C21A5D"/>
    <w:rsid w:val="00C357A7"/>
    <w:rsid w:val="00C4092E"/>
    <w:rsid w:val="00C4586C"/>
    <w:rsid w:val="00C5383A"/>
    <w:rsid w:val="00C642EC"/>
    <w:rsid w:val="00C66743"/>
    <w:rsid w:val="00C720A7"/>
    <w:rsid w:val="00C9488B"/>
    <w:rsid w:val="00CA37E6"/>
    <w:rsid w:val="00CA6680"/>
    <w:rsid w:val="00CB179F"/>
    <w:rsid w:val="00CB53E2"/>
    <w:rsid w:val="00CD35A0"/>
    <w:rsid w:val="00CD40C7"/>
    <w:rsid w:val="00CD6180"/>
    <w:rsid w:val="00CE1736"/>
    <w:rsid w:val="00CE1EA9"/>
    <w:rsid w:val="00CE1ED5"/>
    <w:rsid w:val="00CE4A33"/>
    <w:rsid w:val="00CF3702"/>
    <w:rsid w:val="00CF3811"/>
    <w:rsid w:val="00CF7445"/>
    <w:rsid w:val="00D0626C"/>
    <w:rsid w:val="00D06B2C"/>
    <w:rsid w:val="00D1444F"/>
    <w:rsid w:val="00D225AA"/>
    <w:rsid w:val="00D2276D"/>
    <w:rsid w:val="00D23CAE"/>
    <w:rsid w:val="00D34CAA"/>
    <w:rsid w:val="00D356D6"/>
    <w:rsid w:val="00D40E58"/>
    <w:rsid w:val="00D6369D"/>
    <w:rsid w:val="00D75041"/>
    <w:rsid w:val="00D94FB6"/>
    <w:rsid w:val="00DA0F2C"/>
    <w:rsid w:val="00DC5F31"/>
    <w:rsid w:val="00DE5335"/>
    <w:rsid w:val="00DE7CBA"/>
    <w:rsid w:val="00E01B63"/>
    <w:rsid w:val="00E1002D"/>
    <w:rsid w:val="00E209CE"/>
    <w:rsid w:val="00E2107F"/>
    <w:rsid w:val="00E247D5"/>
    <w:rsid w:val="00E30CEC"/>
    <w:rsid w:val="00E319EB"/>
    <w:rsid w:val="00E44570"/>
    <w:rsid w:val="00E45B58"/>
    <w:rsid w:val="00E55958"/>
    <w:rsid w:val="00E579B8"/>
    <w:rsid w:val="00E9145D"/>
    <w:rsid w:val="00E91AF0"/>
    <w:rsid w:val="00EB4133"/>
    <w:rsid w:val="00EC2980"/>
    <w:rsid w:val="00EC4321"/>
    <w:rsid w:val="00EC7922"/>
    <w:rsid w:val="00EE3132"/>
    <w:rsid w:val="00EE394C"/>
    <w:rsid w:val="00EF3AA4"/>
    <w:rsid w:val="00EF5F5A"/>
    <w:rsid w:val="00F143AF"/>
    <w:rsid w:val="00F16FAB"/>
    <w:rsid w:val="00F20086"/>
    <w:rsid w:val="00F22917"/>
    <w:rsid w:val="00F339AD"/>
    <w:rsid w:val="00F351C2"/>
    <w:rsid w:val="00F37376"/>
    <w:rsid w:val="00F4583D"/>
    <w:rsid w:val="00F54134"/>
    <w:rsid w:val="00F56DCE"/>
    <w:rsid w:val="00F570E0"/>
    <w:rsid w:val="00F6524A"/>
    <w:rsid w:val="00F8042F"/>
    <w:rsid w:val="00F81B3C"/>
    <w:rsid w:val="00F840E5"/>
    <w:rsid w:val="00F86BFC"/>
    <w:rsid w:val="00F96AD1"/>
    <w:rsid w:val="00F97636"/>
    <w:rsid w:val="00FC4CE0"/>
    <w:rsid w:val="00FD3726"/>
    <w:rsid w:val="00FE7BB0"/>
    <w:rsid w:val="00FF06DE"/>
    <w:rsid w:val="00FF2A7F"/>
    <w:rsid w:val="00FF2C15"/>
    <w:rsid w:val="00FF430F"/>
    <w:rsid w:val="00FF57B9"/>
    <w:rsid w:val="00FF7885"/>
    <w:rsid w:val="02EF4363"/>
    <w:rsid w:val="053A5C51"/>
    <w:rsid w:val="08BD692A"/>
    <w:rsid w:val="09EDA635"/>
    <w:rsid w:val="0B365423"/>
    <w:rsid w:val="0C0F5691"/>
    <w:rsid w:val="0CAB173F"/>
    <w:rsid w:val="0D702D58"/>
    <w:rsid w:val="0E5C4A3C"/>
    <w:rsid w:val="0EBC5CC6"/>
    <w:rsid w:val="0EDC2E8C"/>
    <w:rsid w:val="0FC25001"/>
    <w:rsid w:val="13FC3E82"/>
    <w:rsid w:val="14361776"/>
    <w:rsid w:val="153F1177"/>
    <w:rsid w:val="15DF9D60"/>
    <w:rsid w:val="16AB42E4"/>
    <w:rsid w:val="17DE73D7"/>
    <w:rsid w:val="17EA1737"/>
    <w:rsid w:val="18FD306E"/>
    <w:rsid w:val="1A342B46"/>
    <w:rsid w:val="1AA25A86"/>
    <w:rsid w:val="1E007545"/>
    <w:rsid w:val="1EFB0672"/>
    <w:rsid w:val="2107679C"/>
    <w:rsid w:val="214E17B8"/>
    <w:rsid w:val="22F90BE2"/>
    <w:rsid w:val="24333369"/>
    <w:rsid w:val="264E2739"/>
    <w:rsid w:val="27DB6852"/>
    <w:rsid w:val="28A13310"/>
    <w:rsid w:val="294F7845"/>
    <w:rsid w:val="2B1B40CA"/>
    <w:rsid w:val="2E97673E"/>
    <w:rsid w:val="2FAB16A6"/>
    <w:rsid w:val="2FFE69A9"/>
    <w:rsid w:val="3095443C"/>
    <w:rsid w:val="315F2FFA"/>
    <w:rsid w:val="317D5E4F"/>
    <w:rsid w:val="32764F53"/>
    <w:rsid w:val="32E04CFA"/>
    <w:rsid w:val="34130371"/>
    <w:rsid w:val="353F7926"/>
    <w:rsid w:val="35623EA5"/>
    <w:rsid w:val="3777BC01"/>
    <w:rsid w:val="38234431"/>
    <w:rsid w:val="387C349D"/>
    <w:rsid w:val="39CC2F4E"/>
    <w:rsid w:val="3AFF3FD2"/>
    <w:rsid w:val="3D954604"/>
    <w:rsid w:val="3DB0F3ED"/>
    <w:rsid w:val="3EA617AD"/>
    <w:rsid w:val="3EBDB490"/>
    <w:rsid w:val="3EE57E96"/>
    <w:rsid w:val="3EFDE5DA"/>
    <w:rsid w:val="3FAA3979"/>
    <w:rsid w:val="4125397A"/>
    <w:rsid w:val="427E0628"/>
    <w:rsid w:val="42E35327"/>
    <w:rsid w:val="44023A7E"/>
    <w:rsid w:val="47FE5A13"/>
    <w:rsid w:val="4B314379"/>
    <w:rsid w:val="4CBE3CAE"/>
    <w:rsid w:val="4D172D16"/>
    <w:rsid w:val="4D4C27E7"/>
    <w:rsid w:val="4E7371E4"/>
    <w:rsid w:val="4F5A56A3"/>
    <w:rsid w:val="50C55F83"/>
    <w:rsid w:val="51C91F4E"/>
    <w:rsid w:val="52A729F4"/>
    <w:rsid w:val="536D509A"/>
    <w:rsid w:val="55261521"/>
    <w:rsid w:val="57B2190D"/>
    <w:rsid w:val="59131421"/>
    <w:rsid w:val="5A1D61FA"/>
    <w:rsid w:val="5A5CF482"/>
    <w:rsid w:val="5BBD11E7"/>
    <w:rsid w:val="5D89F6AB"/>
    <w:rsid w:val="5E0A3A08"/>
    <w:rsid w:val="5F1F7155"/>
    <w:rsid w:val="5FFC03CE"/>
    <w:rsid w:val="606556FD"/>
    <w:rsid w:val="60EC2CE7"/>
    <w:rsid w:val="621C72E5"/>
    <w:rsid w:val="629143BF"/>
    <w:rsid w:val="63031C79"/>
    <w:rsid w:val="64365FB1"/>
    <w:rsid w:val="644321E7"/>
    <w:rsid w:val="66F364B0"/>
    <w:rsid w:val="68281011"/>
    <w:rsid w:val="684E46D6"/>
    <w:rsid w:val="68C85E5E"/>
    <w:rsid w:val="6983523B"/>
    <w:rsid w:val="6AE910C9"/>
    <w:rsid w:val="6BD0DB60"/>
    <w:rsid w:val="6CBB30AB"/>
    <w:rsid w:val="6E5D43FE"/>
    <w:rsid w:val="6E6E77EA"/>
    <w:rsid w:val="6EBF400B"/>
    <w:rsid w:val="6F6A3B83"/>
    <w:rsid w:val="6F769002"/>
    <w:rsid w:val="6F79CE15"/>
    <w:rsid w:val="6F7F6233"/>
    <w:rsid w:val="6FFFED05"/>
    <w:rsid w:val="776D4245"/>
    <w:rsid w:val="77DD55DF"/>
    <w:rsid w:val="78227BB4"/>
    <w:rsid w:val="785F2F63"/>
    <w:rsid w:val="78FEC4A5"/>
    <w:rsid w:val="79152252"/>
    <w:rsid w:val="7ABB6070"/>
    <w:rsid w:val="7B1F23EE"/>
    <w:rsid w:val="7BD00DDF"/>
    <w:rsid w:val="7DDF6AF3"/>
    <w:rsid w:val="7DFE7111"/>
    <w:rsid w:val="7DFEEA01"/>
    <w:rsid w:val="7F366EE2"/>
    <w:rsid w:val="7F730185"/>
    <w:rsid w:val="7F743353"/>
    <w:rsid w:val="7F745690"/>
    <w:rsid w:val="7FBF3B91"/>
    <w:rsid w:val="7FCE591D"/>
    <w:rsid w:val="7FD3427C"/>
    <w:rsid w:val="7FE8FFFD"/>
    <w:rsid w:val="7FF768C1"/>
    <w:rsid w:val="7FFE545F"/>
    <w:rsid w:val="7FFF9CDD"/>
    <w:rsid w:val="87FFB6B7"/>
    <w:rsid w:val="9F73E953"/>
    <w:rsid w:val="9FBCC5E3"/>
    <w:rsid w:val="AE764D13"/>
    <w:rsid w:val="B9D9F78D"/>
    <w:rsid w:val="BEB6D3B4"/>
    <w:rsid w:val="BF3D0E8F"/>
    <w:rsid w:val="BFF5F886"/>
    <w:rsid w:val="C744DEFA"/>
    <w:rsid w:val="CDEF03AE"/>
    <w:rsid w:val="CFFF27CD"/>
    <w:rsid w:val="D5BFB136"/>
    <w:rsid w:val="DF7162CF"/>
    <w:rsid w:val="DFFFA692"/>
    <w:rsid w:val="E39E5D49"/>
    <w:rsid w:val="E47D6F7D"/>
    <w:rsid w:val="E7FFF6AB"/>
    <w:rsid w:val="EEBFC6B3"/>
    <w:rsid w:val="EF5B021A"/>
    <w:rsid w:val="EFCE76B0"/>
    <w:rsid w:val="F2FE1775"/>
    <w:rsid w:val="F6EF9DD7"/>
    <w:rsid w:val="F7FB170E"/>
    <w:rsid w:val="F7FF65CD"/>
    <w:rsid w:val="F9B823F0"/>
    <w:rsid w:val="FAF7D209"/>
    <w:rsid w:val="FBA2E3F2"/>
    <w:rsid w:val="FCBFE43A"/>
    <w:rsid w:val="FDFC7454"/>
    <w:rsid w:val="FDFFA755"/>
    <w:rsid w:val="FEFFA206"/>
    <w:rsid w:val="FF4FBC10"/>
    <w:rsid w:val="FF9FD65C"/>
    <w:rsid w:val="FFDEDC8D"/>
    <w:rsid w:val="FFDFE896"/>
    <w:rsid w:val="FFE92FC3"/>
    <w:rsid w:val="FFF4020B"/>
    <w:rsid w:val="FFFF14BF"/>
    <w:rsid w:val="FFFF56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Plain Text"/>
    <w:basedOn w:val="1"/>
    <w:link w:val="12"/>
    <w:unhideWhenUsed/>
    <w:qFormat/>
    <w:uiPriority w:val="0"/>
    <w:rPr>
      <w:rFonts w:ascii="宋体" w:hAnsi="Courier New" w:eastAsia="宋体"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rPr>
  </w:style>
  <w:style w:type="character" w:styleId="10">
    <w:name w:val="page number"/>
    <w:qFormat/>
    <w:uiPriority w:val="0"/>
  </w:style>
  <w:style w:type="character" w:styleId="11">
    <w:name w:val="Hyperlink"/>
    <w:qFormat/>
    <w:uiPriority w:val="0"/>
    <w:rPr>
      <w:color w:val="0000FF"/>
      <w:u w:val="single"/>
    </w:rPr>
  </w:style>
  <w:style w:type="character" w:customStyle="1" w:styleId="12">
    <w:name w:val="纯文本 Char"/>
    <w:link w:val="3"/>
    <w:qFormat/>
    <w:uiPriority w:val="0"/>
    <w:rPr>
      <w:rFonts w:ascii="宋体" w:hAnsi="Courier New" w:cs="Courier New"/>
      <w:kern w:val="2"/>
      <w:sz w:val="21"/>
      <w:szCs w:val="21"/>
    </w:rPr>
  </w:style>
  <w:style w:type="character" w:customStyle="1" w:styleId="13">
    <w:name w:val="批注框文本 Char"/>
    <w:link w:val="4"/>
    <w:qFormat/>
    <w:uiPriority w:val="0"/>
    <w:rPr>
      <w:rFonts w:ascii="Calibri" w:hAnsi="Calibri"/>
      <w:kern w:val="2"/>
      <w:sz w:val="18"/>
      <w:szCs w:val="18"/>
    </w:rPr>
  </w:style>
  <w:style w:type="character" w:customStyle="1" w:styleId="14">
    <w:name w:val="页眉 Char"/>
    <w:link w:val="6"/>
    <w:qFormat/>
    <w:uiPriority w:val="0"/>
    <w:rPr>
      <w:rFonts w:ascii="Calibri" w:hAnsi="Calibri"/>
      <w:kern w:val="2"/>
      <w:sz w:val="18"/>
      <w:szCs w:val="18"/>
    </w:rPr>
  </w:style>
  <w:style w:type="paragraph" w:customStyle="1" w:styleId="15">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 Char Char Char Char Char Char1 Char"/>
    <w:basedOn w:val="16"/>
    <w:qFormat/>
    <w:uiPriority w:val="0"/>
    <w:pPr>
      <w:widowControl/>
      <w:spacing w:after="160" w:afterLines="0" w:afterAutospacing="0" w:line="240" w:lineRule="exact"/>
      <w:jc w:val="left"/>
    </w:pPr>
  </w:style>
  <w:style w:type="paragraph" w:customStyle="1" w:styleId="18">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152</Words>
  <Characters>867</Characters>
  <Lines>7</Lines>
  <Paragraphs>2</Paragraphs>
  <TotalTime>11</TotalTime>
  <ScaleCrop>false</ScaleCrop>
  <LinksUpToDate>false</LinksUpToDate>
  <CharactersWithSpaces>1017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2014-11-12T20:08:00Z</dcterms:created>
  <dc:creator>admin</dc:creator>
  <cp:lastModifiedBy>uos</cp:lastModifiedBy>
  <cp:lastPrinted>2021-06-11T14:57:00Z</cp:lastPrinted>
  <dcterms:modified xsi:type="dcterms:W3CDTF">2025-07-16T15:19:08Z</dcterms:modified>
  <dc:title>潮州市公立医院全面取消医用耗材加成 调整医疗服务价格实施方案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13D307675FBE4482990001237A1A5B93</vt:lpwstr>
  </property>
</Properties>
</file>