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737F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1C9A3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湘潭市</w:t>
      </w:r>
      <w:r>
        <w:rPr>
          <w:rFonts w:hint="eastAsia" w:ascii="方正小标宋简体" w:hAnsi="方正小标宋简体" w:eastAsia="方正小标宋简体" w:cs="方正小标宋简体"/>
          <w:sz w:val="40"/>
          <w:szCs w:val="40"/>
        </w:rPr>
        <w:t>放射治疗类医疗服务项目价格表</w:t>
      </w:r>
    </w:p>
    <w:tbl>
      <w:tblPr>
        <w:tblStyle w:val="2"/>
        <w:tblW w:w="5622" w:type="pct"/>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55"/>
        <w:gridCol w:w="1889"/>
        <w:gridCol w:w="1856"/>
        <w:gridCol w:w="2497"/>
        <w:gridCol w:w="943"/>
        <w:gridCol w:w="1609"/>
        <w:gridCol w:w="1001"/>
        <w:gridCol w:w="929"/>
        <w:gridCol w:w="911"/>
        <w:gridCol w:w="841"/>
        <w:gridCol w:w="853"/>
      </w:tblGrid>
      <w:tr w14:paraId="245C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5" w:hRule="atLeast"/>
          <w:tblHeader/>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F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3A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国家(地方）项目代码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A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3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服务产出</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9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价格构成</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4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计价单位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5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计价说明</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C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一类价格</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D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二类价格</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9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三类、基层价格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8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支付分类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B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自付比例</w:t>
            </w:r>
          </w:p>
        </w:tc>
      </w:tr>
      <w:tr w14:paraId="5D98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8F7BE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0"/>
                <w:szCs w:val="20"/>
                <w:u w:val="none"/>
              </w:rPr>
            </w:pPr>
            <w:r>
              <w:rPr>
                <w:rStyle w:val="4"/>
                <w:b w:val="0"/>
                <w:bCs w:val="0"/>
                <w:i w:val="0"/>
                <w:iCs w:val="0"/>
                <w:sz w:val="22"/>
                <w:szCs w:val="22"/>
                <w:lang w:val="en-US" w:eastAsia="zh-CN" w:bidi="ar"/>
              </w:rPr>
              <w:t>使用说明：</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1. 本立项指南以放射治疗为重点，按照放射治疗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对目前常用的放射治疗类项目，在操作层面存在差异、但在价格项目和定价水平层面具备合并同类项条件的，进行合并。所定价格属于政府指导价为最高限价，下浮不限；同时，医疗机构、医务人员实施放射治疗过程中有关创新改良，</w:t>
            </w:r>
            <w:r>
              <w:rPr>
                <w:rStyle w:val="5"/>
                <w:b w:val="0"/>
                <w:bCs w:val="0"/>
                <w:i w:val="0"/>
                <w:iCs w:val="0"/>
                <w:sz w:val="22"/>
                <w:szCs w:val="22"/>
                <w:lang w:val="en-US" w:eastAsia="zh-CN" w:bidi="ar"/>
              </w:rPr>
              <w:t>申报新增医疗服务价格项目的，采取“现有项目兼容”的方式简化处理，按照对应的立项指南项目执行。</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2. “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3. “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同一序列的加收项，例如“11二维近距离治疗计划加收”和“12三维近距离治疗计划加收”不重复收费；不同序列的加收项，例如“01CT模拟定位加收”和“11二维近距离治疗计划加收”可以同时收取，加收项两位编码第1位相同的，视为同一序列。</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4. “扩展项”，指同一项目下以不同方式提供或在不同场景应用时，只扩展价格项目适用范围、不额外加价的一类子项，子项的价格按主项目执行。</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5. 本指南所称“基本物质资源消耗”，指原则上限于不应或不必要与医疗服务项目分割的易耗品，包括但不限于各类消杀用品、储存用品、清洁用品、个人防护用品、垃圾处理用品、润滑剂、棉球、棉签、纱布（垫）、护（尿）垫、治疗巾（单）、中单、护理盘(包）、治疗包、注射器、标签、无菌设备保护套、模具、挡板、铅板（模）、蜡模、凡士林、标记笔、可复用的操作器具、软件（版权、开发、购买）成本等。基本物质资源消耗成本计入项目价格，不另行收费。除基本物质资源消耗以外，</w:t>
            </w:r>
            <w:r>
              <w:rPr>
                <w:rStyle w:val="5"/>
                <w:b w:val="0"/>
                <w:bCs w:val="0"/>
                <w:i w:val="0"/>
                <w:iCs w:val="0"/>
                <w:sz w:val="22"/>
                <w:szCs w:val="22"/>
                <w:lang w:val="en-US" w:eastAsia="zh-CN" w:bidi="ar"/>
              </w:rPr>
              <w:t>立项指南落地前价格项目除外内容的可收费医用耗材，</w:t>
            </w:r>
            <w:r>
              <w:rPr>
                <w:rStyle w:val="4"/>
                <w:b w:val="0"/>
                <w:bCs w:val="0"/>
                <w:i w:val="0"/>
                <w:iCs w:val="0"/>
                <w:sz w:val="22"/>
                <w:szCs w:val="22"/>
                <w:lang w:val="en-US" w:eastAsia="zh-CN" w:bidi="ar"/>
              </w:rPr>
              <w:t>按照实际采购价格零差率销售。</w:t>
            </w:r>
            <w:r>
              <w:rPr>
                <w:rStyle w:val="4"/>
                <w:b w:val="0"/>
                <w:bCs w:val="0"/>
                <w:i w:val="0"/>
                <w:iCs w:val="0"/>
                <w:sz w:val="22"/>
                <w:szCs w:val="22"/>
                <w:lang w:val="en-US" w:eastAsia="zh-CN" w:bidi="ar"/>
              </w:rPr>
              <w:br w:type="textWrapping"/>
            </w:r>
            <w:r>
              <w:rPr>
                <w:rStyle w:val="4"/>
                <w:b w:val="0"/>
                <w:bCs w:val="0"/>
                <w:i w:val="0"/>
                <w:iCs w:val="0"/>
                <w:sz w:val="22"/>
                <w:szCs w:val="22"/>
                <w:lang w:val="en-US" w:eastAsia="zh-CN" w:bidi="ar"/>
              </w:rPr>
              <w:t>6. 本指南中涉及“包括……”“……等”的，属于开放型表述，所指对象不仅局限于表述中列明的事项，也包括未列明的同类事项。</w:t>
            </w:r>
          </w:p>
        </w:tc>
      </w:tr>
      <w:tr w14:paraId="241E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7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3A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8A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B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放疗模拟定位</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3A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应用CT影像技术，进行放疗模拟定位，确定靶区、危及器官，必要时确定射野。</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B3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所定价格涵盖模具设计与制作、摆位、体位固定、图像扫描、标记、必要时静脉输注对比剂、定位、获取影像、传输、记录等过程中所需的人力资源、设备运转成本消耗与基本物耗。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C2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E3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“模具设计与制作”包括但不限于体位固定器、射线挡块、剂量补偿物等放疗过程中涉及的各类模具制作步骤。</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E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770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6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07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4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8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BA3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7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13F1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6E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9E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01放疗模拟定位-特殊影像模拟定位（加收50%）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0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B22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B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E4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“特殊影像模拟定位”指使用磁共振（MR）、正电子发射计算机断层显像（PET-CT）等影像完成模拟定位。</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C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5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C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E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4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75A0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1B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B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013401020010002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28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02放疗模拟定位-简易模拟定位（减收40%）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3D7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9A47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6D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75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简易模拟定位指使用B超、X线定位。</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F9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F5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5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3A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D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AAD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6DC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3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E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11放疗模拟定位-运动管理（加收30%）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D295">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171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B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20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E7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2B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FF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B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9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9BF6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963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FE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013401020010021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72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21放疗模拟定位-立体定向放疗模拟定位（加收50%）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958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7FF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9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4E5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C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0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D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52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DB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23EE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A85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11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3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放疗计划制定</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97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依据模拟定位，勾画放疗靶区和危及器官，制定放疗剂量、危及器官限量，放疗次数和方式等放疗计划。</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98B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所定价格涵盖勾画靶区、给定处方剂量、制定放疗计划等过程中所需的人力资源、设备运转成本消耗与基本物耗。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7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B8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每个疗程限收2次。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3D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C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B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59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9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1D83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834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6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86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01放疗计划制定-调强计划制定（加收30%）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31D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B74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B0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182E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AD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8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C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4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C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3C7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CD4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3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C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11放疗计划制定-立体定向放疗计划制定（加收40%）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E6A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5B4B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E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AC6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7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A6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2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4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60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66A2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7D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4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013401010020000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5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放疗计划验证</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B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依据靶区及计划制定的方案对放疗计划进行验证，必要时进行调整。</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A6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所定价格涵盖固定、摆位、标记、扫描、获取影像、比较、校正、标记及剂量验证等过程中所需的人力资源、设备运转成本消耗与基本物耗。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E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nil"/>
              <w:left w:val="nil"/>
              <w:bottom w:val="nil"/>
              <w:right w:val="nil"/>
            </w:tcBorders>
            <w:shd w:val="clear" w:color="auto" w:fill="auto"/>
            <w:noWrap/>
            <w:vAlign w:val="center"/>
          </w:tcPr>
          <w:p w14:paraId="76456CF5">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宋体" w:eastAsia="仿宋_GB2312" w:cs="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2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840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69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760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27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76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甲类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E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r>
      <w:tr w14:paraId="02DD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43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6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8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外照射治疗（普通）</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8B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使用医用电子直线加速器产生电子线和光子线，实施体外照射放射治疗。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7F1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F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C3E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A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1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F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75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F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A6D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86C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13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3F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01外照射治疗（普通）-超长靶区（加收20%）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B7D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A3E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D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73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5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6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F8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24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E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1E8B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340E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72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74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11外照射治疗（普通）-超高剂量率放疗（加收100%）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347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BC4E">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1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9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AF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2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530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2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6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A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18BC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8B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B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A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外照射治疗（光子线-适形）</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A9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基于放疗计划，使用医用电子直线加速器或钴-60远距离治疗机等产生光子射线，实施外照射治疗。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4BE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F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4BF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95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55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C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8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6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2807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A59D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98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E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01外照射治疗（光子线-适形）-超长靶区（加收）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E2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BC6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C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CE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B0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0B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44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19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F68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13F9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EDB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80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E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11外照射治疗（光子线-适形）-超高剂量率放疗（加收100%）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A2A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E35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5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4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C3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C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1180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7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F0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E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604C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557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1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013401030020021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4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21外照射治疗（光子线-适形）-图像引导（加收10%）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BDD0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1E55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A2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506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8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4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8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74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8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9C8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218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8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5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外照射治疗（光子线-调强）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B887A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基于放疗计划，使用医用电子直线加速器等产生的光子线，根据肿瘤靶区和其周围危及器官的三维空间关系进行束流强度调节，实施外照射治疗。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690C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所定价格涵盖治疗摆位、体位固定、操作设备、出束治疗、实时监控、必要时使用射线档块、剂量补偿物等过程中所需的人力资源、设备运转成本消耗与基本物耗。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1D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2B53">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B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E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3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3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A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32C6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9359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D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D3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01外照射治疗（光子线-调强）-超长靶区（加收）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801BEB">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EF2A9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3E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A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“超长靶区”，指直线加速器电子线射野大于20×20cm，X线射野单边大于40cm。</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41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27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2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C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A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01A6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C0A05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9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F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11外照射治疗（光子线-调强）-超高剂量率放疗（加收100%）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8E584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1F6478">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3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B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6B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F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68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C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7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03D2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0490D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7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2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21外照射治疗（光子线-调强）-自适应放疗（加收60%）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959B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C1D02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5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84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“自适应放疗”，指在放疗过程中根据肿瘤退缩情况动态调整放疗计划的技术。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5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B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3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7D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0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994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DC002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D2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013401030030031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95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31外照射治疗（光子线-调强）-运动管理（加收）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3CE21C">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AD2840">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B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42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07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6A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210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8A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31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A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3D89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41BD9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9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013401030030041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B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41外照射治疗（光子线-调强）-图像引导（加收）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77B47F">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7A34E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9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D11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A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48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D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9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D0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BCC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6F774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9B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013401030030051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62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51外照射治疗（光子线-调强）-断层调强放疗（加收80%）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316612">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57C0F4">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C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C1E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CF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1490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9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1340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F6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1210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A9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72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4CF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843F8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60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013401030030052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6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52外照射治疗（光子线-调强）-容积旋转调强放疗（加收30%）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DDE297">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93813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3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C4631">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B5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560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1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3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6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D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734D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5"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21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B6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F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外照射治疗（光子线-立体定向）</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E18B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基于放疗计划，使用医用直线加速器、伽玛刀等产生的光子线，对肿瘤靶区进行大分割、高剂量短疗程放疗模式，实施外照射治疗。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8C027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所定价格涵盖治疗摆位、体位固定、图像引导、操作设备、高剂量出束治疗、实时监控等过程中所需的人力资源、设备运转成本消耗与基本物耗。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79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5D8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每疗程5次，不足一个疗程的，每次按20%计费。本计价说明同时适用于加收项。</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F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24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3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28350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B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3A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63B8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BDB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7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9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01外照射治疗（光子线-立体定向）-自适应放疗（加收60%）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C8A40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58886A">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F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0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“自适应放疗”，指在放疗过程中根据肿瘤退缩情况动态调整放疗计划的技术。</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B8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8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18900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B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17010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14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E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79FB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F90F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9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5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11外照射治疗（光子线-立体定向）-运动管理（加收）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8A561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404823">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37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DA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“运动管理”，指基于植入金标、光学体表监测、呼吸控制等技术对周期性运动的肿瘤靶区进行限制、追踪照射或在周期性运动的特定时相控制机器出束照射。</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45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78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0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99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A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B79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CDC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B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013401030040021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0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21外照射治疗（光子线-立体定向）-超高剂量率放疗（加收100%）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CC2B0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6EE6B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D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疗程</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A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“超高剂量率放疗”，指使用超高剂量率(≥40 Gy/s)对肿瘤靶区进行照射的放疗方式。</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3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4C7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31500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F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28350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49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57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7734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1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D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013401030050000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7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外照射治疗（质子放疗）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B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基于放疗计划，使用医用粒子加速器产生的质子射线，对肿瘤靶区进行束流强度调节，实施外照射治疗。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30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2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3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每增加一次加收15,000元，同一适应症每疗程最高不超过170,000元。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1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35000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A3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5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C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E4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14:paraId="1545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80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DC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013401030060000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3C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外照射治疗（重离子放疗）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E1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基于放疗计划，使用医用粒子加速器产生的重离子射线，对肿瘤靶区进行束流强度调节，实施外照射治疗。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30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F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C9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每增加一次加收16500元，同一适应症每疗程最高不超过198,000元。</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F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49500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0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5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18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E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14:paraId="11AF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85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D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013401030070000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4E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外照射治疗（硼-中子俘获）</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5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通过中子与同位素硼发生核反应作用于局部，达到杀灭肿瘤细胞的作用。</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E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所定价格涵盖设备准备、摆位、影像引导、靶区勾画、治疗计划设计、注射、局部照射等过程中所需的人力资源、设备运转成本消耗与基本物耗。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C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9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每疗程设置封顶线。</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8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2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C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待医疗机构申报后研究</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E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C9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14:paraId="73E3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D9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CF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B3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近距离治疗（后装）</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5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通过在人体内置入施源器后导入放射源进行的治疗。</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31D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所定价格涵盖模拟定位、制定计划、剂量验证、置入施源器、组织人员插植、导入放射源、照射、环境辐射监测、必要时回收放射源、解除施源器等过程中所需的人力资源及设备运转成本消耗与基本物耗。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A3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98F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“近距离治疗”包括但不限于“后装放射治疗”等一次性放射治疗及永久性植入放射性粒子治疗。</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B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B6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1090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2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980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D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8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772C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F6D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3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01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01近距离治疗（后装）-CT模拟定位（加收15%）</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F6E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1E2D">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8B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55F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D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B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2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A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9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6C71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0"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91B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A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013401040010002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FC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02近距离治疗（后装）-MR模拟定位（加收）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1FC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3BC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E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76A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83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7E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22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B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6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689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1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7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013401040010011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F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11近距离治疗（后装）-二维近距离治疗计划（加收15%）</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E838C">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0529">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9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F7E8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B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FD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C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EB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5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38AB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4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E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013401040010012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7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12近距离治疗（后装）-三维近距离治疗计划（加收）</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FF26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65196">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2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980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B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390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FF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350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4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320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2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60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5EA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E24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D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013401040010021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7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21近距离治疗（后装）-组织间插植/放射粒子植入（加收70%）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9B1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28B1">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65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4D7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77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F5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770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57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690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B1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E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3F75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D95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FC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013402000010000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EB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内照射治疗（核素常规）</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05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通过口服、注射植入放射性核素，达到治疗恶性肿瘤和其他疾病的目的。</w:t>
            </w:r>
          </w:p>
        </w:tc>
        <w:tc>
          <w:tcPr>
            <w:tcW w:w="7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9A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所定价格涵盖治疗计划制定、放射性药品的标记与分装、注射或口服给药、防护器材使用、放射性废弃物处理、环境监测等步骤所需的人力资源与基本物质资源消耗。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9CC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75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指60毫居及以下。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F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31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A9B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66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CF3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17F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210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433402000010001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4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01内照射治疗（核素常规）-大剂量核素药物（加收100%）</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5547D">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4"/>
                <w:szCs w:val="24"/>
                <w:u w:val="none"/>
              </w:rPr>
            </w:pPr>
          </w:p>
        </w:tc>
        <w:tc>
          <w:tcPr>
            <w:tcW w:w="7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805F5">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5B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42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超过60毫居的加收100%，超过100毫居的加收2次100%，限加收2次。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B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93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460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D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410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CB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B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3666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5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F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013402000020000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E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内照射治疗（核素介入）</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7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通过组织间介入或血管介入方式植入放射性核素，辐射杀死病变细胞或缩小病灶，从而达到治疗癌症和其他疾病的目的。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43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所定价格涵盖治疗计划制定、放射性药品的标记与分装、经皮穿刺或经血管介入给药、防护器材使用、放射性废弃物处理、环境监测等步骤所需的人力资源与基本物质资源消耗。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3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C03F">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i w:val="0"/>
                <w:iCs w:val="0"/>
                <w:color w:val="000000"/>
                <w:sz w:val="20"/>
                <w:szCs w:val="20"/>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5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7E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1820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2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1640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D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1D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48BD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71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8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013402000030000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B4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放射性核素敷贴治疗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2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通过放射性核素嵌入的敷贴，覆盖在病变区域，提供高剂量局部辐射，达到治疗浅表病变的目的。</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D6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所定价格涵盖治疗计划制定、放射性药品的标记与分装、制备、敷贴、防护器材使用、放射性废弃物处理、环境监测等步骤所需的人力资源与基本物质资源消耗。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4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8C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用敷贴器治疗时每照射野为一次。</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0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B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55</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0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5D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5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r w14:paraId="56B9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4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1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013401030080000</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F6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术中放疗</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6E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在术中进行的放射治疗。</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62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所定价格涵盖暴露瘤床、确定照射区域、遮挡正常组织器官、机器操作、设备照射、阅单等步骤所需的人力资源与基本物质资源消耗。</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8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2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不再收取耗材费用</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EF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12410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7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11170</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0B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10050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A6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乙类</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6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r>
    </w:tbl>
    <w:p w14:paraId="7B2F2A7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2BE1815-4D90-4F64-9C85-9124B25D328E}"/>
  </w:font>
  <w:font w:name="仿宋">
    <w:panose1 w:val="02010609060101010101"/>
    <w:charset w:val="86"/>
    <w:family w:val="auto"/>
    <w:pitch w:val="default"/>
    <w:sig w:usb0="800002BF" w:usb1="38CF7CFA" w:usb2="00000016" w:usb3="00000000" w:csb0="00040001" w:csb1="00000000"/>
    <w:embedRegular r:id="rId2" w:fontKey="{E43552E1-5468-4BF0-9164-E9711659E94E}"/>
  </w:font>
  <w:font w:name="方正小标宋简体">
    <w:panose1 w:val="02010600010101010101"/>
    <w:charset w:val="86"/>
    <w:family w:val="auto"/>
    <w:pitch w:val="default"/>
    <w:sig w:usb0="00000001" w:usb1="080E0000" w:usb2="00000000" w:usb3="00000000" w:csb0="00040000" w:csb1="00000000"/>
    <w:embedRegular r:id="rId3" w:fontKey="{A883249E-83C3-4C0C-B1EC-B244F3FC4813}"/>
  </w:font>
  <w:font w:name="方正仿宋_GB2312">
    <w:panose1 w:val="02000000000000000000"/>
    <w:charset w:val="86"/>
    <w:family w:val="auto"/>
    <w:pitch w:val="default"/>
    <w:sig w:usb0="A00002BF" w:usb1="184F6CFA" w:usb2="00000012" w:usb3="00000000" w:csb0="00040001" w:csb1="00000000"/>
    <w:embedRegular r:id="rId4" w:fontKey="{B8075BC9-FFB8-4025-9A0A-06C1266EB7F9}"/>
  </w:font>
  <w:font w:name="仿宋_GB2312">
    <w:altName w:val="仿宋"/>
    <w:panose1 w:val="00000000000000000000"/>
    <w:charset w:val="00"/>
    <w:family w:val="auto"/>
    <w:pitch w:val="default"/>
    <w:sig w:usb0="00000000" w:usb1="00000000" w:usb2="00000000" w:usb3="00000000" w:csb0="00000000" w:csb1="00000000"/>
    <w:embedRegular r:id="rId5" w:fontKey="{7E841099-2A66-4D2C-80E2-391D0D95D2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1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61"/>
    <w:basedOn w:val="3"/>
    <w:qFormat/>
    <w:uiPriority w:val="0"/>
    <w:rPr>
      <w:rFonts w:hint="eastAsia" w:ascii="仿宋" w:hAnsi="仿宋" w:eastAsia="仿宋" w:cs="仿宋"/>
      <w:color w:val="000000"/>
      <w:sz w:val="20"/>
      <w:szCs w:val="20"/>
      <w:u w:val="none"/>
    </w:rPr>
  </w:style>
  <w:style w:type="character" w:customStyle="1" w:styleId="5">
    <w:name w:val="font241"/>
    <w:basedOn w:val="3"/>
    <w:qFormat/>
    <w:uiPriority w:val="0"/>
    <w:rPr>
      <w:rFonts w:hint="eastAsia" w:ascii="仿宋" w:hAnsi="仿宋" w:eastAsia="仿宋" w:cs="仿宋"/>
      <w:b/>
      <w:bCs/>
      <w:i/>
      <w:i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2025-07-08T10:29:28Z</dcterms:created>
  <dc:creator>Administrator</dc:creator>
  <cp:lastModifiedBy>葡萄柠檬冰</cp:lastModifiedBy>
  <dcterms:modified xsi:type="dcterms:W3CDTF">2025-07-08T10:30:07Z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eyJoZGlkIjoiZWVmYWMwNzM4MDI5YjJmNTNkYWI5NWZjOWJmMzRmMzkiLCJ1c2VySWQiOiIyODA5NjY3NDEifQ==</vt:lpwstr>
  </property>
  <property fmtid="{D5CDD505-2E9C-101B-9397-08002B2CF9AE}" pid="4" name="ICV">
    <vt:lpwstr>E3E9604D273C442E9842D7006F7818AA_12</vt:lpwstr>
  </property>
</Properties>
</file>