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E201B">
      <w:pPr>
        <w:keepNext w:val="0"/>
        <w:keepLines w:val="0"/>
        <w:pageBreakBefore w:val="0"/>
        <w:widowControl w:val="0"/>
        <w:kinsoku/>
        <w:wordWrap/>
        <w:overflowPunct/>
        <w:topLinePunct w:val="0"/>
        <w:bidi w:val="0"/>
        <w:snapToGrid/>
        <w:spacing w:line="577" w:lineRule="exact"/>
        <w:jc w:val="center"/>
        <w:textAlignment w:val="auto"/>
        <w:rPr>
          <w:rFonts w:hint="eastAsia" w:ascii="方正小标宋_GBK" w:hAnsi="方正小标宋_GBK" w:eastAsia="方正小标宋_GBK" w:cs="方正小标宋_GBK"/>
          <w:b w:val="0"/>
          <w:bCs w:val="0"/>
          <w:sz w:val="40"/>
          <w:szCs w:val="32"/>
          <w:lang w:eastAsia="zh-CN"/>
        </w:rPr>
      </w:pPr>
      <w:bookmarkStart w:id="0" w:name="_GoBack"/>
      <w:r>
        <w:rPr>
          <w:rFonts w:hint="eastAsia" w:ascii="方正小标宋_GBK" w:hAnsi="方正小标宋_GBK" w:eastAsia="方正小标宋_GBK" w:cs="方正小标宋_GBK"/>
          <w:b w:val="0"/>
          <w:bCs w:val="0"/>
          <w:sz w:val="40"/>
          <w:szCs w:val="32"/>
          <w:lang w:eastAsia="zh-CN"/>
        </w:rPr>
        <w:t>《</w:t>
      </w:r>
      <w:r>
        <w:rPr>
          <w:rFonts w:hint="eastAsia" w:ascii="方正小标宋_GBK" w:hAnsi="方正小标宋_GBK" w:eastAsia="方正小标宋_GBK" w:cs="方正小标宋_GBK"/>
          <w:b w:val="0"/>
          <w:bCs w:val="0"/>
          <w:sz w:val="40"/>
          <w:szCs w:val="32"/>
        </w:rPr>
        <w:t>内蒙古自治区</w:t>
      </w:r>
      <w:r>
        <w:rPr>
          <w:rFonts w:hint="eastAsia" w:ascii="方正小标宋_GBK" w:hAnsi="方正小标宋_GBK" w:eastAsia="方正小标宋_GBK" w:cs="方正小标宋_GBK"/>
          <w:b w:val="0"/>
          <w:bCs w:val="0"/>
          <w:sz w:val="40"/>
          <w:szCs w:val="32"/>
          <w:lang w:eastAsia="zh-CN"/>
        </w:rPr>
        <w:t>预防接种异常反应补偿</w:t>
      </w:r>
      <w:r>
        <w:rPr>
          <w:rFonts w:hint="eastAsia" w:ascii="方正小标宋_GBK" w:hAnsi="方正小标宋_GBK" w:eastAsia="方正小标宋_GBK" w:cs="方正小标宋_GBK"/>
          <w:b w:val="0"/>
          <w:bCs w:val="0"/>
          <w:sz w:val="40"/>
          <w:szCs w:val="32"/>
        </w:rPr>
        <w:t>办法</w:t>
      </w:r>
      <w:r>
        <w:rPr>
          <w:rFonts w:hint="eastAsia" w:ascii="方正小标宋_GBK" w:hAnsi="方正小标宋_GBK" w:eastAsia="方正小标宋_GBK" w:cs="方正小标宋_GBK"/>
          <w:b w:val="0"/>
          <w:bCs w:val="0"/>
          <w:sz w:val="40"/>
          <w:szCs w:val="32"/>
          <w:lang w:eastAsia="zh-CN"/>
        </w:rPr>
        <w:t>》</w:t>
      </w:r>
    </w:p>
    <w:p w14:paraId="46818B8E">
      <w:pPr>
        <w:keepNext w:val="0"/>
        <w:keepLines w:val="0"/>
        <w:pageBreakBefore w:val="0"/>
        <w:widowControl w:val="0"/>
        <w:kinsoku/>
        <w:wordWrap/>
        <w:overflowPunct/>
        <w:topLinePunct w:val="0"/>
        <w:bidi w:val="0"/>
        <w:snapToGrid/>
        <w:spacing w:line="577" w:lineRule="exact"/>
        <w:jc w:val="center"/>
        <w:textAlignment w:val="auto"/>
        <w:rPr>
          <w:rFonts w:hint="eastAsia" w:ascii="方正小标宋_GBK" w:hAnsi="方正小标宋_GBK" w:eastAsia="方正小标宋_GBK" w:cs="方正小标宋_GBK"/>
          <w:b w:val="0"/>
          <w:bCs w:val="0"/>
          <w:sz w:val="40"/>
          <w:szCs w:val="32"/>
        </w:rPr>
      </w:pPr>
      <w:r>
        <w:rPr>
          <w:rFonts w:hint="eastAsia" w:ascii="方正小标宋_GBK" w:hAnsi="方正小标宋_GBK" w:eastAsia="方正小标宋_GBK" w:cs="方正小标宋_GBK"/>
          <w:b w:val="0"/>
          <w:bCs w:val="0"/>
          <w:sz w:val="40"/>
          <w:szCs w:val="32"/>
          <w:lang w:eastAsia="zh-CN"/>
        </w:rPr>
        <w:t>起草</w:t>
      </w:r>
      <w:r>
        <w:rPr>
          <w:rFonts w:hint="eastAsia" w:ascii="方正小标宋_GBK" w:hAnsi="方正小标宋_GBK" w:eastAsia="方正小标宋_GBK" w:cs="方正小标宋_GBK"/>
          <w:b w:val="0"/>
          <w:bCs w:val="0"/>
          <w:sz w:val="40"/>
          <w:szCs w:val="32"/>
        </w:rPr>
        <w:t>说明</w:t>
      </w:r>
    </w:p>
    <w:bookmarkEnd w:id="0"/>
    <w:p w14:paraId="28EFDEFA">
      <w:pPr>
        <w:keepNext w:val="0"/>
        <w:keepLines w:val="0"/>
        <w:pageBreakBefore w:val="0"/>
        <w:widowControl w:val="0"/>
        <w:kinsoku/>
        <w:wordWrap/>
        <w:overflowPunct/>
        <w:topLinePunct w:val="0"/>
        <w:bidi w:val="0"/>
        <w:snapToGrid/>
        <w:spacing w:line="577" w:lineRule="exact"/>
        <w:textAlignment w:val="auto"/>
        <w:rPr>
          <w:rFonts w:ascii="黑体" w:hAnsi="黑体" w:eastAsia="黑体"/>
          <w:sz w:val="40"/>
          <w:szCs w:val="32"/>
        </w:rPr>
      </w:pPr>
    </w:p>
    <w:p w14:paraId="3EFFE2CF">
      <w:pPr>
        <w:keepNext w:val="0"/>
        <w:keepLines w:val="0"/>
        <w:pageBreakBefore w:val="0"/>
        <w:widowControl w:val="0"/>
        <w:kinsoku/>
        <w:wordWrap/>
        <w:overflowPunct/>
        <w:topLinePunct w:val="0"/>
        <w:bidi w:val="0"/>
        <w:snapToGrid/>
        <w:spacing w:line="577" w:lineRule="exact"/>
        <w:ind w:firstLine="645"/>
        <w:textAlignment w:val="auto"/>
        <w:rPr>
          <w:rFonts w:ascii="仿宋_GB2312" w:eastAsia="仿宋_GB2312"/>
          <w:sz w:val="32"/>
          <w:szCs w:val="32"/>
        </w:rPr>
      </w:pPr>
      <w:r>
        <w:rPr>
          <w:rFonts w:hint="eastAsia" w:ascii="仿宋_GB2312" w:eastAsia="仿宋_GB2312"/>
          <w:sz w:val="32"/>
          <w:szCs w:val="32"/>
        </w:rPr>
        <w:t>现</w:t>
      </w:r>
      <w:r>
        <w:rPr>
          <w:rFonts w:ascii="仿宋_GB2312" w:eastAsia="仿宋_GB2312"/>
          <w:sz w:val="32"/>
          <w:szCs w:val="32"/>
        </w:rPr>
        <w:t>就《</w:t>
      </w:r>
      <w:r>
        <w:rPr>
          <w:rFonts w:hint="eastAsia" w:ascii="仿宋_GB2312" w:eastAsia="仿宋_GB2312"/>
          <w:sz w:val="32"/>
          <w:szCs w:val="32"/>
        </w:rPr>
        <w:t>内蒙古自治区预防接种异常反应补偿办法</w:t>
      </w:r>
      <w:r>
        <w:rPr>
          <w:rFonts w:ascii="仿宋_GB2312" w:eastAsia="仿宋_GB2312"/>
          <w:sz w:val="32"/>
          <w:szCs w:val="32"/>
        </w:rPr>
        <w:t>》</w:t>
      </w:r>
      <w:r>
        <w:rPr>
          <w:rFonts w:hint="eastAsia" w:ascii="仿宋_GB2312" w:eastAsia="仿宋_GB2312"/>
          <w:sz w:val="32"/>
          <w:szCs w:val="32"/>
        </w:rPr>
        <w:t>（以</w:t>
      </w:r>
      <w:r>
        <w:rPr>
          <w:rFonts w:ascii="仿宋_GB2312" w:eastAsia="仿宋_GB2312"/>
          <w:sz w:val="32"/>
          <w:szCs w:val="32"/>
        </w:rPr>
        <w:t>下简称《</w:t>
      </w:r>
      <w:r>
        <w:rPr>
          <w:rFonts w:hint="eastAsia" w:ascii="仿宋_GB2312" w:eastAsia="仿宋_GB2312"/>
          <w:sz w:val="32"/>
          <w:szCs w:val="32"/>
        </w:rPr>
        <w:t>办法</w:t>
      </w:r>
      <w:r>
        <w:rPr>
          <w:rFonts w:ascii="仿宋_GB2312" w:eastAsia="仿宋_GB2312"/>
          <w:sz w:val="32"/>
          <w:szCs w:val="32"/>
        </w:rPr>
        <w:t>》）</w:t>
      </w:r>
      <w:r>
        <w:rPr>
          <w:rFonts w:hint="eastAsia" w:ascii="仿宋_GB2312" w:eastAsia="仿宋_GB2312"/>
          <w:sz w:val="32"/>
          <w:szCs w:val="32"/>
          <w:lang w:eastAsia="zh-CN"/>
        </w:rPr>
        <w:t>作如下说明。</w:t>
      </w:r>
    </w:p>
    <w:p w14:paraId="0EAE5467">
      <w:pPr>
        <w:keepNext w:val="0"/>
        <w:keepLines w:val="0"/>
        <w:pageBreakBefore w:val="0"/>
        <w:widowControl w:val="0"/>
        <w:kinsoku/>
        <w:wordWrap/>
        <w:overflowPunct/>
        <w:topLinePunct w:val="0"/>
        <w:bidi w:val="0"/>
        <w:snapToGrid/>
        <w:spacing w:line="577" w:lineRule="exact"/>
        <w:ind w:firstLine="645"/>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办法</w:t>
      </w:r>
      <w:r>
        <w:rPr>
          <w:rFonts w:ascii="黑体" w:hAnsi="黑体" w:eastAsia="黑体"/>
          <w:sz w:val="32"/>
          <w:szCs w:val="32"/>
        </w:rPr>
        <w:t>》</w:t>
      </w:r>
      <w:r>
        <w:rPr>
          <w:rFonts w:hint="eastAsia" w:ascii="黑体" w:hAnsi="黑体" w:eastAsia="黑体"/>
          <w:sz w:val="32"/>
          <w:szCs w:val="32"/>
        </w:rPr>
        <w:t>制定</w:t>
      </w:r>
      <w:r>
        <w:rPr>
          <w:rFonts w:ascii="黑体" w:hAnsi="黑体" w:eastAsia="黑体"/>
          <w:sz w:val="32"/>
          <w:szCs w:val="32"/>
        </w:rPr>
        <w:t>的必要性</w:t>
      </w:r>
    </w:p>
    <w:p w14:paraId="0F46D03D">
      <w:pPr>
        <w:keepNext w:val="0"/>
        <w:keepLines w:val="0"/>
        <w:pageBreakBefore w:val="0"/>
        <w:widowControl w:val="0"/>
        <w:kinsoku/>
        <w:wordWrap/>
        <w:overflowPunct/>
        <w:topLinePunct w:val="0"/>
        <w:bidi w:val="0"/>
        <w:snapToGrid/>
        <w:spacing w:line="577" w:lineRule="exact"/>
        <w:ind w:firstLine="645"/>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（一）规范预防接种异常反应补偿工作的需要</w:t>
      </w:r>
    </w:p>
    <w:p w14:paraId="6A959630">
      <w:pPr>
        <w:keepNext w:val="0"/>
        <w:keepLines w:val="0"/>
        <w:pageBreakBefore w:val="0"/>
        <w:widowControl w:val="0"/>
        <w:kinsoku/>
        <w:wordWrap/>
        <w:overflowPunct/>
        <w:topLinePunct w:val="0"/>
        <w:bidi w:val="0"/>
        <w:snapToGrid/>
        <w:spacing w:line="577"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lang w:eastAsia="zh-CN"/>
        </w:rPr>
        <w:t>接种疫苗对防止传染病的传播流行，保护广大人民群众的身体健康发挥了重大作用，是我国控制传染病的最有效手段之一</w:t>
      </w:r>
      <w:r>
        <w:rPr>
          <w:rFonts w:hint="eastAsia" w:ascii="仿宋_GB2312" w:eastAsia="仿宋_GB2312"/>
          <w:color w:val="auto"/>
          <w:sz w:val="32"/>
          <w:szCs w:val="32"/>
          <w:highlight w:val="none"/>
        </w:rPr>
        <w:t>。加强和创新社会治理必须运用法治思维和法治方式，加强重点领域立法，实现有法可依。《</w:t>
      </w:r>
      <w:r>
        <w:rPr>
          <w:rFonts w:hint="eastAsia" w:ascii="仿宋_GB2312" w:eastAsia="仿宋_GB2312"/>
          <w:sz w:val="32"/>
          <w:szCs w:val="32"/>
          <w:highlight w:val="none"/>
        </w:rPr>
        <w:t>内蒙古自治区预防接种异常反应补偿办法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（试行）</w:t>
      </w:r>
      <w:r>
        <w:rPr>
          <w:rFonts w:hint="eastAsia" w:ascii="仿宋_GB2312" w:eastAsia="仿宋_GB2312"/>
          <w:color w:val="auto"/>
          <w:sz w:val="32"/>
          <w:szCs w:val="32"/>
          <w:highlight w:val="none"/>
        </w:rPr>
        <w:t>已施行</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年时间，各地在具体适用过程中仍面临不少亟待解决的问题。从我区的情况看，</w:t>
      </w:r>
      <w:r>
        <w:rPr>
          <w:rFonts w:hint="eastAsia" w:ascii="仿宋_GB2312" w:eastAsia="仿宋_GB2312"/>
          <w:color w:val="auto"/>
          <w:sz w:val="32"/>
          <w:szCs w:val="32"/>
          <w:highlight w:val="none"/>
          <w:lang w:eastAsia="zh-CN"/>
        </w:rPr>
        <w:t>疫苗接种异常反应的报告</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调查诊断</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鉴定和补偿等有关程序</w:t>
      </w:r>
      <w:r>
        <w:rPr>
          <w:rFonts w:hint="eastAsia" w:ascii="仿宋_GB2312" w:eastAsia="仿宋_GB2312"/>
          <w:sz w:val="32"/>
          <w:szCs w:val="32"/>
          <w:highlight w:val="none"/>
        </w:rPr>
        <w:t>处理中，还存在</w:t>
      </w:r>
      <w:r>
        <w:rPr>
          <w:rFonts w:hint="eastAsia" w:ascii="仿宋_GB2312" w:eastAsia="仿宋_GB2312"/>
          <w:sz w:val="32"/>
          <w:szCs w:val="32"/>
          <w:highlight w:val="none"/>
          <w:lang w:eastAsia="zh-CN"/>
        </w:rPr>
        <w:t>不少</w:t>
      </w:r>
      <w:r>
        <w:rPr>
          <w:rFonts w:hint="eastAsia" w:ascii="仿宋_GB2312" w:eastAsia="仿宋_GB2312"/>
          <w:sz w:val="32"/>
          <w:szCs w:val="32"/>
          <w:highlight w:val="none"/>
        </w:rPr>
        <w:t>短板和不足，迫切需要出台《办法》，</w:t>
      </w:r>
      <w:r>
        <w:rPr>
          <w:rFonts w:hint="eastAsia" w:ascii="仿宋_GB2312" w:eastAsia="仿宋_GB2312"/>
          <w:sz w:val="32"/>
          <w:szCs w:val="32"/>
          <w:highlight w:val="none"/>
          <w:lang w:eastAsia="zh-CN"/>
        </w:rPr>
        <w:t>进一步</w:t>
      </w:r>
      <w:r>
        <w:rPr>
          <w:rFonts w:hint="eastAsia" w:ascii="仿宋_GB2312" w:eastAsia="仿宋_GB2312"/>
          <w:sz w:val="32"/>
          <w:szCs w:val="32"/>
          <w:highlight w:val="none"/>
        </w:rPr>
        <w:t>规范</w:t>
      </w:r>
      <w:r>
        <w:rPr>
          <w:rFonts w:hint="eastAsia" w:ascii="仿宋_GB2312" w:eastAsia="仿宋_GB2312"/>
          <w:sz w:val="32"/>
          <w:szCs w:val="32"/>
          <w:highlight w:val="none"/>
          <w:lang w:eastAsia="zh-CN"/>
        </w:rPr>
        <w:t>我区</w:t>
      </w:r>
      <w:r>
        <w:rPr>
          <w:rFonts w:hint="eastAsia" w:ascii="仿宋_GB2312" w:eastAsia="仿宋_GB2312"/>
          <w:sz w:val="32"/>
          <w:szCs w:val="32"/>
          <w:highlight w:val="none"/>
        </w:rPr>
        <w:t>预防接种异常反应补偿管理工作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扭转这一现状。</w:t>
      </w:r>
    </w:p>
    <w:p w14:paraId="6BFF329D">
      <w:pPr>
        <w:keepNext w:val="0"/>
        <w:keepLines w:val="0"/>
        <w:pageBreakBefore w:val="0"/>
        <w:widowControl w:val="0"/>
        <w:numPr>
          <w:ilvl w:val="0"/>
          <w:numId w:val="1"/>
        </w:numPr>
        <w:kinsoku/>
        <w:wordWrap/>
        <w:overflowPunct/>
        <w:topLinePunct w:val="0"/>
        <w:bidi w:val="0"/>
        <w:snapToGrid/>
        <w:spacing w:line="577" w:lineRule="exact"/>
        <w:ind w:left="-15" w:leftChars="0" w:firstLine="645" w:firstLineChars="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保护受种者权益</w:t>
      </w:r>
      <w:r>
        <w:rPr>
          <w:rFonts w:hint="eastAsia" w:ascii="楷体_GB2312" w:hAnsi="楷体_GB2312" w:eastAsia="楷体_GB2312" w:cs="楷体_GB2312"/>
          <w:sz w:val="32"/>
          <w:szCs w:val="32"/>
          <w:highlight w:val="none"/>
        </w:rPr>
        <w:t>的需要</w:t>
      </w:r>
    </w:p>
    <w:p w14:paraId="5AA80AC3">
      <w:pPr>
        <w:keepNext w:val="0"/>
        <w:keepLines w:val="0"/>
        <w:pageBreakBefore w:val="0"/>
        <w:widowControl w:val="0"/>
        <w:numPr>
          <w:ilvl w:val="0"/>
          <w:numId w:val="0"/>
        </w:numPr>
        <w:kinsoku/>
        <w:wordWrap/>
        <w:overflowPunct/>
        <w:topLinePunct w:val="0"/>
        <w:bidi w:val="0"/>
        <w:snapToGrid/>
        <w:spacing w:line="577"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疫苗接种是预防和控制疾病最经济、最有效的措施，对保障人民群众生命健康具有十分重要的意义。但由于疫苗固有特性和个体差异等因素，极少数受种者可能会发生预防接种异常反应，可造成受种者机体组织器官、功能损害，一定程度上对受种者及其家庭造成影响。</w:t>
      </w:r>
      <w:r>
        <w:rPr>
          <w:rFonts w:hint="eastAsia" w:ascii="仿宋_GB2312" w:eastAsia="仿宋_GB2312"/>
          <w:sz w:val="32"/>
          <w:szCs w:val="32"/>
          <w:highlight w:val="none"/>
        </w:rPr>
        <w:t>当前正处于</w:t>
      </w:r>
      <w:r>
        <w:rPr>
          <w:rFonts w:hint="eastAsia" w:ascii="仿宋_GB2312" w:eastAsia="仿宋_GB2312"/>
          <w:sz w:val="32"/>
          <w:szCs w:val="32"/>
          <w:highlight w:val="none"/>
          <w:lang w:eastAsia="zh-CN"/>
        </w:rPr>
        <w:t>疾病预防控制领域</w:t>
      </w:r>
      <w:r>
        <w:rPr>
          <w:rFonts w:hint="eastAsia" w:ascii="仿宋_GB2312" w:eastAsia="仿宋_GB2312"/>
          <w:sz w:val="32"/>
          <w:szCs w:val="32"/>
          <w:highlight w:val="none"/>
        </w:rPr>
        <w:t>高质量发展的战略机遇期，制定预防接种异常反应补偿</w:t>
      </w:r>
      <w:r>
        <w:rPr>
          <w:rFonts w:hint="eastAsia" w:ascii="仿宋_GB2312" w:eastAsia="仿宋_GB2312"/>
          <w:sz w:val="32"/>
          <w:szCs w:val="32"/>
          <w:highlight w:val="none"/>
          <w:lang w:eastAsia="zh-CN"/>
        </w:rPr>
        <w:t>管理</w:t>
      </w:r>
      <w:r>
        <w:rPr>
          <w:rFonts w:hint="eastAsia" w:ascii="仿宋_GB2312" w:eastAsia="仿宋_GB2312"/>
          <w:sz w:val="32"/>
          <w:szCs w:val="32"/>
          <w:highlight w:val="none"/>
        </w:rPr>
        <w:t>的规范性文件，建立依法、科学、及时、有效的预防接种异常反应补偿处理机制，规范</w:t>
      </w:r>
      <w:r>
        <w:rPr>
          <w:rFonts w:hint="eastAsia" w:ascii="仿宋_GB2312" w:eastAsia="仿宋_GB2312"/>
          <w:sz w:val="32"/>
          <w:szCs w:val="32"/>
          <w:highlight w:val="none"/>
          <w:lang w:eastAsia="zh-CN"/>
        </w:rPr>
        <w:t>诊断与鉴定</w:t>
      </w:r>
      <w:r>
        <w:rPr>
          <w:rFonts w:hint="eastAsia" w:ascii="仿宋_GB2312" w:eastAsia="仿宋_GB2312"/>
          <w:sz w:val="32"/>
          <w:szCs w:val="32"/>
          <w:highlight w:val="none"/>
        </w:rPr>
        <w:t>程序，</w:t>
      </w:r>
      <w:r>
        <w:rPr>
          <w:rFonts w:hint="eastAsia" w:ascii="仿宋_GB2312" w:eastAsia="仿宋_GB2312"/>
          <w:sz w:val="32"/>
          <w:szCs w:val="32"/>
          <w:highlight w:val="none"/>
          <w:lang w:eastAsia="zh-CN"/>
        </w:rPr>
        <w:t>完善预防接种异常反应报告制度，</w:t>
      </w:r>
      <w:r>
        <w:rPr>
          <w:rFonts w:hint="eastAsia" w:ascii="仿宋_GB2312" w:eastAsia="仿宋_GB2312"/>
          <w:sz w:val="32"/>
          <w:szCs w:val="32"/>
          <w:highlight w:val="none"/>
        </w:rPr>
        <w:t>推进</w:t>
      </w:r>
      <w:r>
        <w:rPr>
          <w:rFonts w:hint="eastAsia" w:ascii="仿宋_GB2312" w:eastAsia="仿宋_GB2312"/>
          <w:sz w:val="32"/>
          <w:szCs w:val="32"/>
          <w:highlight w:val="none"/>
          <w:lang w:eastAsia="zh-CN"/>
        </w:rPr>
        <w:t>预防接种异常反应补偿</w:t>
      </w:r>
      <w:r>
        <w:rPr>
          <w:rFonts w:hint="eastAsia" w:ascii="仿宋_GB2312" w:eastAsia="仿宋_GB2312"/>
          <w:sz w:val="32"/>
          <w:szCs w:val="32"/>
          <w:highlight w:val="none"/>
        </w:rPr>
        <w:t>保险制度的落实，</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促进</w:t>
      </w:r>
      <w:r>
        <w:rPr>
          <w:rFonts w:hint="eastAsia" w:ascii="仿宋_GB2312" w:eastAsia="仿宋_GB2312"/>
          <w:sz w:val="32"/>
          <w:szCs w:val="32"/>
          <w:highlight w:val="none"/>
          <w:lang w:eastAsia="zh-CN"/>
        </w:rPr>
        <w:t>预防接种</w:t>
      </w:r>
      <w:r>
        <w:rPr>
          <w:rFonts w:hint="eastAsia" w:ascii="仿宋_GB2312" w:eastAsia="仿宋_GB2312"/>
          <w:sz w:val="32"/>
          <w:szCs w:val="32"/>
          <w:highlight w:val="none"/>
        </w:rPr>
        <w:t>质量管理与控制体系建</w:t>
      </w:r>
      <w:r>
        <w:rPr>
          <w:rFonts w:hint="eastAsia" w:ascii="仿宋_GB2312" w:eastAsia="仿宋_GB2312"/>
          <w:sz w:val="32"/>
          <w:szCs w:val="32"/>
          <w:highlight w:val="none"/>
          <w:lang w:eastAsia="zh-CN"/>
        </w:rPr>
        <w:t>设</w:t>
      </w:r>
      <w:r>
        <w:rPr>
          <w:rFonts w:hint="eastAsia" w:ascii="仿宋_GB2312" w:eastAsia="仿宋_GB2312"/>
          <w:sz w:val="32"/>
          <w:szCs w:val="32"/>
          <w:highlight w:val="none"/>
        </w:rPr>
        <w:t>，提升服务能力，保障</w:t>
      </w:r>
      <w:r>
        <w:rPr>
          <w:rFonts w:hint="eastAsia" w:ascii="仿宋_GB2312" w:eastAsia="仿宋_GB2312"/>
          <w:sz w:val="32"/>
          <w:szCs w:val="32"/>
          <w:highlight w:val="none"/>
          <w:lang w:eastAsia="zh-CN"/>
        </w:rPr>
        <w:t>预防接种</w:t>
      </w:r>
      <w:r>
        <w:rPr>
          <w:rFonts w:hint="eastAsia" w:ascii="仿宋_GB2312" w:eastAsia="仿宋_GB2312"/>
          <w:sz w:val="32"/>
          <w:szCs w:val="32"/>
          <w:highlight w:val="none"/>
        </w:rPr>
        <w:t>质量与安全，</w:t>
      </w:r>
      <w:r>
        <w:rPr>
          <w:rFonts w:hint="eastAsia" w:ascii="仿宋_GB2312" w:eastAsia="仿宋_GB2312"/>
          <w:sz w:val="32"/>
          <w:szCs w:val="32"/>
          <w:highlight w:val="none"/>
          <w:lang w:eastAsia="zh-CN"/>
        </w:rPr>
        <w:t>保护受种者合法权益关键环节，更是</w:t>
      </w:r>
      <w:r>
        <w:rPr>
          <w:rFonts w:hint="eastAsia" w:ascii="仿宋_GB2312" w:eastAsia="仿宋_GB2312"/>
          <w:sz w:val="32"/>
          <w:szCs w:val="32"/>
          <w:highlight w:val="none"/>
        </w:rPr>
        <w:t>推动</w:t>
      </w:r>
      <w:r>
        <w:rPr>
          <w:rFonts w:hint="eastAsia" w:ascii="仿宋_GB2312" w:eastAsia="仿宋_GB2312"/>
          <w:sz w:val="32"/>
          <w:szCs w:val="32"/>
          <w:highlight w:val="none"/>
          <w:lang w:eastAsia="zh-CN"/>
        </w:rPr>
        <w:t>预防接种</w:t>
      </w:r>
      <w:r>
        <w:rPr>
          <w:rFonts w:hint="eastAsia" w:ascii="仿宋_GB2312" w:eastAsia="仿宋_GB2312"/>
          <w:sz w:val="32"/>
          <w:szCs w:val="32"/>
          <w:highlight w:val="none"/>
        </w:rPr>
        <w:t>服务高质量发展</w:t>
      </w:r>
      <w:r>
        <w:rPr>
          <w:rFonts w:hint="eastAsia" w:ascii="仿宋_GB2312" w:eastAsia="仿宋_GB2312"/>
          <w:sz w:val="32"/>
          <w:szCs w:val="32"/>
          <w:highlight w:val="none"/>
          <w:lang w:eastAsia="zh-CN"/>
        </w:rPr>
        <w:t>的重要举措</w:t>
      </w:r>
      <w:r>
        <w:rPr>
          <w:rFonts w:hint="eastAsia" w:ascii="仿宋_GB2312" w:eastAsia="仿宋_GB2312"/>
          <w:sz w:val="32"/>
          <w:szCs w:val="32"/>
          <w:highlight w:val="none"/>
        </w:rPr>
        <w:t>。</w:t>
      </w:r>
    </w:p>
    <w:p w14:paraId="2C0A92D9">
      <w:pPr>
        <w:keepNext w:val="0"/>
        <w:keepLines w:val="0"/>
        <w:pageBreakBefore w:val="0"/>
        <w:widowControl w:val="0"/>
        <w:numPr>
          <w:ilvl w:val="0"/>
          <w:numId w:val="1"/>
        </w:numPr>
        <w:kinsoku/>
        <w:wordWrap/>
        <w:overflowPunct/>
        <w:topLinePunct w:val="0"/>
        <w:bidi w:val="0"/>
        <w:snapToGrid/>
        <w:spacing w:line="577" w:lineRule="exact"/>
        <w:ind w:left="-15" w:leftChars="0" w:firstLine="645" w:firstLineChars="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完善法律制度的需要</w:t>
      </w:r>
    </w:p>
    <w:p w14:paraId="081242AB">
      <w:pPr>
        <w:keepNext w:val="0"/>
        <w:keepLines w:val="0"/>
        <w:pageBreakBefore w:val="0"/>
        <w:widowControl w:val="0"/>
        <w:numPr>
          <w:ilvl w:val="0"/>
          <w:numId w:val="0"/>
        </w:numPr>
        <w:kinsoku/>
        <w:wordWrap/>
        <w:overflowPunct/>
        <w:topLinePunct w:val="0"/>
        <w:bidi w:val="0"/>
        <w:snapToGrid/>
        <w:spacing w:line="577"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近年来，</w:t>
      </w:r>
      <w:r>
        <w:rPr>
          <w:rFonts w:hint="eastAsia" w:ascii="仿宋_GB2312" w:eastAsia="仿宋_GB2312"/>
          <w:sz w:val="32"/>
          <w:szCs w:val="32"/>
          <w:highlight w:val="none"/>
          <w:lang w:eastAsia="zh-CN"/>
        </w:rPr>
        <w:t>随着疫苗接种的普及和强化，</w:t>
      </w:r>
      <w:r>
        <w:rPr>
          <w:rFonts w:hint="eastAsia" w:ascii="仿宋_GB2312" w:eastAsia="仿宋_GB2312"/>
          <w:sz w:val="32"/>
          <w:szCs w:val="32"/>
          <w:highlight w:val="none"/>
        </w:rPr>
        <w:t>全区各地十分重视</w:t>
      </w:r>
      <w:r>
        <w:rPr>
          <w:rFonts w:hint="eastAsia" w:ascii="仿宋_GB2312" w:eastAsia="仿宋_GB2312"/>
          <w:sz w:val="32"/>
          <w:szCs w:val="32"/>
          <w:highlight w:val="none"/>
          <w:lang w:eastAsia="zh-CN"/>
        </w:rPr>
        <w:t>预防接种异常反应</w:t>
      </w:r>
      <w:r>
        <w:rPr>
          <w:rFonts w:hint="eastAsia" w:ascii="仿宋_GB2312" w:eastAsia="仿宋_GB2312"/>
          <w:sz w:val="32"/>
          <w:szCs w:val="32"/>
          <w:highlight w:val="none"/>
        </w:rPr>
        <w:t>预防与处理工作，积累了丰富的经验。在上位法规定较为原则的情况下，亟需制定《办法》将这些好的做法固化、细化，促进我区</w:t>
      </w:r>
      <w:r>
        <w:rPr>
          <w:rFonts w:hint="eastAsia" w:ascii="仿宋_GB2312" w:eastAsia="仿宋_GB2312"/>
          <w:sz w:val="32"/>
          <w:szCs w:val="32"/>
          <w:highlight w:val="none"/>
          <w:lang w:eastAsia="zh-CN"/>
        </w:rPr>
        <w:t>预防接种异常反应补偿管理</w:t>
      </w:r>
      <w:r>
        <w:rPr>
          <w:rFonts w:hint="eastAsia" w:ascii="仿宋_GB2312" w:eastAsia="仿宋_GB2312"/>
          <w:sz w:val="32"/>
          <w:szCs w:val="32"/>
          <w:highlight w:val="none"/>
        </w:rPr>
        <w:t>工作形成依法、良性的格局。</w:t>
      </w:r>
      <w:r>
        <w:rPr>
          <w:rFonts w:hint="eastAsia" w:ascii="仿宋_GB2312" w:eastAsia="仿宋_GB2312"/>
          <w:sz w:val="32"/>
          <w:szCs w:val="32"/>
          <w:highlight w:val="none"/>
          <w:lang w:eastAsia="zh-CN"/>
        </w:rPr>
        <w:t>此外，《疫苗流通和预防接种管理条例》已于</w:t>
      </w:r>
      <w:r>
        <w:rPr>
          <w:rFonts w:hint="eastAsia" w:ascii="仿宋_GB2312" w:eastAsia="仿宋_GB2312"/>
          <w:sz w:val="32"/>
          <w:szCs w:val="32"/>
          <w:highlight w:val="none"/>
          <w:lang w:val="en-US" w:eastAsia="zh-CN"/>
        </w:rPr>
        <w:t>2020年4月2日废止，相关内容亟待更新。</w:t>
      </w:r>
    </w:p>
    <w:p w14:paraId="31AD6917">
      <w:pPr>
        <w:keepNext w:val="0"/>
        <w:keepLines w:val="0"/>
        <w:pageBreakBefore w:val="0"/>
        <w:widowControl w:val="0"/>
        <w:kinsoku/>
        <w:wordWrap/>
        <w:overflowPunct/>
        <w:topLinePunct w:val="0"/>
        <w:bidi w:val="0"/>
        <w:snapToGrid/>
        <w:spacing w:line="577" w:lineRule="exact"/>
        <w:ind w:firstLine="645"/>
        <w:textAlignment w:val="auto"/>
        <w:rPr>
          <w:rFonts w:ascii="黑体" w:hAnsi="黑体" w:eastAsia="黑体"/>
          <w:sz w:val="32"/>
          <w:szCs w:val="32"/>
          <w:highlight w:val="none"/>
        </w:rPr>
      </w:pPr>
      <w:r>
        <w:rPr>
          <w:rFonts w:hint="eastAsia" w:ascii="黑体" w:hAnsi="黑体" w:eastAsia="黑体"/>
          <w:sz w:val="32"/>
          <w:szCs w:val="32"/>
          <w:highlight w:val="none"/>
        </w:rPr>
        <w:t>二</w:t>
      </w:r>
      <w:r>
        <w:rPr>
          <w:rFonts w:ascii="黑体" w:hAnsi="黑体" w:eastAsia="黑体"/>
          <w:sz w:val="32"/>
          <w:szCs w:val="32"/>
          <w:highlight w:val="none"/>
        </w:rPr>
        <w:t>、《</w:t>
      </w:r>
      <w:r>
        <w:rPr>
          <w:rFonts w:hint="eastAsia" w:ascii="黑体" w:hAnsi="黑体" w:eastAsia="黑体"/>
          <w:sz w:val="32"/>
          <w:szCs w:val="32"/>
          <w:highlight w:val="none"/>
        </w:rPr>
        <w:t>办法</w:t>
      </w:r>
      <w:r>
        <w:rPr>
          <w:rFonts w:ascii="黑体" w:hAnsi="黑体" w:eastAsia="黑体"/>
          <w:sz w:val="32"/>
          <w:szCs w:val="32"/>
          <w:highlight w:val="none"/>
        </w:rPr>
        <w:t>》</w:t>
      </w:r>
      <w:r>
        <w:rPr>
          <w:rFonts w:hint="eastAsia" w:ascii="黑体" w:hAnsi="黑体" w:eastAsia="黑体"/>
          <w:sz w:val="32"/>
          <w:szCs w:val="32"/>
          <w:highlight w:val="none"/>
        </w:rPr>
        <w:t>制定</w:t>
      </w:r>
      <w:r>
        <w:rPr>
          <w:rFonts w:ascii="黑体" w:hAnsi="黑体" w:eastAsia="黑体"/>
          <w:sz w:val="32"/>
          <w:szCs w:val="32"/>
          <w:highlight w:val="none"/>
        </w:rPr>
        <w:t>的主要依据</w:t>
      </w:r>
    </w:p>
    <w:p w14:paraId="40B71A7F">
      <w:pPr>
        <w:keepNext w:val="0"/>
        <w:keepLines w:val="0"/>
        <w:pageBreakBefore w:val="0"/>
        <w:widowControl w:val="0"/>
        <w:kinsoku/>
        <w:wordWrap/>
        <w:overflowPunct/>
        <w:topLinePunct w:val="0"/>
        <w:bidi w:val="0"/>
        <w:snapToGrid/>
        <w:spacing w:line="577" w:lineRule="exact"/>
        <w:ind w:firstLine="645"/>
        <w:textAlignment w:val="auto"/>
        <w:rPr>
          <w:rFonts w:ascii="仿宋_GB2312" w:hAnsi="宋体" w:eastAsia="仿宋_GB2312"/>
          <w:sz w:val="32"/>
          <w:szCs w:val="28"/>
          <w:highlight w:val="none"/>
        </w:rPr>
      </w:pPr>
      <w:r>
        <w:rPr>
          <w:rFonts w:ascii="仿宋_GB2312" w:eastAsia="仿宋_GB2312"/>
          <w:sz w:val="32"/>
          <w:szCs w:val="32"/>
          <w:highlight w:val="none"/>
        </w:rPr>
        <w:t>《</w:t>
      </w:r>
      <w:r>
        <w:rPr>
          <w:rFonts w:hint="eastAsia" w:ascii="仿宋_GB2312" w:eastAsia="仿宋_GB2312"/>
          <w:sz w:val="32"/>
          <w:szCs w:val="32"/>
          <w:highlight w:val="none"/>
        </w:rPr>
        <w:t>办法</w:t>
      </w:r>
      <w:r>
        <w:rPr>
          <w:rFonts w:ascii="仿宋_GB2312" w:eastAsia="仿宋_GB2312"/>
          <w:sz w:val="32"/>
          <w:szCs w:val="32"/>
          <w:highlight w:val="none"/>
        </w:rPr>
        <w:t>》</w:t>
      </w:r>
      <w:r>
        <w:rPr>
          <w:rFonts w:hint="eastAsia" w:ascii="仿宋_GB2312" w:eastAsia="仿宋_GB2312"/>
          <w:sz w:val="32"/>
          <w:szCs w:val="32"/>
          <w:highlight w:val="none"/>
        </w:rPr>
        <w:t>主</w:t>
      </w:r>
      <w:r>
        <w:rPr>
          <w:rFonts w:ascii="仿宋_GB2312" w:eastAsia="仿宋_GB2312"/>
          <w:sz w:val="32"/>
          <w:szCs w:val="32"/>
          <w:highlight w:val="none"/>
        </w:rPr>
        <w:t>要依据</w:t>
      </w:r>
      <w:r>
        <w:rPr>
          <w:rFonts w:hint="eastAsia" w:ascii="仿宋_GB2312" w:hAnsi="宋体" w:eastAsia="仿宋_GB2312"/>
          <w:sz w:val="32"/>
          <w:szCs w:val="28"/>
          <w:highlight w:val="none"/>
        </w:rPr>
        <w:t>《中华人民共和国</w:t>
      </w:r>
      <w:r>
        <w:rPr>
          <w:rFonts w:hint="eastAsia" w:ascii="仿宋_GB2312" w:hAnsi="宋体" w:eastAsia="仿宋_GB2312"/>
          <w:sz w:val="32"/>
          <w:szCs w:val="28"/>
          <w:highlight w:val="none"/>
          <w:lang w:eastAsia="zh-CN"/>
        </w:rPr>
        <w:t>传染病防治法</w:t>
      </w:r>
      <w:r>
        <w:rPr>
          <w:rFonts w:hint="eastAsia" w:ascii="仿宋_GB2312" w:hAnsi="宋体" w:eastAsia="仿宋_GB2312"/>
          <w:sz w:val="32"/>
          <w:szCs w:val="28"/>
          <w:highlight w:val="none"/>
        </w:rPr>
        <w:t>》</w:t>
      </w:r>
      <w:r>
        <w:rPr>
          <w:rFonts w:hint="eastAsia" w:ascii="仿宋_GB2312" w:hAnsi="宋体" w:eastAsia="仿宋_GB2312"/>
          <w:sz w:val="32"/>
          <w:szCs w:val="28"/>
          <w:highlight w:val="none"/>
          <w:lang w:eastAsia="zh-CN"/>
        </w:rPr>
        <w:t>、《中华人民共和国疫苗管理法》、</w:t>
      </w:r>
      <w:r>
        <w:rPr>
          <w:rFonts w:hint="eastAsia" w:ascii="仿宋_GB2312" w:hAnsi="宋体" w:eastAsia="仿宋_GB2312"/>
          <w:sz w:val="32"/>
          <w:szCs w:val="28"/>
          <w:highlight w:val="none"/>
        </w:rPr>
        <w:t>《</w:t>
      </w:r>
      <w:r>
        <w:rPr>
          <w:rFonts w:hint="eastAsia" w:ascii="仿宋_GB2312" w:hAnsi="宋体" w:eastAsia="仿宋_GB2312"/>
          <w:sz w:val="32"/>
          <w:szCs w:val="28"/>
          <w:highlight w:val="none"/>
          <w:lang w:eastAsia="zh-CN"/>
        </w:rPr>
        <w:t>预防接种异常反应鉴定办法</w:t>
      </w:r>
      <w:r>
        <w:rPr>
          <w:rFonts w:hint="eastAsia" w:ascii="仿宋_GB2312" w:hAnsi="宋体" w:eastAsia="仿宋_GB2312"/>
          <w:sz w:val="32"/>
          <w:szCs w:val="28"/>
          <w:highlight w:val="none"/>
        </w:rPr>
        <w:t>》</w:t>
      </w:r>
      <w:r>
        <w:rPr>
          <w:rFonts w:hint="eastAsia" w:ascii="仿宋_GB2312" w:hAnsi="宋体" w:eastAsia="仿宋_GB2312"/>
          <w:sz w:val="32"/>
          <w:szCs w:val="28"/>
          <w:highlight w:val="none"/>
          <w:lang w:eastAsia="zh-CN"/>
        </w:rPr>
        <w:t>、</w:t>
      </w:r>
      <w:r>
        <w:rPr>
          <w:rFonts w:hint="eastAsia" w:ascii="仿宋_GB2312" w:hAnsi="宋体" w:eastAsia="仿宋_GB2312"/>
          <w:sz w:val="32"/>
          <w:szCs w:val="28"/>
          <w:highlight w:val="none"/>
        </w:rPr>
        <w:t>《</w:t>
      </w:r>
      <w:r>
        <w:rPr>
          <w:rFonts w:hint="eastAsia" w:ascii="仿宋_GB2312" w:hAnsi="宋体" w:eastAsia="仿宋_GB2312"/>
          <w:sz w:val="32"/>
          <w:szCs w:val="28"/>
          <w:highlight w:val="none"/>
          <w:lang w:eastAsia="zh-CN"/>
        </w:rPr>
        <w:t>医疗事故处理条例</w:t>
      </w:r>
      <w:r>
        <w:rPr>
          <w:rFonts w:ascii="仿宋_GB2312" w:hAnsi="宋体" w:eastAsia="仿宋_GB2312"/>
          <w:sz w:val="32"/>
          <w:szCs w:val="28"/>
          <w:highlight w:val="none"/>
        </w:rPr>
        <w:t>》</w:t>
      </w:r>
      <w:r>
        <w:rPr>
          <w:rFonts w:hint="eastAsia" w:ascii="仿宋_GB2312" w:hAnsi="宋体" w:eastAsia="仿宋_GB2312"/>
          <w:sz w:val="32"/>
          <w:szCs w:val="28"/>
          <w:highlight w:val="none"/>
          <w:lang w:eastAsia="zh-CN"/>
        </w:rPr>
        <w:t>、</w:t>
      </w:r>
      <w:r>
        <w:rPr>
          <w:rFonts w:hint="eastAsia" w:ascii="仿宋_GB2312" w:hAnsi="宋体" w:eastAsia="仿宋_GB2312"/>
          <w:sz w:val="32"/>
          <w:szCs w:val="28"/>
          <w:highlight w:val="none"/>
        </w:rPr>
        <w:t>《</w:t>
      </w:r>
      <w:r>
        <w:rPr>
          <w:rFonts w:hint="eastAsia" w:ascii="仿宋_GB2312" w:hAnsi="宋体" w:eastAsia="仿宋_GB2312"/>
          <w:sz w:val="32"/>
          <w:szCs w:val="28"/>
          <w:highlight w:val="none"/>
          <w:lang w:eastAsia="zh-CN"/>
        </w:rPr>
        <w:t>预防接种工作规范</w:t>
      </w:r>
      <w:r>
        <w:rPr>
          <w:rFonts w:hint="eastAsia" w:ascii="仿宋_GB2312" w:hAnsi="宋体" w:eastAsia="仿宋_GB2312"/>
          <w:sz w:val="32"/>
          <w:szCs w:val="28"/>
          <w:highlight w:val="none"/>
        </w:rPr>
        <w:t>》</w:t>
      </w:r>
      <w:r>
        <w:rPr>
          <w:rFonts w:hint="eastAsia" w:ascii="仿宋_GB2312" w:hAnsi="宋体" w:eastAsia="仿宋_GB2312"/>
          <w:sz w:val="32"/>
          <w:szCs w:val="28"/>
          <w:highlight w:val="none"/>
          <w:lang w:eastAsia="zh-CN"/>
        </w:rPr>
        <w:t>和《国家卫生健康委关于印发预防接种异常反应补偿范围参考目录及说明（</w:t>
      </w:r>
      <w:r>
        <w:rPr>
          <w:rFonts w:hint="eastAsia" w:ascii="仿宋_GB2312" w:hAnsi="宋体" w:eastAsia="仿宋_GB2312"/>
          <w:sz w:val="32"/>
          <w:szCs w:val="28"/>
          <w:highlight w:val="none"/>
          <w:lang w:val="en-US" w:eastAsia="zh-CN"/>
        </w:rPr>
        <w:t>2020年版</w:t>
      </w:r>
      <w:r>
        <w:rPr>
          <w:rFonts w:hint="eastAsia" w:ascii="仿宋_GB2312" w:hAnsi="宋体" w:eastAsia="仿宋_GB2312"/>
          <w:sz w:val="32"/>
          <w:szCs w:val="28"/>
          <w:highlight w:val="none"/>
          <w:lang w:eastAsia="zh-CN"/>
        </w:rPr>
        <w:t>）的通知》（国卫办疾控函</w:t>
      </w:r>
      <w:r>
        <w:rPr>
          <w:rFonts w:hint="eastAsia" w:ascii="方正隶书_GBK" w:hAnsi="方正隶书_GBK" w:eastAsia="方正隶书_GBK" w:cs="方正隶书_GBK"/>
          <w:sz w:val="32"/>
          <w:szCs w:val="28"/>
          <w:highlight w:val="none"/>
          <w:lang w:eastAsia="zh-CN"/>
        </w:rPr>
        <w:t>〔</w:t>
      </w:r>
      <w:r>
        <w:rPr>
          <w:rFonts w:hint="eastAsia" w:ascii="仿宋_GB2312" w:hAnsi="仿宋_GB2312" w:eastAsia="仿宋_GB2312" w:cs="仿宋_GB2312"/>
          <w:sz w:val="32"/>
          <w:szCs w:val="28"/>
          <w:highlight w:val="none"/>
          <w:lang w:val="en-US" w:eastAsia="zh-CN"/>
        </w:rPr>
        <w:t>2020</w:t>
      </w:r>
      <w:r>
        <w:rPr>
          <w:rFonts w:hint="eastAsia" w:ascii="方正隶书_GBK" w:hAnsi="方正隶书_GBK" w:eastAsia="方正隶书_GBK" w:cs="方正隶书_GBK"/>
          <w:sz w:val="32"/>
          <w:szCs w:val="28"/>
          <w:highlight w:val="none"/>
          <w:lang w:eastAsia="zh-CN"/>
        </w:rPr>
        <w:t>〕</w:t>
      </w:r>
      <w:r>
        <w:rPr>
          <w:rFonts w:hint="eastAsia" w:ascii="仿宋_GB2312" w:hAnsi="仿宋_GB2312" w:eastAsia="仿宋_GB2312" w:cs="仿宋_GB2312"/>
          <w:sz w:val="32"/>
          <w:szCs w:val="28"/>
          <w:highlight w:val="none"/>
          <w:lang w:val="en-US" w:eastAsia="zh-CN"/>
        </w:rPr>
        <w:t>979号</w:t>
      </w:r>
      <w:r>
        <w:rPr>
          <w:rFonts w:hint="eastAsia" w:ascii="仿宋_GB2312" w:hAnsi="宋体" w:eastAsia="仿宋_GB2312"/>
          <w:sz w:val="32"/>
          <w:szCs w:val="28"/>
          <w:highlight w:val="none"/>
          <w:lang w:eastAsia="zh-CN"/>
        </w:rPr>
        <w:t>）</w:t>
      </w:r>
      <w:r>
        <w:rPr>
          <w:rFonts w:hint="eastAsia" w:ascii="仿宋_GB2312" w:hAnsi="宋体" w:eastAsia="仿宋_GB2312"/>
          <w:sz w:val="32"/>
          <w:szCs w:val="28"/>
          <w:highlight w:val="none"/>
        </w:rPr>
        <w:t>等法律、法规和</w:t>
      </w:r>
      <w:r>
        <w:rPr>
          <w:rFonts w:ascii="仿宋_GB2312" w:hAnsi="宋体" w:eastAsia="仿宋_GB2312"/>
          <w:sz w:val="32"/>
          <w:szCs w:val="28"/>
          <w:highlight w:val="none"/>
        </w:rPr>
        <w:t>文件</w:t>
      </w:r>
      <w:r>
        <w:rPr>
          <w:rFonts w:hint="eastAsia" w:ascii="仿宋_GB2312" w:hAnsi="宋体" w:eastAsia="仿宋_GB2312"/>
          <w:sz w:val="32"/>
          <w:szCs w:val="28"/>
          <w:highlight w:val="none"/>
        </w:rPr>
        <w:t>制定</w:t>
      </w:r>
      <w:r>
        <w:rPr>
          <w:rFonts w:ascii="仿宋_GB2312" w:hAnsi="宋体" w:eastAsia="仿宋_GB2312"/>
          <w:sz w:val="32"/>
          <w:szCs w:val="28"/>
          <w:highlight w:val="none"/>
        </w:rPr>
        <w:t>。</w:t>
      </w:r>
      <w:r>
        <w:rPr>
          <w:rFonts w:hint="eastAsia" w:ascii="仿宋_GB2312" w:hAnsi="宋体" w:eastAsia="仿宋_GB2312"/>
          <w:sz w:val="32"/>
          <w:szCs w:val="28"/>
          <w:highlight w:val="none"/>
        </w:rPr>
        <w:t xml:space="preserve"> </w:t>
      </w:r>
    </w:p>
    <w:p w14:paraId="43CCD1FB">
      <w:pPr>
        <w:keepNext w:val="0"/>
        <w:keepLines w:val="0"/>
        <w:pageBreakBefore w:val="0"/>
        <w:widowControl w:val="0"/>
        <w:numPr>
          <w:ilvl w:val="0"/>
          <w:numId w:val="0"/>
        </w:numPr>
        <w:kinsoku/>
        <w:wordWrap/>
        <w:overflowPunct/>
        <w:topLinePunct w:val="0"/>
        <w:bidi w:val="0"/>
        <w:snapToGrid/>
        <w:spacing w:line="577" w:lineRule="exact"/>
        <w:ind w:firstLine="640" w:firstLineChars="200"/>
        <w:textAlignment w:val="auto"/>
      </w:pPr>
      <w:r>
        <w:rPr>
          <w:rFonts w:hint="eastAsia" w:ascii="仿宋_GB2312" w:eastAsia="仿宋_GB2312"/>
          <w:sz w:val="32"/>
          <w:szCs w:val="32"/>
        </w:rPr>
        <w:t>一是明确了</w:t>
      </w:r>
      <w:r>
        <w:rPr>
          <w:rFonts w:hint="eastAsia" w:ascii="仿宋_GB2312" w:eastAsia="仿宋_GB2312"/>
          <w:sz w:val="32"/>
          <w:szCs w:val="32"/>
          <w:lang w:eastAsia="zh-CN"/>
        </w:rPr>
        <w:t>预防接种异常反应处理</w:t>
      </w:r>
      <w:r>
        <w:rPr>
          <w:rFonts w:hint="eastAsia" w:ascii="仿宋_GB2312" w:eastAsia="仿宋_GB2312"/>
          <w:sz w:val="32"/>
          <w:szCs w:val="32"/>
        </w:rPr>
        <w:t>的原则、</w:t>
      </w:r>
      <w:r>
        <w:rPr>
          <w:rFonts w:hint="eastAsia" w:ascii="仿宋_GB2312" w:eastAsia="仿宋_GB2312"/>
          <w:sz w:val="32"/>
          <w:szCs w:val="32"/>
          <w:lang w:eastAsia="zh-CN"/>
        </w:rPr>
        <w:t>适用情况</w:t>
      </w:r>
      <w:r>
        <w:rPr>
          <w:rFonts w:hint="eastAsia" w:ascii="仿宋_GB2312" w:eastAsia="仿宋_GB2312"/>
          <w:sz w:val="32"/>
          <w:szCs w:val="32"/>
        </w:rPr>
        <w:t>和程序。《办法》规定，</w:t>
      </w:r>
      <w:r>
        <w:rPr>
          <w:rFonts w:hint="eastAsia" w:ascii="仿宋_GB2312" w:eastAsia="仿宋_GB2312"/>
          <w:sz w:val="32"/>
          <w:szCs w:val="32"/>
          <w:highlight w:val="none"/>
          <w:lang w:eastAsia="zh-CN"/>
        </w:rPr>
        <w:t>预防接种异常反应的处理与补偿遵循公开、公平、公正的原则，坚持实事求是的科学态度，做到事实清楚、诊断准确、补偿合理</w:t>
      </w:r>
      <w:r>
        <w:rPr>
          <w:rFonts w:hint="eastAsia" w:ascii="仿宋_GB2312" w:eastAsia="仿宋_GB2312"/>
          <w:sz w:val="32"/>
          <w:szCs w:val="32"/>
        </w:rPr>
        <w:t>；</w:t>
      </w:r>
      <w:r>
        <w:rPr>
          <w:rFonts w:hint="eastAsia" w:ascii="仿宋_GB2312" w:eastAsia="仿宋_GB2312"/>
          <w:sz w:val="32"/>
          <w:szCs w:val="32"/>
          <w:lang w:eastAsia="zh-CN"/>
        </w:rPr>
        <w:t>受种者在内蒙古自治区行政区域内所有经旗县级卫生行政部门指定的接种单位接种了合格疫苗，规范接种后发生预防接种异常反应、依法需要一次性补偿的，适用本办法</w:t>
      </w:r>
      <w:r>
        <w:rPr>
          <w:rFonts w:hint="eastAsia" w:ascii="仿宋_GB2312" w:eastAsia="仿宋_GB2312"/>
          <w:sz w:val="32"/>
          <w:szCs w:val="32"/>
        </w:rPr>
        <w:t>。在此基础上，《办法》具体规范了</w:t>
      </w:r>
      <w:r>
        <w:rPr>
          <w:rFonts w:hint="eastAsia" w:ascii="仿宋_GB2312" w:eastAsia="仿宋_GB2312"/>
          <w:sz w:val="32"/>
          <w:szCs w:val="32"/>
          <w:lang w:eastAsia="zh-CN"/>
        </w:rPr>
        <w:t>受种者申请预防接种异常反应补偿</w:t>
      </w:r>
      <w:r>
        <w:rPr>
          <w:rFonts w:hint="eastAsia" w:ascii="仿宋_GB2312" w:eastAsia="仿宋_GB2312"/>
          <w:sz w:val="32"/>
          <w:szCs w:val="32"/>
        </w:rPr>
        <w:t>、</w:t>
      </w:r>
      <w:r>
        <w:rPr>
          <w:rFonts w:hint="eastAsia" w:ascii="仿宋_GB2312" w:eastAsia="仿宋_GB2312"/>
          <w:sz w:val="32"/>
          <w:szCs w:val="32"/>
          <w:lang w:eastAsia="zh-CN"/>
        </w:rPr>
        <w:t>旗县级卫生行政部门受理申请和补偿</w:t>
      </w:r>
      <w:r>
        <w:rPr>
          <w:rFonts w:hint="eastAsia" w:ascii="仿宋_GB2312" w:eastAsia="仿宋_GB2312"/>
          <w:sz w:val="32"/>
          <w:szCs w:val="32"/>
        </w:rPr>
        <w:t>的程序，并与司法诉讼作了衔接。二是规范了</w:t>
      </w:r>
      <w:r>
        <w:rPr>
          <w:rFonts w:hint="eastAsia" w:ascii="仿宋_GB2312" w:eastAsia="仿宋_GB2312"/>
          <w:sz w:val="32"/>
          <w:szCs w:val="32"/>
          <w:lang w:eastAsia="zh-CN"/>
        </w:rPr>
        <w:t>预防接种异常反应的补偿范围及标准</w:t>
      </w:r>
      <w:r>
        <w:rPr>
          <w:rFonts w:hint="eastAsia" w:ascii="仿宋_GB2312" w:eastAsia="仿宋_GB2312"/>
          <w:sz w:val="32"/>
          <w:szCs w:val="32"/>
        </w:rPr>
        <w:t>。《办法》规定，</w:t>
      </w:r>
      <w:r>
        <w:rPr>
          <w:rFonts w:hint="eastAsia" w:ascii="仿宋_GB2312" w:eastAsia="仿宋_GB2312"/>
          <w:sz w:val="32"/>
          <w:szCs w:val="32"/>
          <w:lang w:eastAsia="zh-CN"/>
        </w:rPr>
        <w:t>因接种免疫规划疫苗引起的预防接种异常反应需要对受种者予以补偿的，补偿费用由自治区财政部门在预防接种工作经费中安排；因接种非免疫规划疫苗引起预防接种异常反应需要对受种者予以补偿的，补偿费用由疫苗上市许可证持有人承担</w:t>
      </w:r>
      <w:r>
        <w:rPr>
          <w:rFonts w:hint="eastAsia" w:ascii="仿宋_GB2312" w:eastAsia="仿宋_GB2312"/>
          <w:sz w:val="32"/>
          <w:szCs w:val="32"/>
        </w:rPr>
        <w:t>；同时，明确了</w:t>
      </w:r>
      <w:r>
        <w:rPr>
          <w:rFonts w:hint="eastAsia" w:ascii="仿宋_GB2312" w:eastAsia="仿宋_GB2312"/>
          <w:sz w:val="32"/>
          <w:szCs w:val="32"/>
          <w:lang w:eastAsia="zh-CN"/>
        </w:rPr>
        <w:t>预防接种异常反应造成不同等级伤残或死亡的具体补偿标准</w:t>
      </w:r>
      <w:r>
        <w:rPr>
          <w:rFonts w:hint="eastAsia" w:ascii="仿宋_GB2312" w:eastAsia="仿宋_GB2312"/>
          <w:sz w:val="32"/>
          <w:szCs w:val="32"/>
        </w:rPr>
        <w:t>。三是</w:t>
      </w:r>
      <w:r>
        <w:rPr>
          <w:rFonts w:hint="eastAsia" w:ascii="仿宋_GB2312" w:eastAsia="仿宋_GB2312"/>
          <w:sz w:val="32"/>
          <w:szCs w:val="32"/>
          <w:lang w:eastAsia="zh-CN"/>
        </w:rPr>
        <w:t>规定了预防接种异常反应诊断和鉴定机制。《办法》规定，自治区级、设区的市级和旗县级疾病预防控制机构应成立预防接种异常反应调查诊断专家组，负责预防接种异常反应调查诊断，其他任何单位和个人无权对预防接种异常反应做出结论性诊断；</w:t>
      </w:r>
      <w:r>
        <w:rPr>
          <w:rFonts w:hint="eastAsia" w:ascii="仿宋_GB2312" w:eastAsia="仿宋_GB2312"/>
          <w:sz w:val="32"/>
          <w:szCs w:val="32"/>
        </w:rPr>
        <w:t>《办法》还对</w:t>
      </w:r>
      <w:r>
        <w:rPr>
          <w:rFonts w:hint="eastAsia" w:ascii="仿宋_GB2312" w:eastAsia="仿宋_GB2312"/>
          <w:sz w:val="32"/>
          <w:szCs w:val="32"/>
          <w:lang w:eastAsia="zh-CN"/>
        </w:rPr>
        <w:t>预防接种异常反应的诊断和鉴定的具体程序作出</w:t>
      </w:r>
      <w:r>
        <w:rPr>
          <w:rFonts w:hint="eastAsia" w:ascii="仿宋_GB2312" w:eastAsia="仿宋_GB2312"/>
          <w:sz w:val="32"/>
          <w:szCs w:val="32"/>
        </w:rPr>
        <w:t>了规定。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D2E3AA-30DC-40CE-89C5-CE59BEB0D7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B33DC92-5BD8-4D58-BAFA-2CCAB3382F62}"/>
  </w:font>
  <w:font w:name="方正小标宋_GBK">
    <w:panose1 w:val="02000000000000000000"/>
    <w:charset w:val="86"/>
    <w:family w:val="script"/>
    <w:pitch w:val="default"/>
    <w:sig w:usb0="A00002BF" w:usb1="38CF7CFA" w:usb2="00082016" w:usb3="00000000" w:csb0="00040001" w:csb1="00000000"/>
    <w:embedRegular r:id="rId3" w:fontKey="{D73F661D-F29A-4A54-A6E7-31F62CE885E0}"/>
  </w:font>
  <w:font w:name="仿宋_GB2312">
    <w:altName w:val="仿宋"/>
    <w:panose1 w:val="02010609030101010101"/>
    <w:charset w:val="86"/>
    <w:family w:val="modern"/>
    <w:pitch w:val="default"/>
    <w:sig w:usb0="00000000" w:usb1="00000000" w:usb2="00000000" w:usb3="00000000" w:csb0="00040000" w:csb1="00000000"/>
    <w:embedRegular r:id="rId4" w:fontKey="{07712185-2BC7-42D2-9B2E-C74A343BEE79}"/>
  </w:font>
  <w:font w:name="楷体_GB2312">
    <w:altName w:val="楷体"/>
    <w:panose1 w:val="02010609030101010101"/>
    <w:charset w:val="86"/>
    <w:family w:val="auto"/>
    <w:pitch w:val="default"/>
    <w:sig w:usb0="00000000" w:usb1="00000000" w:usb2="00000000" w:usb3="00000000" w:csb0="00040000" w:csb1="00000000"/>
    <w:embedRegular r:id="rId5" w:fontKey="{A4B57317-8EEB-4708-AFCB-6B5A17DC7180}"/>
  </w:font>
  <w:font w:name="方正隶书_GBK">
    <w:altName w:val="宋体"/>
    <w:panose1 w:val="02000000000000000000"/>
    <w:charset w:val="86"/>
    <w:family w:val="auto"/>
    <w:pitch w:val="default"/>
    <w:sig w:usb0="00000000" w:usb1="00000000" w:usb2="00000000" w:usb3="00000000" w:csb0="00040000" w:csb1="00000000"/>
    <w:embedRegular r:id="rId6" w:fontKey="{B611B0B0-CA4D-489A-9236-F9EB5D490BA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CB729"/>
    <w:multiLevelType w:val="singleLevel"/>
    <w:tmpl w:val="77FCB729"/>
    <w:lvl w:ilvl="0" w:tentative="0">
      <w:start w:val="2"/>
      <w:numFmt w:val="chineseCounting"/>
      <w:suff w:val="nothing"/>
      <w:lvlText w:val="（%1）"/>
      <w:lvlJc w:val="left"/>
      <w:pPr>
        <w:ind w:left="-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012C9"/>
    <w:rsid w:val="4AC0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2025-07-07T08:35:00Z</dcterms:created>
  <dc:creator>马耀</dc:creator>
  <cp:lastModifiedBy>马耀</cp:lastModifiedBy>
  <dcterms:modified xsi:type="dcterms:W3CDTF">2025-07-07T08:35:33Z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A9842151CDBE4B80ABBB2247E451CC00_11</vt:lpwstr>
  </property>
  <property fmtid="{D5CDD505-2E9C-101B-9397-08002B2CF9AE}" pid="4" name="KSOTemplateDocerSaveRecord">
    <vt:lpwstr>eyJoZGlkIjoiNzE5ZGJkOGZlZDMwOWI2YTVkNmZiYzZmNzlhYjIxODQifQ==</vt:lpwstr>
  </property>
</Properties>
</file>