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D632C">
        <w:tc>
          <w:tcPr>
            <w:tcW w:w="509" w:type="dxa"/>
          </w:tcPr>
          <w:p w:rsidR="006D632C" w:rsidRDefault="005E2CB3">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D632C" w:rsidRDefault="005E2CB3">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6D632C">
        <w:tc>
          <w:tcPr>
            <w:tcW w:w="509" w:type="dxa"/>
          </w:tcPr>
          <w:p w:rsidR="006D632C" w:rsidRDefault="005E2CB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6D632C" w:rsidRDefault="005E2CB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D632C">
        <w:tc>
          <w:tcPr>
            <w:tcW w:w="6407" w:type="dxa"/>
          </w:tcPr>
          <w:p w:rsidR="006D632C" w:rsidRDefault="005E2CB3">
            <w:pPr>
              <w:pStyle w:val="affffc"/>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rsidR="006D632C" w:rsidRDefault="005E2CB3">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6D632C" w:rsidRDefault="005E2CB3">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6D632C" w:rsidRDefault="005E2CB3">
      <w:pPr>
        <w:pStyle w:val="affffffffff0"/>
        <w:framePr w:wrap="auto"/>
        <w:rPr>
          <w:rFonts w:hAnsi="黑体"/>
        </w:rPr>
      </w:pPr>
      <w:r>
        <w:rPr>
          <w:rFonts w:hAnsi="黑体" w:hint="eastAsia"/>
        </w:rPr>
        <w:t xml:space="preserve"> </w:t>
      </w: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6D632C" w:rsidRDefault="005E2CB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F52E2AA"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6D632C" w:rsidRDefault="006D632C">
      <w:pPr>
        <w:pStyle w:val="affffd"/>
        <w:framePr w:w="9639" w:h="6976" w:hRule="exact" w:hSpace="0" w:vSpace="0" w:wrap="around" w:hAnchor="page" w:y="6408"/>
        <w:jc w:val="center"/>
        <w:rPr>
          <w:rFonts w:ascii="黑体" w:eastAsia="黑体" w:hAnsi="黑体"/>
          <w:b w:val="0"/>
          <w:bCs w:val="0"/>
          <w:w w:val="100"/>
        </w:rPr>
      </w:pPr>
    </w:p>
    <w:p w:rsidR="006D632C" w:rsidRDefault="005E2CB3">
      <w:pPr>
        <w:pStyle w:val="affffffffff1"/>
        <w:framePr w:h="6974" w:hRule="exact" w:wrap="around" w:x="1419" w:anchorLock="1"/>
      </w:pPr>
      <w:bookmarkStart w:id="9" w:name="OLE_LINK20"/>
      <w:r>
        <w:rPr>
          <w:rFonts w:hint="eastAsia"/>
        </w:rPr>
        <w:t>风力发电场质量评估规范</w:t>
      </w:r>
      <w:bookmarkEnd w:id="9"/>
    </w:p>
    <w:p w:rsidR="006D632C" w:rsidRDefault="006D632C">
      <w:pPr>
        <w:framePr w:w="9639" w:h="6974" w:hRule="exact" w:wrap="around" w:vAnchor="page" w:hAnchor="page" w:x="1419" w:y="6408" w:anchorLock="1"/>
        <w:ind w:left="-1418"/>
      </w:pPr>
    </w:p>
    <w:p w:rsidR="006D632C" w:rsidRDefault="006D632C">
      <w:pPr>
        <w:framePr w:w="9639" w:h="6974" w:hRule="exact" w:wrap="around" w:vAnchor="page" w:hAnchor="page" w:x="1419" w:y="6408" w:anchorLock="1"/>
        <w:spacing w:line="760" w:lineRule="exact"/>
        <w:ind w:left="-1418"/>
      </w:pPr>
    </w:p>
    <w:p w:rsidR="006D632C" w:rsidRDefault="005E2CB3">
      <w:pPr>
        <w:pStyle w:val="afffffff5"/>
        <w:framePr w:w="9639" w:h="6974" w:hRule="exact" w:wrap="around" w:vAnchor="page" w:hAnchor="page" w:x="1419" w:y="6408" w:anchorLock="1"/>
        <w:textAlignment w:val="bottom"/>
        <w:rPr>
          <w:rFonts w:eastAsia="黑体"/>
          <w:szCs w:val="28"/>
        </w:rPr>
      </w:pPr>
      <w:r>
        <w:rPr>
          <w:rFonts w:eastAsia="黑体"/>
          <w:szCs w:val="28"/>
        </w:rPr>
        <w:t xml:space="preserve">Specification for quality assessment of wind power </w:t>
      </w:r>
      <w:r>
        <w:rPr>
          <w:rFonts w:eastAsia="黑体" w:hint="eastAsia"/>
          <w:szCs w:val="28"/>
        </w:rPr>
        <w:t>farm</w:t>
      </w:r>
    </w:p>
    <w:p w:rsidR="006D632C" w:rsidRDefault="005E2CB3">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6D632C" w:rsidRDefault="005E2CB3">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6D632C" w:rsidRDefault="005E2CB3">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6D632C" w:rsidRDefault="005E2CB3">
      <w:pPr>
        <w:pStyle w:val="afffffffffd"/>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6D632C" w:rsidRDefault="005E2CB3">
      <w:pPr>
        <w:pStyle w:val="afffffffffe"/>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6D632C" w:rsidRDefault="005E2CB3">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t>   </w:t>
      </w:r>
      <w:r>
        <w:rPr>
          <w:rFonts w:hAnsi="黑体"/>
          <w:w w:val="100"/>
          <w:sz w:val="28"/>
        </w:rPr>
        <w:fldChar w:fldCharType="end"/>
      </w:r>
      <w:bookmarkEnd w:id="19"/>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6D632C" w:rsidRDefault="005E2CB3">
      <w:pPr>
        <w:rPr>
          <w:rFonts w:ascii="宋体" w:hAnsi="宋体"/>
          <w:sz w:val="28"/>
          <w:szCs w:val="28"/>
        </w:rPr>
        <w:sectPr w:rsidR="006D632C">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DC5D3E8"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bookmarkStart w:id="20" w:name="BookMark4" w:displacedByCustomXml="next"/>
    <w:sdt>
      <w:sdtPr>
        <w:rPr>
          <w:rFonts w:ascii="宋体" w:hAnsi="宋体"/>
          <w:b/>
          <w:bCs/>
          <w:sz w:val="44"/>
          <w:szCs w:val="44"/>
        </w:rPr>
        <w:id w:val="147479444"/>
        <w15:color w:val="DBDBDB"/>
        <w:docPartObj>
          <w:docPartGallery w:val="Table of Contents"/>
          <w:docPartUnique/>
        </w:docPartObj>
      </w:sdtPr>
      <w:sdtEndPr>
        <w:rPr>
          <w:rFonts w:ascii="黑体" w:eastAsia="黑体" w:hAnsi="Calibri"/>
          <w:sz w:val="32"/>
          <w:szCs w:val="21"/>
        </w:rPr>
      </w:sdtEndPr>
      <w:sdtContent>
        <w:p w:rsidR="006D632C" w:rsidRDefault="005E2CB3">
          <w:pPr>
            <w:spacing w:line="240" w:lineRule="auto"/>
            <w:jc w:val="center"/>
            <w:rPr>
              <w:b/>
              <w:bCs/>
              <w:sz w:val="44"/>
              <w:szCs w:val="44"/>
            </w:rPr>
          </w:pPr>
          <w:r>
            <w:rPr>
              <w:rFonts w:ascii="宋体" w:hAnsi="宋体"/>
              <w:b/>
              <w:bCs/>
              <w:sz w:val="44"/>
              <w:szCs w:val="44"/>
            </w:rPr>
            <w:t>目</w:t>
          </w:r>
          <w:r>
            <w:rPr>
              <w:rFonts w:ascii="宋体" w:hAnsi="宋体" w:hint="eastAsia"/>
              <w:b/>
              <w:bCs/>
              <w:sz w:val="44"/>
              <w:szCs w:val="44"/>
            </w:rPr>
            <w:t xml:space="preserve">  </w:t>
          </w:r>
          <w:r>
            <w:rPr>
              <w:rFonts w:ascii="宋体" w:hAnsi="宋体"/>
              <w:b/>
              <w:bCs/>
              <w:sz w:val="44"/>
              <w:szCs w:val="44"/>
            </w:rPr>
            <w:t>录</w:t>
          </w:r>
        </w:p>
        <w:p w:rsidR="006D632C" w:rsidRDefault="005E2CB3">
          <w:pPr>
            <w:pStyle w:val="10"/>
            <w:tabs>
              <w:tab w:val="right" w:leader="dot" w:pos="9346"/>
            </w:tabs>
            <w:spacing w:line="480" w:lineRule="auto"/>
            <w:rPr>
              <w:rFonts w:ascii="方正仿宋_GB2312" w:eastAsia="方正仿宋_GB2312" w:hAnsi="方正仿宋_GB2312" w:cs="方正仿宋_GB2312"/>
              <w:sz w:val="24"/>
              <w:szCs w:val="24"/>
            </w:rPr>
          </w:pPr>
          <w:r>
            <w:rPr>
              <w:rFonts w:ascii="方正仿宋_GB2312" w:eastAsia="方正仿宋_GB2312" w:hAnsi="方正仿宋_GB2312" w:cs="方正仿宋_GB2312" w:hint="eastAsia"/>
              <w:sz w:val="24"/>
              <w:szCs w:val="24"/>
            </w:rPr>
            <w:fldChar w:fldCharType="begin"/>
          </w:r>
          <w:r>
            <w:rPr>
              <w:rFonts w:ascii="方正仿宋_GB2312" w:eastAsia="方正仿宋_GB2312" w:hAnsi="方正仿宋_GB2312" w:cs="方正仿宋_GB2312" w:hint="eastAsia"/>
              <w:sz w:val="24"/>
              <w:szCs w:val="24"/>
            </w:rPr>
            <w:instrText xml:space="preserve">TOC \o "1-1" \h \u </w:instrText>
          </w:r>
          <w:r>
            <w:rPr>
              <w:rFonts w:ascii="方正仿宋_GB2312" w:eastAsia="方正仿宋_GB2312" w:hAnsi="方正仿宋_GB2312" w:cs="方正仿宋_GB2312" w:hint="eastAsia"/>
              <w:sz w:val="24"/>
              <w:szCs w:val="24"/>
            </w:rPr>
            <w:fldChar w:fldCharType="separate"/>
          </w:r>
          <w:hyperlink w:anchor="_Toc4836" w:history="1">
            <w:r>
              <w:rPr>
                <w:rFonts w:ascii="方正仿宋_GB2312" w:eastAsia="方正仿宋_GB2312" w:hAnsi="方正仿宋_GB2312" w:cs="方正仿宋_GB2312" w:hint="eastAsia"/>
                <w:sz w:val="24"/>
                <w:szCs w:val="40"/>
              </w:rPr>
              <w:t>前</w:t>
            </w:r>
            <w:r>
              <w:rPr>
                <w:rFonts w:ascii="方正仿宋_GB2312" w:eastAsia="方正仿宋_GB2312" w:hAnsi="方正仿宋_GB2312" w:cs="方正仿宋_GB2312" w:hint="eastAsia"/>
                <w:sz w:val="24"/>
                <w:szCs w:val="40"/>
              </w:rPr>
              <w:t xml:space="preserve">  </w:t>
            </w:r>
            <w:r>
              <w:rPr>
                <w:rFonts w:ascii="方正仿宋_GB2312" w:eastAsia="方正仿宋_GB2312" w:hAnsi="方正仿宋_GB2312" w:cs="方正仿宋_GB2312" w:hint="eastAsia"/>
                <w:sz w:val="24"/>
                <w:szCs w:val="40"/>
              </w:rPr>
              <w:t>言</w:t>
            </w:r>
            <w:r>
              <w:rPr>
                <w:rFonts w:ascii="方正仿宋_GB2312" w:eastAsia="方正仿宋_GB2312" w:hAnsi="方正仿宋_GB2312" w:cs="方正仿宋_GB2312" w:hint="eastAsia"/>
                <w:sz w:val="24"/>
                <w:szCs w:val="24"/>
              </w:rPr>
              <w:tab/>
            </w:r>
            <w:r>
              <w:rPr>
                <w:rFonts w:ascii="方正仿宋_GB2312" w:eastAsia="方正仿宋_GB2312" w:hAnsi="方正仿宋_GB2312" w:cs="方正仿宋_GB2312" w:hint="eastAsia"/>
                <w:sz w:val="24"/>
                <w:szCs w:val="24"/>
              </w:rPr>
              <w:fldChar w:fldCharType="begin"/>
            </w:r>
            <w:r>
              <w:rPr>
                <w:rFonts w:ascii="方正仿宋_GB2312" w:eastAsia="方正仿宋_GB2312" w:hAnsi="方正仿宋_GB2312" w:cs="方正仿宋_GB2312" w:hint="eastAsia"/>
                <w:sz w:val="24"/>
                <w:szCs w:val="24"/>
              </w:rPr>
              <w:instrText xml:space="preserve"> PAGEREF _Toc4836 \h </w:instrText>
            </w:r>
            <w:r>
              <w:rPr>
                <w:rFonts w:ascii="方正仿宋_GB2312" w:eastAsia="方正仿宋_GB2312" w:hAnsi="方正仿宋_GB2312" w:cs="方正仿宋_GB2312" w:hint="eastAsia"/>
                <w:sz w:val="24"/>
                <w:szCs w:val="24"/>
              </w:rPr>
            </w:r>
            <w:r>
              <w:rPr>
                <w:rFonts w:ascii="方正仿宋_GB2312" w:eastAsia="方正仿宋_GB2312" w:hAnsi="方正仿宋_GB2312" w:cs="方正仿宋_GB2312" w:hint="eastAsia"/>
                <w:sz w:val="24"/>
                <w:szCs w:val="24"/>
              </w:rPr>
              <w:fldChar w:fldCharType="separate"/>
            </w:r>
            <w:r>
              <w:rPr>
                <w:rFonts w:ascii="方正仿宋_GB2312" w:eastAsia="方正仿宋_GB2312" w:hAnsi="方正仿宋_GB2312" w:cs="方正仿宋_GB2312" w:hint="eastAsia"/>
                <w:sz w:val="24"/>
                <w:szCs w:val="24"/>
              </w:rPr>
              <w:t>2</w:t>
            </w:r>
            <w:r>
              <w:rPr>
                <w:rFonts w:ascii="方正仿宋_GB2312" w:eastAsia="方正仿宋_GB2312" w:hAnsi="方正仿宋_GB2312" w:cs="方正仿宋_GB2312" w:hint="eastAsia"/>
                <w:sz w:val="24"/>
                <w:szCs w:val="24"/>
              </w:rPr>
              <w:fldChar w:fldCharType="end"/>
            </w:r>
          </w:hyperlink>
        </w:p>
        <w:p w:rsidR="006D632C" w:rsidRDefault="005E2CB3">
          <w:pPr>
            <w:pStyle w:val="10"/>
            <w:tabs>
              <w:tab w:val="right" w:leader="dot" w:pos="9346"/>
            </w:tabs>
            <w:spacing w:line="480" w:lineRule="auto"/>
            <w:rPr>
              <w:rFonts w:ascii="方正仿宋_GB2312" w:eastAsia="方正仿宋_GB2312" w:hAnsi="方正仿宋_GB2312" w:cs="方正仿宋_GB2312"/>
              <w:sz w:val="24"/>
              <w:szCs w:val="24"/>
            </w:rPr>
          </w:pPr>
          <w:hyperlink w:anchor="_Toc25798" w:history="1">
            <w:r>
              <w:rPr>
                <w:rFonts w:ascii="方正仿宋_GB2312" w:eastAsia="方正仿宋_GB2312" w:hAnsi="方正仿宋_GB2312" w:cs="方正仿宋_GB2312" w:hint="eastAsia"/>
                <w:bCs/>
                <w:sz w:val="24"/>
                <w:szCs w:val="32"/>
              </w:rPr>
              <w:t xml:space="preserve">1 </w:t>
            </w:r>
            <w:r>
              <w:rPr>
                <w:rFonts w:ascii="方正仿宋_GB2312" w:eastAsia="方正仿宋_GB2312" w:hAnsi="方正仿宋_GB2312" w:cs="方正仿宋_GB2312" w:hint="eastAsia"/>
                <w:bCs/>
                <w:sz w:val="24"/>
                <w:szCs w:val="32"/>
              </w:rPr>
              <w:t>范围</w:t>
            </w:r>
            <w:r>
              <w:rPr>
                <w:rFonts w:ascii="方正仿宋_GB2312" w:eastAsia="方正仿宋_GB2312" w:hAnsi="方正仿宋_GB2312" w:cs="方正仿宋_GB2312" w:hint="eastAsia"/>
                <w:sz w:val="24"/>
                <w:szCs w:val="24"/>
              </w:rPr>
              <w:tab/>
            </w:r>
            <w:r>
              <w:rPr>
                <w:rFonts w:ascii="方正仿宋_GB2312" w:eastAsia="方正仿宋_GB2312" w:hAnsi="方正仿宋_GB2312" w:cs="方正仿宋_GB2312" w:hint="eastAsia"/>
                <w:sz w:val="24"/>
                <w:szCs w:val="24"/>
              </w:rPr>
              <w:fldChar w:fldCharType="begin"/>
            </w:r>
            <w:r>
              <w:rPr>
                <w:rFonts w:ascii="方正仿宋_GB2312" w:eastAsia="方正仿宋_GB2312" w:hAnsi="方正仿宋_GB2312" w:cs="方正仿宋_GB2312" w:hint="eastAsia"/>
                <w:sz w:val="24"/>
                <w:szCs w:val="24"/>
              </w:rPr>
              <w:instrText xml:space="preserve"> PAGEREF _Toc25798 \h </w:instrText>
            </w:r>
            <w:r>
              <w:rPr>
                <w:rFonts w:ascii="方正仿宋_GB2312" w:eastAsia="方正仿宋_GB2312" w:hAnsi="方正仿宋_GB2312" w:cs="方正仿宋_GB2312" w:hint="eastAsia"/>
                <w:sz w:val="24"/>
                <w:szCs w:val="24"/>
              </w:rPr>
            </w:r>
            <w:r>
              <w:rPr>
                <w:rFonts w:ascii="方正仿宋_GB2312" w:eastAsia="方正仿宋_GB2312" w:hAnsi="方正仿宋_GB2312" w:cs="方正仿宋_GB2312" w:hint="eastAsia"/>
                <w:sz w:val="24"/>
                <w:szCs w:val="24"/>
              </w:rPr>
              <w:fldChar w:fldCharType="separate"/>
            </w:r>
            <w:r>
              <w:rPr>
                <w:rFonts w:ascii="方正仿宋_GB2312" w:eastAsia="方正仿宋_GB2312" w:hAnsi="方正仿宋_GB2312" w:cs="方正仿宋_GB2312" w:hint="eastAsia"/>
                <w:sz w:val="24"/>
                <w:szCs w:val="24"/>
              </w:rPr>
              <w:t>3</w:t>
            </w:r>
            <w:r>
              <w:rPr>
                <w:rFonts w:ascii="方正仿宋_GB2312" w:eastAsia="方正仿宋_GB2312" w:hAnsi="方正仿宋_GB2312" w:cs="方正仿宋_GB2312" w:hint="eastAsia"/>
                <w:sz w:val="24"/>
                <w:szCs w:val="24"/>
              </w:rPr>
              <w:fldChar w:fldCharType="end"/>
            </w:r>
          </w:hyperlink>
        </w:p>
        <w:p w:rsidR="006D632C" w:rsidRDefault="005E2CB3">
          <w:pPr>
            <w:pStyle w:val="10"/>
            <w:tabs>
              <w:tab w:val="right" w:leader="dot" w:pos="9346"/>
            </w:tabs>
            <w:spacing w:line="480" w:lineRule="auto"/>
            <w:rPr>
              <w:rFonts w:ascii="方正仿宋_GB2312" w:eastAsia="方正仿宋_GB2312" w:hAnsi="方正仿宋_GB2312" w:cs="方正仿宋_GB2312"/>
              <w:sz w:val="24"/>
              <w:szCs w:val="24"/>
            </w:rPr>
          </w:pPr>
          <w:hyperlink w:anchor="_Toc17874" w:history="1">
            <w:r>
              <w:rPr>
                <w:rFonts w:ascii="方正仿宋_GB2312" w:eastAsia="方正仿宋_GB2312" w:hAnsi="方正仿宋_GB2312" w:cs="方正仿宋_GB2312" w:hint="eastAsia"/>
                <w:bCs/>
                <w:sz w:val="24"/>
                <w:szCs w:val="32"/>
              </w:rPr>
              <w:t xml:space="preserve">2 </w:t>
            </w:r>
            <w:r>
              <w:rPr>
                <w:rFonts w:ascii="方正仿宋_GB2312" w:eastAsia="方正仿宋_GB2312" w:hAnsi="方正仿宋_GB2312" w:cs="方正仿宋_GB2312" w:hint="eastAsia"/>
                <w:bCs/>
                <w:sz w:val="24"/>
                <w:szCs w:val="32"/>
              </w:rPr>
              <w:t>规范性引用文件</w:t>
            </w:r>
            <w:r>
              <w:rPr>
                <w:rFonts w:ascii="方正仿宋_GB2312" w:eastAsia="方正仿宋_GB2312" w:hAnsi="方正仿宋_GB2312" w:cs="方正仿宋_GB2312" w:hint="eastAsia"/>
                <w:sz w:val="24"/>
                <w:szCs w:val="24"/>
              </w:rPr>
              <w:tab/>
            </w:r>
            <w:r>
              <w:rPr>
                <w:rFonts w:ascii="方正仿宋_GB2312" w:eastAsia="方正仿宋_GB2312" w:hAnsi="方正仿宋_GB2312" w:cs="方正仿宋_GB2312" w:hint="eastAsia"/>
                <w:sz w:val="24"/>
                <w:szCs w:val="24"/>
              </w:rPr>
              <w:fldChar w:fldCharType="begin"/>
            </w:r>
            <w:r>
              <w:rPr>
                <w:rFonts w:ascii="方正仿宋_GB2312" w:eastAsia="方正仿宋_GB2312" w:hAnsi="方正仿宋_GB2312" w:cs="方正仿宋_GB2312" w:hint="eastAsia"/>
                <w:sz w:val="24"/>
                <w:szCs w:val="24"/>
              </w:rPr>
              <w:instrText xml:space="preserve"> PAGEREF _Toc17874 \h </w:instrText>
            </w:r>
            <w:r>
              <w:rPr>
                <w:rFonts w:ascii="方正仿宋_GB2312" w:eastAsia="方正仿宋_GB2312" w:hAnsi="方正仿宋_GB2312" w:cs="方正仿宋_GB2312" w:hint="eastAsia"/>
                <w:sz w:val="24"/>
                <w:szCs w:val="24"/>
              </w:rPr>
            </w:r>
            <w:r>
              <w:rPr>
                <w:rFonts w:ascii="方正仿宋_GB2312" w:eastAsia="方正仿宋_GB2312" w:hAnsi="方正仿宋_GB2312" w:cs="方正仿宋_GB2312" w:hint="eastAsia"/>
                <w:sz w:val="24"/>
                <w:szCs w:val="24"/>
              </w:rPr>
              <w:fldChar w:fldCharType="separate"/>
            </w:r>
            <w:r>
              <w:rPr>
                <w:rFonts w:ascii="方正仿宋_GB2312" w:eastAsia="方正仿宋_GB2312" w:hAnsi="方正仿宋_GB2312" w:cs="方正仿宋_GB2312" w:hint="eastAsia"/>
                <w:sz w:val="24"/>
                <w:szCs w:val="24"/>
              </w:rPr>
              <w:t>3</w:t>
            </w:r>
            <w:r>
              <w:rPr>
                <w:rFonts w:ascii="方正仿宋_GB2312" w:eastAsia="方正仿宋_GB2312" w:hAnsi="方正仿宋_GB2312" w:cs="方正仿宋_GB2312" w:hint="eastAsia"/>
                <w:sz w:val="24"/>
                <w:szCs w:val="24"/>
              </w:rPr>
              <w:fldChar w:fldCharType="end"/>
            </w:r>
          </w:hyperlink>
        </w:p>
        <w:p w:rsidR="006D632C" w:rsidRDefault="005E2CB3">
          <w:pPr>
            <w:pStyle w:val="10"/>
            <w:tabs>
              <w:tab w:val="right" w:leader="dot" w:pos="9346"/>
            </w:tabs>
            <w:spacing w:line="480" w:lineRule="auto"/>
            <w:rPr>
              <w:rFonts w:ascii="方正仿宋_GB2312" w:eastAsia="方正仿宋_GB2312" w:hAnsi="方正仿宋_GB2312" w:cs="方正仿宋_GB2312"/>
              <w:sz w:val="24"/>
              <w:szCs w:val="24"/>
            </w:rPr>
          </w:pPr>
          <w:hyperlink w:anchor="_Toc4870" w:history="1">
            <w:r>
              <w:rPr>
                <w:rFonts w:ascii="方正仿宋_GB2312" w:eastAsia="方正仿宋_GB2312" w:hAnsi="方正仿宋_GB2312" w:cs="方正仿宋_GB2312" w:hint="eastAsia"/>
                <w:bCs/>
                <w:sz w:val="24"/>
                <w:szCs w:val="32"/>
              </w:rPr>
              <w:t xml:space="preserve">3 </w:t>
            </w:r>
            <w:r>
              <w:rPr>
                <w:rFonts w:ascii="方正仿宋_GB2312" w:eastAsia="方正仿宋_GB2312" w:hAnsi="方正仿宋_GB2312" w:cs="方正仿宋_GB2312" w:hint="eastAsia"/>
                <w:bCs/>
                <w:sz w:val="24"/>
                <w:szCs w:val="32"/>
              </w:rPr>
              <w:t>术语和定义</w:t>
            </w:r>
            <w:r>
              <w:rPr>
                <w:rFonts w:ascii="方正仿宋_GB2312" w:eastAsia="方正仿宋_GB2312" w:hAnsi="方正仿宋_GB2312" w:cs="方正仿宋_GB2312" w:hint="eastAsia"/>
                <w:sz w:val="24"/>
                <w:szCs w:val="24"/>
              </w:rPr>
              <w:tab/>
            </w:r>
            <w:r>
              <w:rPr>
                <w:rFonts w:ascii="方正仿宋_GB2312" w:eastAsia="方正仿宋_GB2312" w:hAnsi="方正仿宋_GB2312" w:cs="方正仿宋_GB2312" w:hint="eastAsia"/>
                <w:sz w:val="24"/>
                <w:szCs w:val="24"/>
              </w:rPr>
              <w:fldChar w:fldCharType="begin"/>
            </w:r>
            <w:r>
              <w:rPr>
                <w:rFonts w:ascii="方正仿宋_GB2312" w:eastAsia="方正仿宋_GB2312" w:hAnsi="方正仿宋_GB2312" w:cs="方正仿宋_GB2312" w:hint="eastAsia"/>
                <w:sz w:val="24"/>
                <w:szCs w:val="24"/>
              </w:rPr>
              <w:instrText xml:space="preserve"> PAGEREF _Toc4870 \h </w:instrText>
            </w:r>
            <w:r>
              <w:rPr>
                <w:rFonts w:ascii="方正仿宋_GB2312" w:eastAsia="方正仿宋_GB2312" w:hAnsi="方正仿宋_GB2312" w:cs="方正仿宋_GB2312" w:hint="eastAsia"/>
                <w:sz w:val="24"/>
                <w:szCs w:val="24"/>
              </w:rPr>
            </w:r>
            <w:r>
              <w:rPr>
                <w:rFonts w:ascii="方正仿宋_GB2312" w:eastAsia="方正仿宋_GB2312" w:hAnsi="方正仿宋_GB2312" w:cs="方正仿宋_GB2312" w:hint="eastAsia"/>
                <w:sz w:val="24"/>
                <w:szCs w:val="24"/>
              </w:rPr>
              <w:fldChar w:fldCharType="separate"/>
            </w:r>
            <w:r>
              <w:rPr>
                <w:rFonts w:ascii="方正仿宋_GB2312" w:eastAsia="方正仿宋_GB2312" w:hAnsi="方正仿宋_GB2312" w:cs="方正仿宋_GB2312" w:hint="eastAsia"/>
                <w:sz w:val="24"/>
                <w:szCs w:val="24"/>
              </w:rPr>
              <w:t>3</w:t>
            </w:r>
            <w:r>
              <w:rPr>
                <w:rFonts w:ascii="方正仿宋_GB2312" w:eastAsia="方正仿宋_GB2312" w:hAnsi="方正仿宋_GB2312" w:cs="方正仿宋_GB2312" w:hint="eastAsia"/>
                <w:sz w:val="24"/>
                <w:szCs w:val="24"/>
              </w:rPr>
              <w:fldChar w:fldCharType="end"/>
            </w:r>
          </w:hyperlink>
        </w:p>
        <w:p w:rsidR="006D632C" w:rsidRDefault="005E2CB3">
          <w:pPr>
            <w:pStyle w:val="10"/>
            <w:tabs>
              <w:tab w:val="right" w:leader="dot" w:pos="9346"/>
            </w:tabs>
            <w:spacing w:line="480" w:lineRule="auto"/>
            <w:rPr>
              <w:rFonts w:ascii="方正仿宋_GB2312" w:eastAsia="方正仿宋_GB2312" w:hAnsi="方正仿宋_GB2312" w:cs="方正仿宋_GB2312"/>
              <w:sz w:val="24"/>
              <w:szCs w:val="24"/>
            </w:rPr>
          </w:pPr>
          <w:hyperlink w:anchor="_Toc15633" w:history="1">
            <w:r>
              <w:rPr>
                <w:rFonts w:ascii="方正仿宋_GB2312" w:eastAsia="方正仿宋_GB2312" w:hAnsi="方正仿宋_GB2312" w:cs="方正仿宋_GB2312" w:hint="eastAsia"/>
                <w:bCs/>
                <w:sz w:val="24"/>
                <w:szCs w:val="32"/>
              </w:rPr>
              <w:t xml:space="preserve">4 </w:t>
            </w:r>
            <w:r>
              <w:rPr>
                <w:rFonts w:ascii="方正仿宋_GB2312" w:eastAsia="方正仿宋_GB2312" w:hAnsi="方正仿宋_GB2312" w:cs="方正仿宋_GB2312" w:hint="eastAsia"/>
                <w:bCs/>
                <w:sz w:val="24"/>
                <w:szCs w:val="32"/>
              </w:rPr>
              <w:t>总则</w:t>
            </w:r>
            <w:r>
              <w:rPr>
                <w:rFonts w:ascii="方正仿宋_GB2312" w:eastAsia="方正仿宋_GB2312" w:hAnsi="方正仿宋_GB2312" w:cs="方正仿宋_GB2312" w:hint="eastAsia"/>
                <w:sz w:val="24"/>
                <w:szCs w:val="24"/>
              </w:rPr>
              <w:tab/>
            </w:r>
            <w:r>
              <w:rPr>
                <w:rFonts w:ascii="方正仿宋_GB2312" w:eastAsia="方正仿宋_GB2312" w:hAnsi="方正仿宋_GB2312" w:cs="方正仿宋_GB2312" w:hint="eastAsia"/>
                <w:sz w:val="24"/>
                <w:szCs w:val="24"/>
              </w:rPr>
              <w:fldChar w:fldCharType="begin"/>
            </w:r>
            <w:r>
              <w:rPr>
                <w:rFonts w:ascii="方正仿宋_GB2312" w:eastAsia="方正仿宋_GB2312" w:hAnsi="方正仿宋_GB2312" w:cs="方正仿宋_GB2312" w:hint="eastAsia"/>
                <w:sz w:val="24"/>
                <w:szCs w:val="24"/>
              </w:rPr>
              <w:instrText xml:space="preserve"> PAGEREF _Toc15633 \h </w:instrText>
            </w:r>
            <w:r>
              <w:rPr>
                <w:rFonts w:ascii="方正仿宋_GB2312" w:eastAsia="方正仿宋_GB2312" w:hAnsi="方正仿宋_GB2312" w:cs="方正仿宋_GB2312" w:hint="eastAsia"/>
                <w:sz w:val="24"/>
                <w:szCs w:val="24"/>
              </w:rPr>
            </w:r>
            <w:r>
              <w:rPr>
                <w:rFonts w:ascii="方正仿宋_GB2312" w:eastAsia="方正仿宋_GB2312" w:hAnsi="方正仿宋_GB2312" w:cs="方正仿宋_GB2312" w:hint="eastAsia"/>
                <w:sz w:val="24"/>
                <w:szCs w:val="24"/>
              </w:rPr>
              <w:fldChar w:fldCharType="separate"/>
            </w:r>
            <w:r>
              <w:rPr>
                <w:rFonts w:ascii="方正仿宋_GB2312" w:eastAsia="方正仿宋_GB2312" w:hAnsi="方正仿宋_GB2312" w:cs="方正仿宋_GB2312" w:hint="eastAsia"/>
                <w:sz w:val="24"/>
                <w:szCs w:val="24"/>
              </w:rPr>
              <w:t>4</w:t>
            </w:r>
            <w:r>
              <w:rPr>
                <w:rFonts w:ascii="方正仿宋_GB2312" w:eastAsia="方正仿宋_GB2312" w:hAnsi="方正仿宋_GB2312" w:cs="方正仿宋_GB2312" w:hint="eastAsia"/>
                <w:sz w:val="24"/>
                <w:szCs w:val="24"/>
              </w:rPr>
              <w:fldChar w:fldCharType="end"/>
            </w:r>
          </w:hyperlink>
        </w:p>
        <w:p w:rsidR="006D632C" w:rsidRDefault="005E2CB3">
          <w:pPr>
            <w:pStyle w:val="10"/>
            <w:tabs>
              <w:tab w:val="right" w:leader="dot" w:pos="9346"/>
            </w:tabs>
            <w:spacing w:line="480" w:lineRule="auto"/>
            <w:rPr>
              <w:rFonts w:ascii="方正仿宋_GB2312" w:eastAsia="方正仿宋_GB2312" w:hAnsi="方正仿宋_GB2312" w:cs="方正仿宋_GB2312"/>
              <w:sz w:val="24"/>
              <w:szCs w:val="24"/>
            </w:rPr>
          </w:pPr>
          <w:hyperlink w:anchor="_Toc8687" w:history="1">
            <w:r>
              <w:rPr>
                <w:rFonts w:ascii="方正仿宋_GB2312" w:eastAsia="方正仿宋_GB2312" w:hAnsi="方正仿宋_GB2312" w:cs="方正仿宋_GB2312" w:hint="eastAsia"/>
                <w:bCs/>
                <w:sz w:val="24"/>
                <w:szCs w:val="32"/>
              </w:rPr>
              <w:t xml:space="preserve">5 </w:t>
            </w:r>
            <w:r>
              <w:rPr>
                <w:rFonts w:ascii="方正仿宋_GB2312" w:eastAsia="方正仿宋_GB2312" w:hAnsi="方正仿宋_GB2312" w:cs="方正仿宋_GB2312" w:hint="eastAsia"/>
                <w:bCs/>
                <w:sz w:val="24"/>
                <w:szCs w:val="32"/>
              </w:rPr>
              <w:t>基本要求</w:t>
            </w:r>
            <w:r>
              <w:rPr>
                <w:rFonts w:ascii="方正仿宋_GB2312" w:eastAsia="方正仿宋_GB2312" w:hAnsi="方正仿宋_GB2312" w:cs="方正仿宋_GB2312" w:hint="eastAsia"/>
                <w:sz w:val="24"/>
                <w:szCs w:val="24"/>
              </w:rPr>
              <w:tab/>
            </w:r>
            <w:r>
              <w:rPr>
                <w:rFonts w:ascii="方正仿宋_GB2312" w:eastAsia="方正仿宋_GB2312" w:hAnsi="方正仿宋_GB2312" w:cs="方正仿宋_GB2312" w:hint="eastAsia"/>
                <w:sz w:val="24"/>
                <w:szCs w:val="24"/>
              </w:rPr>
              <w:fldChar w:fldCharType="begin"/>
            </w:r>
            <w:r>
              <w:rPr>
                <w:rFonts w:ascii="方正仿宋_GB2312" w:eastAsia="方正仿宋_GB2312" w:hAnsi="方正仿宋_GB2312" w:cs="方正仿宋_GB2312" w:hint="eastAsia"/>
                <w:sz w:val="24"/>
                <w:szCs w:val="24"/>
              </w:rPr>
              <w:instrText xml:space="preserve"> PAGEREF _Toc8687 \h </w:instrText>
            </w:r>
            <w:r>
              <w:rPr>
                <w:rFonts w:ascii="方正仿宋_GB2312" w:eastAsia="方正仿宋_GB2312" w:hAnsi="方正仿宋_GB2312" w:cs="方正仿宋_GB2312" w:hint="eastAsia"/>
                <w:sz w:val="24"/>
                <w:szCs w:val="24"/>
              </w:rPr>
            </w:r>
            <w:r>
              <w:rPr>
                <w:rFonts w:ascii="方正仿宋_GB2312" w:eastAsia="方正仿宋_GB2312" w:hAnsi="方正仿宋_GB2312" w:cs="方正仿宋_GB2312" w:hint="eastAsia"/>
                <w:sz w:val="24"/>
                <w:szCs w:val="24"/>
              </w:rPr>
              <w:fldChar w:fldCharType="separate"/>
            </w:r>
            <w:r>
              <w:rPr>
                <w:rFonts w:ascii="方正仿宋_GB2312" w:eastAsia="方正仿宋_GB2312" w:hAnsi="方正仿宋_GB2312" w:cs="方正仿宋_GB2312" w:hint="eastAsia"/>
                <w:sz w:val="24"/>
                <w:szCs w:val="24"/>
              </w:rPr>
              <w:t>5</w:t>
            </w:r>
            <w:r>
              <w:rPr>
                <w:rFonts w:ascii="方正仿宋_GB2312" w:eastAsia="方正仿宋_GB2312" w:hAnsi="方正仿宋_GB2312" w:cs="方正仿宋_GB2312" w:hint="eastAsia"/>
                <w:sz w:val="24"/>
                <w:szCs w:val="24"/>
              </w:rPr>
              <w:fldChar w:fldCharType="end"/>
            </w:r>
          </w:hyperlink>
        </w:p>
        <w:p w:rsidR="006D632C" w:rsidRDefault="005E2CB3">
          <w:pPr>
            <w:pStyle w:val="10"/>
            <w:tabs>
              <w:tab w:val="right" w:leader="dot" w:pos="9346"/>
            </w:tabs>
            <w:spacing w:line="480" w:lineRule="auto"/>
            <w:rPr>
              <w:rFonts w:ascii="方正仿宋_GB2312" w:eastAsia="方正仿宋_GB2312" w:hAnsi="方正仿宋_GB2312" w:cs="方正仿宋_GB2312"/>
              <w:sz w:val="24"/>
              <w:szCs w:val="24"/>
            </w:rPr>
          </w:pPr>
          <w:hyperlink w:anchor="_Toc17027" w:history="1">
            <w:r>
              <w:rPr>
                <w:rFonts w:ascii="方正仿宋_GB2312" w:eastAsia="方正仿宋_GB2312" w:hAnsi="方正仿宋_GB2312" w:cs="方正仿宋_GB2312" w:hint="eastAsia"/>
                <w:bCs/>
                <w:sz w:val="24"/>
                <w:szCs w:val="32"/>
              </w:rPr>
              <w:t xml:space="preserve">6 </w:t>
            </w:r>
            <w:r>
              <w:rPr>
                <w:rFonts w:ascii="方正仿宋_GB2312" w:eastAsia="方正仿宋_GB2312" w:hAnsi="方正仿宋_GB2312" w:cs="方正仿宋_GB2312" w:hint="eastAsia"/>
                <w:bCs/>
                <w:sz w:val="24"/>
                <w:szCs w:val="32"/>
              </w:rPr>
              <w:t>评估指标体系</w:t>
            </w:r>
            <w:r>
              <w:rPr>
                <w:rFonts w:ascii="方正仿宋_GB2312" w:eastAsia="方正仿宋_GB2312" w:hAnsi="方正仿宋_GB2312" w:cs="方正仿宋_GB2312" w:hint="eastAsia"/>
                <w:sz w:val="24"/>
                <w:szCs w:val="24"/>
              </w:rPr>
              <w:tab/>
            </w:r>
            <w:r>
              <w:rPr>
                <w:rFonts w:ascii="方正仿宋_GB2312" w:eastAsia="方正仿宋_GB2312" w:hAnsi="方正仿宋_GB2312" w:cs="方正仿宋_GB2312" w:hint="eastAsia"/>
                <w:sz w:val="24"/>
                <w:szCs w:val="24"/>
              </w:rPr>
              <w:fldChar w:fldCharType="begin"/>
            </w:r>
            <w:r>
              <w:rPr>
                <w:rFonts w:ascii="方正仿宋_GB2312" w:eastAsia="方正仿宋_GB2312" w:hAnsi="方正仿宋_GB2312" w:cs="方正仿宋_GB2312" w:hint="eastAsia"/>
                <w:sz w:val="24"/>
                <w:szCs w:val="24"/>
              </w:rPr>
              <w:instrText xml:space="preserve"> PAGEREF _Toc17027 \h </w:instrText>
            </w:r>
            <w:r>
              <w:rPr>
                <w:rFonts w:ascii="方正仿宋_GB2312" w:eastAsia="方正仿宋_GB2312" w:hAnsi="方正仿宋_GB2312" w:cs="方正仿宋_GB2312" w:hint="eastAsia"/>
                <w:sz w:val="24"/>
                <w:szCs w:val="24"/>
              </w:rPr>
            </w:r>
            <w:r>
              <w:rPr>
                <w:rFonts w:ascii="方正仿宋_GB2312" w:eastAsia="方正仿宋_GB2312" w:hAnsi="方正仿宋_GB2312" w:cs="方正仿宋_GB2312" w:hint="eastAsia"/>
                <w:sz w:val="24"/>
                <w:szCs w:val="24"/>
              </w:rPr>
              <w:fldChar w:fldCharType="separate"/>
            </w:r>
            <w:r>
              <w:rPr>
                <w:rFonts w:ascii="方正仿宋_GB2312" w:eastAsia="方正仿宋_GB2312" w:hAnsi="方正仿宋_GB2312" w:cs="方正仿宋_GB2312" w:hint="eastAsia"/>
                <w:sz w:val="24"/>
                <w:szCs w:val="24"/>
              </w:rPr>
              <w:t>6</w:t>
            </w:r>
            <w:r>
              <w:rPr>
                <w:rFonts w:ascii="方正仿宋_GB2312" w:eastAsia="方正仿宋_GB2312" w:hAnsi="方正仿宋_GB2312" w:cs="方正仿宋_GB2312" w:hint="eastAsia"/>
                <w:sz w:val="24"/>
                <w:szCs w:val="24"/>
              </w:rPr>
              <w:fldChar w:fldCharType="end"/>
            </w:r>
          </w:hyperlink>
        </w:p>
        <w:p w:rsidR="006D632C" w:rsidRDefault="005E2CB3">
          <w:pPr>
            <w:pStyle w:val="10"/>
            <w:tabs>
              <w:tab w:val="right" w:leader="dot" w:pos="9346"/>
            </w:tabs>
            <w:spacing w:line="480" w:lineRule="auto"/>
            <w:rPr>
              <w:rFonts w:ascii="方正仿宋_GB2312" w:eastAsia="方正仿宋_GB2312" w:hAnsi="方正仿宋_GB2312" w:cs="方正仿宋_GB2312"/>
              <w:sz w:val="24"/>
              <w:szCs w:val="24"/>
            </w:rPr>
          </w:pPr>
          <w:hyperlink w:anchor="_Toc19114" w:history="1">
            <w:r>
              <w:rPr>
                <w:rFonts w:ascii="方正仿宋_GB2312" w:eastAsia="方正仿宋_GB2312" w:hAnsi="方正仿宋_GB2312" w:cs="方正仿宋_GB2312" w:hint="eastAsia"/>
                <w:bCs/>
                <w:sz w:val="24"/>
                <w:szCs w:val="32"/>
              </w:rPr>
              <w:t xml:space="preserve">7 </w:t>
            </w:r>
            <w:r>
              <w:rPr>
                <w:rFonts w:ascii="方正仿宋_GB2312" w:eastAsia="方正仿宋_GB2312" w:hAnsi="方正仿宋_GB2312" w:cs="方正仿宋_GB2312" w:hint="eastAsia"/>
                <w:bCs/>
                <w:sz w:val="24"/>
                <w:szCs w:val="32"/>
              </w:rPr>
              <w:t>评估方法  </w:t>
            </w:r>
            <w:r>
              <w:rPr>
                <w:rFonts w:ascii="方正仿宋_GB2312" w:eastAsia="方正仿宋_GB2312" w:hAnsi="方正仿宋_GB2312" w:cs="方正仿宋_GB2312" w:hint="eastAsia"/>
                <w:sz w:val="24"/>
                <w:szCs w:val="24"/>
              </w:rPr>
              <w:tab/>
            </w:r>
            <w:r>
              <w:rPr>
                <w:rFonts w:ascii="方正仿宋_GB2312" w:eastAsia="方正仿宋_GB2312" w:hAnsi="方正仿宋_GB2312" w:cs="方正仿宋_GB2312" w:hint="eastAsia"/>
                <w:sz w:val="24"/>
                <w:szCs w:val="24"/>
              </w:rPr>
              <w:fldChar w:fldCharType="begin"/>
            </w:r>
            <w:r>
              <w:rPr>
                <w:rFonts w:ascii="方正仿宋_GB2312" w:eastAsia="方正仿宋_GB2312" w:hAnsi="方正仿宋_GB2312" w:cs="方正仿宋_GB2312" w:hint="eastAsia"/>
                <w:sz w:val="24"/>
                <w:szCs w:val="24"/>
              </w:rPr>
              <w:instrText xml:space="preserve"> PAGEREF _Toc19114 \h </w:instrText>
            </w:r>
            <w:r>
              <w:rPr>
                <w:rFonts w:ascii="方正仿宋_GB2312" w:eastAsia="方正仿宋_GB2312" w:hAnsi="方正仿宋_GB2312" w:cs="方正仿宋_GB2312" w:hint="eastAsia"/>
                <w:sz w:val="24"/>
                <w:szCs w:val="24"/>
              </w:rPr>
            </w:r>
            <w:r>
              <w:rPr>
                <w:rFonts w:ascii="方正仿宋_GB2312" w:eastAsia="方正仿宋_GB2312" w:hAnsi="方正仿宋_GB2312" w:cs="方正仿宋_GB2312" w:hint="eastAsia"/>
                <w:sz w:val="24"/>
                <w:szCs w:val="24"/>
              </w:rPr>
              <w:fldChar w:fldCharType="separate"/>
            </w:r>
            <w:r>
              <w:rPr>
                <w:rFonts w:ascii="方正仿宋_GB2312" w:eastAsia="方正仿宋_GB2312" w:hAnsi="方正仿宋_GB2312" w:cs="方正仿宋_GB2312" w:hint="eastAsia"/>
                <w:sz w:val="24"/>
                <w:szCs w:val="24"/>
              </w:rPr>
              <w:t>8</w:t>
            </w:r>
            <w:r>
              <w:rPr>
                <w:rFonts w:ascii="方正仿宋_GB2312" w:eastAsia="方正仿宋_GB2312" w:hAnsi="方正仿宋_GB2312" w:cs="方正仿宋_GB2312" w:hint="eastAsia"/>
                <w:sz w:val="24"/>
                <w:szCs w:val="24"/>
              </w:rPr>
              <w:fldChar w:fldCharType="end"/>
            </w:r>
          </w:hyperlink>
        </w:p>
        <w:p w:rsidR="006D632C" w:rsidRDefault="005E2CB3">
          <w:pPr>
            <w:pStyle w:val="10"/>
            <w:tabs>
              <w:tab w:val="right" w:leader="dot" w:pos="9346"/>
            </w:tabs>
            <w:spacing w:line="480" w:lineRule="auto"/>
          </w:pPr>
          <w:hyperlink w:anchor="_Toc11837" w:history="1">
            <w:r>
              <w:rPr>
                <w:rFonts w:ascii="方正仿宋_GB2312" w:eastAsia="方正仿宋_GB2312" w:hAnsi="方正仿宋_GB2312" w:cs="方正仿宋_GB2312" w:hint="eastAsia"/>
                <w:bCs/>
                <w:sz w:val="24"/>
                <w:szCs w:val="32"/>
              </w:rPr>
              <w:t xml:space="preserve">8 </w:t>
            </w:r>
            <w:r>
              <w:rPr>
                <w:rFonts w:ascii="方正仿宋_GB2312" w:eastAsia="方正仿宋_GB2312" w:hAnsi="方正仿宋_GB2312" w:cs="方正仿宋_GB2312" w:hint="eastAsia"/>
                <w:bCs/>
                <w:sz w:val="24"/>
                <w:szCs w:val="32"/>
              </w:rPr>
              <w:t>评估程序  </w:t>
            </w:r>
            <w:r>
              <w:rPr>
                <w:rFonts w:ascii="方正仿宋_GB2312" w:eastAsia="方正仿宋_GB2312" w:hAnsi="方正仿宋_GB2312" w:cs="方正仿宋_GB2312" w:hint="eastAsia"/>
                <w:sz w:val="24"/>
                <w:szCs w:val="24"/>
              </w:rPr>
              <w:tab/>
            </w:r>
            <w:r>
              <w:rPr>
                <w:rFonts w:ascii="方正仿宋_GB2312" w:eastAsia="方正仿宋_GB2312" w:hAnsi="方正仿宋_GB2312" w:cs="方正仿宋_GB2312" w:hint="eastAsia"/>
                <w:sz w:val="24"/>
                <w:szCs w:val="24"/>
              </w:rPr>
              <w:fldChar w:fldCharType="begin"/>
            </w:r>
            <w:r>
              <w:rPr>
                <w:rFonts w:ascii="方正仿宋_GB2312" w:eastAsia="方正仿宋_GB2312" w:hAnsi="方正仿宋_GB2312" w:cs="方正仿宋_GB2312" w:hint="eastAsia"/>
                <w:sz w:val="24"/>
                <w:szCs w:val="24"/>
              </w:rPr>
              <w:instrText xml:space="preserve"> PAGEREF _Toc11837 \h </w:instrText>
            </w:r>
            <w:r>
              <w:rPr>
                <w:rFonts w:ascii="方正仿宋_GB2312" w:eastAsia="方正仿宋_GB2312" w:hAnsi="方正仿宋_GB2312" w:cs="方正仿宋_GB2312" w:hint="eastAsia"/>
                <w:sz w:val="24"/>
                <w:szCs w:val="24"/>
              </w:rPr>
            </w:r>
            <w:r>
              <w:rPr>
                <w:rFonts w:ascii="方正仿宋_GB2312" w:eastAsia="方正仿宋_GB2312" w:hAnsi="方正仿宋_GB2312" w:cs="方正仿宋_GB2312" w:hint="eastAsia"/>
                <w:sz w:val="24"/>
                <w:szCs w:val="24"/>
              </w:rPr>
              <w:fldChar w:fldCharType="separate"/>
            </w:r>
            <w:r>
              <w:rPr>
                <w:rFonts w:ascii="方正仿宋_GB2312" w:eastAsia="方正仿宋_GB2312" w:hAnsi="方正仿宋_GB2312" w:cs="方正仿宋_GB2312" w:hint="eastAsia"/>
                <w:sz w:val="24"/>
                <w:szCs w:val="24"/>
              </w:rPr>
              <w:t>12</w:t>
            </w:r>
            <w:r>
              <w:rPr>
                <w:rFonts w:ascii="方正仿宋_GB2312" w:eastAsia="方正仿宋_GB2312" w:hAnsi="方正仿宋_GB2312" w:cs="方正仿宋_GB2312" w:hint="eastAsia"/>
                <w:sz w:val="24"/>
                <w:szCs w:val="24"/>
              </w:rPr>
              <w:fldChar w:fldCharType="end"/>
            </w:r>
          </w:hyperlink>
        </w:p>
        <w:p w:rsidR="006D632C" w:rsidRDefault="005E2CB3">
          <w:pPr>
            <w:pStyle w:val="affffff7"/>
            <w:spacing w:before="0" w:afterLines="0" w:after="0" w:line="480" w:lineRule="auto"/>
            <w:jc w:val="both"/>
          </w:pPr>
          <w:r>
            <w:rPr>
              <w:rFonts w:ascii="方正仿宋_GB2312" w:eastAsia="方正仿宋_GB2312" w:hAnsi="方正仿宋_GB2312" w:cs="方正仿宋_GB2312" w:hint="eastAsia"/>
              <w:szCs w:val="28"/>
            </w:rPr>
            <w:fldChar w:fldCharType="end"/>
          </w:r>
        </w:p>
      </w:sdtContent>
    </w:sdt>
    <w:p w:rsidR="006D632C" w:rsidRDefault="005E2CB3">
      <w:pPr>
        <w:pStyle w:val="afffff2"/>
        <w:spacing w:line="360" w:lineRule="auto"/>
        <w:ind w:firstLine="420"/>
        <w:jc w:val="center"/>
      </w:pPr>
      <w:r>
        <w:br w:type="page"/>
      </w:r>
    </w:p>
    <w:bookmarkStart w:id="21" w:name="_Toc4836" w:displacedByCustomXml="next"/>
    <w:sdt>
      <w:sdtPr>
        <w:rPr>
          <w:rFonts w:ascii="黑体" w:eastAsia="黑体" w:hAnsi="黑体" w:cs="黑体" w:hint="eastAsia"/>
          <w:sz w:val="32"/>
          <w:szCs w:val="32"/>
          <w:lang w:eastAsia="zh-Hans"/>
        </w:rPr>
        <w:tag w:val="NEW_STAND_NAME"/>
        <w:id w:val="595910757"/>
        <w:lock w:val="sdtLocked"/>
        <w:placeholder>
          <w:docPart w:val="{7cb0e3cb-86bd-4387-b327-5fb182801c8d}"/>
        </w:placeholder>
      </w:sdtPr>
      <w:sdtEndPr/>
      <w:sdtContent>
        <w:p w:rsidR="006D632C" w:rsidRDefault="005E2CB3">
          <w:pPr>
            <w:pStyle w:val="afffff2"/>
            <w:spacing w:line="360" w:lineRule="auto"/>
            <w:ind w:firstLine="640"/>
            <w:jc w:val="center"/>
            <w:outlineLvl w:val="0"/>
            <w:rPr>
              <w:rFonts w:ascii="黑体" w:eastAsia="黑体" w:hAnsi="黑体" w:cs="黑体"/>
              <w:sz w:val="32"/>
              <w:szCs w:val="32"/>
            </w:rPr>
          </w:pPr>
          <w:r>
            <w:rPr>
              <w:rFonts w:ascii="黑体" w:eastAsia="黑体" w:hAnsi="黑体" w:cs="黑体" w:hint="eastAsia"/>
              <w:sz w:val="32"/>
              <w:szCs w:val="32"/>
            </w:rPr>
            <w:t>前</w:t>
          </w:r>
          <w:r>
            <w:rPr>
              <w:rFonts w:ascii="黑体" w:eastAsia="黑体" w:hAnsi="黑体" w:cs="黑体" w:hint="eastAsia"/>
              <w:sz w:val="32"/>
              <w:szCs w:val="32"/>
            </w:rPr>
            <w:t xml:space="preserve">     </w:t>
          </w:r>
          <w:r>
            <w:rPr>
              <w:rFonts w:ascii="黑体" w:eastAsia="黑体" w:hAnsi="黑体" w:cs="黑体" w:hint="eastAsia"/>
              <w:sz w:val="32"/>
              <w:szCs w:val="32"/>
            </w:rPr>
            <w:t>言</w:t>
          </w:r>
          <w:bookmarkEnd w:id="21"/>
        </w:p>
        <w:p w:rsidR="006D632C" w:rsidRDefault="005E2CB3">
          <w:pPr>
            <w:pStyle w:val="afffff2"/>
            <w:spacing w:line="360" w:lineRule="auto"/>
            <w:ind w:firstLine="640"/>
            <w:jc w:val="center"/>
          </w:pPr>
        </w:p>
      </w:sdtContent>
    </w:sdt>
    <w:p w:rsidR="006D632C" w:rsidRDefault="005E2CB3">
      <w:pPr>
        <w:pStyle w:val="afffff2"/>
        <w:spacing w:line="360" w:lineRule="auto"/>
        <w:ind w:firstLine="480"/>
        <w:rPr>
          <w:rFonts w:ascii="方正仿宋_GB2312" w:eastAsia="方正仿宋_GB2312" w:hAnsi="方正仿宋_GB2312" w:cs="方正仿宋_GB2312"/>
          <w:sz w:val="24"/>
          <w:szCs w:val="24"/>
          <w:lang w:bidi="ar"/>
        </w:rPr>
      </w:pPr>
      <w:r>
        <w:rPr>
          <w:rFonts w:ascii="方正仿宋_GB2312" w:eastAsia="方正仿宋_GB2312" w:hAnsi="方正仿宋_GB2312" w:cs="方正仿宋_GB2312" w:hint="eastAsia"/>
          <w:sz w:val="24"/>
          <w:szCs w:val="24"/>
          <w:lang w:bidi="ar"/>
        </w:rPr>
        <w:t>本文件按照</w:t>
      </w:r>
      <w:bookmarkStart w:id="22" w:name="OLE_LINK2"/>
      <w:r>
        <w:rPr>
          <w:rFonts w:ascii="方正仿宋_GB2312" w:eastAsia="方正仿宋_GB2312" w:hAnsi="方正仿宋_GB2312" w:cs="方正仿宋_GB2312" w:hint="eastAsia"/>
          <w:sz w:val="24"/>
          <w:szCs w:val="24"/>
          <w:lang w:bidi="ar"/>
        </w:rPr>
        <w:t>GB/T1.1-2020</w:t>
      </w:r>
      <w:bookmarkEnd w:id="22"/>
      <w:r>
        <w:rPr>
          <w:rFonts w:ascii="方正仿宋_GB2312" w:eastAsia="方正仿宋_GB2312" w:hAnsi="方正仿宋_GB2312" w:cs="方正仿宋_GB2312" w:hint="eastAsia"/>
          <w:sz w:val="24"/>
          <w:szCs w:val="24"/>
          <w:lang w:bidi="ar"/>
        </w:rPr>
        <w:t>《标准化工作导则第</w:t>
      </w:r>
      <w:r>
        <w:rPr>
          <w:rFonts w:ascii="方正仿宋_GB2312" w:eastAsia="方正仿宋_GB2312" w:hAnsi="方正仿宋_GB2312" w:cs="方正仿宋_GB2312" w:hint="eastAsia"/>
          <w:sz w:val="24"/>
          <w:szCs w:val="24"/>
          <w:lang w:bidi="ar"/>
        </w:rPr>
        <w:t>1</w:t>
      </w:r>
      <w:r>
        <w:rPr>
          <w:rFonts w:ascii="方正仿宋_GB2312" w:eastAsia="方正仿宋_GB2312" w:hAnsi="方正仿宋_GB2312" w:cs="方正仿宋_GB2312" w:hint="eastAsia"/>
          <w:sz w:val="24"/>
          <w:szCs w:val="24"/>
          <w:lang w:bidi="ar"/>
        </w:rPr>
        <w:t>部分：标准化文件的结构和起草规则》的规定起草。</w:t>
      </w:r>
    </w:p>
    <w:p w:rsidR="006D632C" w:rsidRDefault="005E2CB3">
      <w:pPr>
        <w:pStyle w:val="afffff2"/>
        <w:spacing w:line="360" w:lineRule="auto"/>
        <w:ind w:firstLine="480"/>
        <w:rPr>
          <w:rFonts w:ascii="方正仿宋_GB2312" w:eastAsia="方正仿宋_GB2312" w:hAnsi="方正仿宋_GB2312" w:cs="方正仿宋_GB2312"/>
          <w:sz w:val="24"/>
          <w:szCs w:val="24"/>
          <w:lang w:bidi="ar"/>
        </w:rPr>
      </w:pPr>
      <w:r>
        <w:rPr>
          <w:rFonts w:ascii="方正仿宋_GB2312" w:eastAsia="方正仿宋_GB2312" w:hAnsi="方正仿宋_GB2312" w:cs="方正仿宋_GB2312" w:hint="eastAsia"/>
          <w:sz w:val="24"/>
          <w:szCs w:val="24"/>
          <w:lang w:bidi="ar"/>
        </w:rPr>
        <w:t>本文件由安徽省产品质量监督检验研究院提出。</w:t>
      </w:r>
    </w:p>
    <w:p w:rsidR="006D632C" w:rsidRDefault="005E2CB3">
      <w:pPr>
        <w:pStyle w:val="afffff2"/>
        <w:spacing w:line="360" w:lineRule="auto"/>
        <w:ind w:firstLine="480"/>
        <w:rPr>
          <w:rFonts w:ascii="方正仿宋_GB2312" w:eastAsia="方正仿宋_GB2312" w:hAnsi="方正仿宋_GB2312" w:cs="方正仿宋_GB2312"/>
          <w:sz w:val="24"/>
          <w:szCs w:val="24"/>
          <w:lang w:bidi="ar"/>
        </w:rPr>
      </w:pPr>
      <w:r>
        <w:rPr>
          <w:rFonts w:ascii="方正仿宋_GB2312" w:eastAsia="方正仿宋_GB2312" w:hAnsi="方正仿宋_GB2312" w:cs="方正仿宋_GB2312" w:hint="eastAsia"/>
          <w:sz w:val="24"/>
          <w:szCs w:val="24"/>
          <w:lang w:bidi="ar"/>
        </w:rPr>
        <w:t>本文件由安徽省市场监督管理局归口。</w:t>
      </w:r>
    </w:p>
    <w:p w:rsidR="006D632C" w:rsidRDefault="005E2CB3">
      <w:pPr>
        <w:pStyle w:val="afffff2"/>
        <w:spacing w:line="360" w:lineRule="auto"/>
        <w:ind w:firstLine="480"/>
        <w:rPr>
          <w:rFonts w:ascii="方正仿宋_GB2312" w:eastAsia="方正仿宋_GB2312" w:hAnsi="方正仿宋_GB2312" w:cs="方正仿宋_GB2312"/>
          <w:sz w:val="24"/>
          <w:szCs w:val="24"/>
          <w:lang w:bidi="ar"/>
        </w:rPr>
      </w:pPr>
      <w:r>
        <w:rPr>
          <w:rFonts w:ascii="方正仿宋_GB2312" w:eastAsia="方正仿宋_GB2312" w:hAnsi="方正仿宋_GB2312" w:cs="方正仿宋_GB2312" w:hint="eastAsia"/>
          <w:sz w:val="24"/>
          <w:szCs w:val="24"/>
          <w:lang w:bidi="ar"/>
        </w:rPr>
        <w:t>本文件起草单位：</w:t>
      </w:r>
    </w:p>
    <w:p w:rsidR="006D632C" w:rsidRDefault="005E2CB3">
      <w:pPr>
        <w:pStyle w:val="afffff2"/>
        <w:spacing w:line="360" w:lineRule="auto"/>
        <w:ind w:firstLine="480"/>
        <w:rPr>
          <w:rFonts w:ascii="方正仿宋_GB2312" w:eastAsia="方正仿宋_GB2312" w:hAnsi="方正仿宋_GB2312" w:cs="方正仿宋_GB2312"/>
          <w:sz w:val="24"/>
          <w:szCs w:val="24"/>
          <w:lang w:bidi="ar"/>
        </w:rPr>
      </w:pPr>
      <w:r>
        <w:rPr>
          <w:rFonts w:ascii="方正仿宋_GB2312" w:eastAsia="方正仿宋_GB2312" w:hAnsi="方正仿宋_GB2312" w:cs="方正仿宋_GB2312" w:hint="eastAsia"/>
          <w:sz w:val="24"/>
          <w:szCs w:val="24"/>
          <w:lang w:bidi="ar"/>
        </w:rPr>
        <w:t>本文件主要起草人：</w:t>
      </w:r>
    </w:p>
    <w:p w:rsidR="006D632C" w:rsidRDefault="006D632C">
      <w:pPr>
        <w:pStyle w:val="afffff2"/>
        <w:spacing w:line="360" w:lineRule="auto"/>
        <w:ind w:firstLine="420"/>
      </w:pPr>
    </w:p>
    <w:p w:rsidR="006D632C" w:rsidRDefault="006D632C">
      <w:pPr>
        <w:pStyle w:val="afffff2"/>
        <w:spacing w:line="360" w:lineRule="auto"/>
        <w:ind w:firstLine="420"/>
      </w:pPr>
    </w:p>
    <w:p w:rsidR="006D632C" w:rsidRDefault="005E2CB3">
      <w:r>
        <w:rPr>
          <w:rFonts w:hint="eastAsia"/>
        </w:rPr>
        <w:br w:type="page"/>
      </w:r>
    </w:p>
    <w:p w:rsidR="006D632C" w:rsidRDefault="006D632C">
      <w:pPr>
        <w:spacing w:line="20" w:lineRule="exact"/>
        <w:jc w:val="center"/>
        <w:rPr>
          <w:rFonts w:ascii="黑体" w:eastAsia="黑体" w:hAnsi="黑体"/>
          <w:sz w:val="32"/>
          <w:szCs w:val="32"/>
        </w:rPr>
      </w:pPr>
    </w:p>
    <w:bookmarkStart w:id="23" w:name="NEW_STAND_NAME" w:displacedByCustomXml="next"/>
    <w:sdt>
      <w:sdtPr>
        <w:rPr>
          <w:bCs/>
          <w:kern w:val="0"/>
          <w:sz w:val="52"/>
          <w:szCs w:val="20"/>
        </w:rPr>
        <w:tag w:val="NEW_STAND_NAME"/>
        <w:id w:val="1494757868"/>
        <w:lock w:val="sdtLocked"/>
        <w:placeholder>
          <w:docPart w:val="89EB49D896FC415CB324E0B35C308DF9"/>
        </w:placeholder>
      </w:sdtPr>
      <w:sdtEndPr>
        <w:rPr>
          <w:sz w:val="56"/>
          <w:szCs w:val="21"/>
        </w:rPr>
      </w:sdtEndPr>
      <w:sdtContent>
        <w:p w:rsidR="006D632C" w:rsidRDefault="005E2CB3">
          <w:pPr>
            <w:jc w:val="center"/>
            <w:rPr>
              <w:rFonts w:cs="黑体"/>
              <w:sz w:val="36"/>
              <w:szCs w:val="36"/>
            </w:rPr>
          </w:pPr>
          <w:r>
            <w:rPr>
              <w:rFonts w:cs="黑体" w:hint="eastAsia"/>
              <w:sz w:val="36"/>
              <w:szCs w:val="36"/>
            </w:rPr>
            <w:t>风力发电场质量评估规范</w:t>
          </w:r>
        </w:p>
      </w:sdtContent>
    </w:sdt>
    <w:p w:rsidR="006D632C" w:rsidRDefault="005E2CB3">
      <w:pPr>
        <w:pStyle w:val="affff1"/>
        <w:spacing w:beforeLines="50" w:before="156" w:beforeAutospacing="0" w:afterLines="50" w:after="156" w:afterAutospacing="0" w:line="400" w:lineRule="exact"/>
        <w:outlineLvl w:val="0"/>
        <w:rPr>
          <w:rFonts w:ascii="方正仿宋_GB2312" w:eastAsia="方正仿宋_GB2312" w:hAnsi="方正仿宋_GB2312" w:cs="方正仿宋_GB2312"/>
          <w:b/>
          <w:bCs/>
        </w:rPr>
      </w:pPr>
      <w:bookmarkStart w:id="24" w:name="_Toc17233325"/>
      <w:bookmarkStart w:id="25" w:name="_Toc26986771"/>
      <w:bookmarkStart w:id="26" w:name="_Toc131114207"/>
      <w:bookmarkStart w:id="27" w:name="_Toc25798"/>
      <w:bookmarkStart w:id="28" w:name="_Toc26648465"/>
      <w:bookmarkStart w:id="29" w:name="_Toc130218510"/>
      <w:bookmarkStart w:id="30" w:name="_Toc24884218"/>
      <w:bookmarkStart w:id="31" w:name="_Toc26963"/>
      <w:bookmarkStart w:id="32" w:name="_Toc17233333"/>
      <w:bookmarkStart w:id="33" w:name="_Toc26986530"/>
      <w:bookmarkStart w:id="34" w:name="_Toc97191423"/>
      <w:bookmarkStart w:id="35" w:name="_Toc26718930"/>
      <w:bookmarkStart w:id="36" w:name="_Toc18235"/>
      <w:bookmarkStart w:id="37" w:name="_Toc24884211"/>
      <w:bookmarkEnd w:id="23"/>
      <w:r>
        <w:rPr>
          <w:rFonts w:ascii="方正仿宋_GB2312" w:eastAsia="方正仿宋_GB2312" w:hAnsi="方正仿宋_GB2312" w:cs="方正仿宋_GB2312" w:hint="eastAsia"/>
          <w:b/>
          <w:bCs/>
        </w:rPr>
        <w:t xml:space="preserve">1 </w:t>
      </w:r>
      <w:r>
        <w:rPr>
          <w:rFonts w:ascii="方正仿宋_GB2312" w:eastAsia="方正仿宋_GB2312" w:hAnsi="方正仿宋_GB2312" w:cs="方正仿宋_GB2312" w:hint="eastAsia"/>
          <w:b/>
          <w:bCs/>
        </w:rPr>
        <w:t>范围</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bookmarkStart w:id="38" w:name="_Toc26986531"/>
      <w:bookmarkStart w:id="39" w:name="_Toc24884219"/>
      <w:bookmarkStart w:id="40" w:name="_Toc17233334"/>
      <w:bookmarkStart w:id="41" w:name="_Toc17233326"/>
      <w:bookmarkStart w:id="42" w:name="_Toc131114208"/>
      <w:bookmarkStart w:id="43" w:name="_Toc23517"/>
      <w:bookmarkStart w:id="44" w:name="_Toc24884212"/>
      <w:bookmarkStart w:id="45" w:name="_Toc97191424"/>
      <w:bookmarkStart w:id="46" w:name="_Toc26718931"/>
      <w:bookmarkStart w:id="47" w:name="_Toc14631"/>
      <w:bookmarkStart w:id="48" w:name="_Toc130218511"/>
      <w:bookmarkStart w:id="49" w:name="_Toc26648466"/>
      <w:bookmarkStart w:id="50" w:name="_Toc26986772"/>
      <w:r>
        <w:rPr>
          <w:rFonts w:ascii="方正仿宋_GB2312" w:eastAsia="方正仿宋_GB2312" w:hAnsi="方正仿宋_GB2312" w:cs="方正仿宋_GB2312" w:hint="eastAsia"/>
        </w:rPr>
        <w:t>本规范规定了安徽省风力发电场质量评估的基本要求、评估指标体系、评估方法、评估程序、评估等级判定及相关附则内容。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本规范适用于安徽省行政区域内已建成（含试运行）或在运维阶段的陆上风力发电场项目的质量评估工作，可为政府监管部门、行业组织、风电企业及第三方评估机构开展风电场质量评估工作提供依据。</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本规范不适用于海上风力发电项目及其他形式的新能源电站评估。</w:t>
      </w:r>
    </w:p>
    <w:p w:rsidR="006D632C" w:rsidRDefault="005E2CB3">
      <w:pPr>
        <w:pStyle w:val="affff1"/>
        <w:spacing w:beforeLines="50" w:before="156" w:beforeAutospacing="0" w:afterLines="50" w:after="156" w:afterAutospacing="0" w:line="400" w:lineRule="exact"/>
        <w:outlineLvl w:val="0"/>
        <w:rPr>
          <w:rFonts w:ascii="方正仿宋_GB2312" w:eastAsia="方正仿宋_GB2312" w:hAnsi="方正仿宋_GB2312" w:cs="方正仿宋_GB2312"/>
          <w:b/>
          <w:bCs/>
        </w:rPr>
      </w:pPr>
      <w:bookmarkStart w:id="51" w:name="_Toc17874"/>
      <w:r>
        <w:rPr>
          <w:rFonts w:ascii="方正仿宋_GB2312" w:eastAsia="方正仿宋_GB2312" w:hAnsi="方正仿宋_GB2312" w:cs="方正仿宋_GB2312" w:hint="eastAsia"/>
          <w:b/>
          <w:bCs/>
        </w:rPr>
        <w:t xml:space="preserve">2 </w:t>
      </w:r>
      <w:r>
        <w:rPr>
          <w:rFonts w:ascii="方正仿宋_GB2312" w:eastAsia="方正仿宋_GB2312" w:hAnsi="方正仿宋_GB2312" w:cs="方正仿宋_GB2312" w:hint="eastAsia"/>
          <w:b/>
          <w:bCs/>
        </w:rPr>
        <w:t>规范性引用文件</w:t>
      </w:r>
      <w:bookmarkEnd w:id="38"/>
      <w:bookmarkEnd w:id="39"/>
      <w:bookmarkEnd w:id="40"/>
      <w:bookmarkEnd w:id="41"/>
      <w:bookmarkEnd w:id="42"/>
      <w:bookmarkEnd w:id="43"/>
      <w:bookmarkEnd w:id="44"/>
      <w:bookmarkEnd w:id="45"/>
      <w:bookmarkEnd w:id="46"/>
      <w:bookmarkEnd w:id="47"/>
      <w:bookmarkEnd w:id="48"/>
      <w:bookmarkEnd w:id="49"/>
      <w:bookmarkEnd w:id="50"/>
      <w:bookmarkEnd w:id="51"/>
    </w:p>
    <w:sdt>
      <w:sdtPr>
        <w:rPr>
          <w:rFonts w:ascii="方正仿宋_GB2312" w:eastAsia="方正仿宋_GB2312" w:hAnsi="方正仿宋_GB2312" w:cs="方正仿宋_GB2312" w:hint="eastAsia"/>
        </w:rPr>
        <w:id w:val="715848253"/>
        <w:placeholder>
          <w:docPart w:val="FC5C280559DC4CEFA1E76A1A717BEA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bookmarkStart w:id="52" w:name="OLE_LINK9"/>
      <w:r>
        <w:rPr>
          <w:rFonts w:ascii="方正仿宋_GB2312" w:eastAsia="方正仿宋_GB2312" w:hAnsi="方正仿宋_GB2312" w:cs="方正仿宋_GB2312" w:hint="eastAsia"/>
        </w:rPr>
        <w:t>GB 51096</w:t>
      </w:r>
      <w:r>
        <w:rPr>
          <w:rFonts w:ascii="方正仿宋_GB2312" w:eastAsia="方正仿宋_GB2312" w:hAnsi="方正仿宋_GB2312" w:cs="方正仿宋_GB2312" w:hint="eastAsia"/>
        </w:rPr>
        <w:t>风力发电场设计规范</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GB/T 18710</w:t>
      </w:r>
      <w:r>
        <w:rPr>
          <w:rFonts w:ascii="方正仿宋_GB2312" w:eastAsia="方正仿宋_GB2312" w:hAnsi="方正仿宋_GB2312" w:cs="方正仿宋_GB2312" w:hint="eastAsia"/>
        </w:rPr>
        <w:t>风电场风能资源评估方法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GB/T 20319</w:t>
      </w:r>
      <w:r>
        <w:rPr>
          <w:rFonts w:ascii="方正仿宋_GB2312" w:eastAsia="方正仿宋_GB2312" w:hAnsi="方正仿宋_GB2312" w:cs="方正仿宋_GB2312" w:hint="eastAsia"/>
        </w:rPr>
        <w:t>风力发电机组</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验收规范</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GB/T 20320</w:t>
      </w:r>
      <w:r>
        <w:rPr>
          <w:rFonts w:ascii="方正仿宋_GB2312" w:eastAsia="方正仿宋_GB2312" w:hAnsi="方正仿宋_GB2312" w:cs="方正仿宋_GB2312" w:hint="eastAsia"/>
        </w:rPr>
        <w:t>风能发电系统</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风力发电机组电气特性测量和评估方法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GB/T 31997</w:t>
      </w:r>
      <w:r>
        <w:rPr>
          <w:rFonts w:ascii="方正仿宋_GB2312" w:eastAsia="方正仿宋_GB2312" w:hAnsi="方正仿宋_GB2312" w:cs="方正仿宋_GB2312" w:hint="eastAsia"/>
        </w:rPr>
        <w:t>风力发电场项目建设工程验收规程</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GB/T 51121</w:t>
      </w:r>
      <w:r>
        <w:rPr>
          <w:rFonts w:ascii="方正仿宋_GB2312" w:eastAsia="方正仿宋_GB2312" w:hAnsi="方正仿宋_GB2312" w:cs="方正仿宋_GB2312" w:hint="eastAsia"/>
        </w:rPr>
        <w:t>风力发电工程施工与验收规范</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GB/T 43904</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风能发</w:t>
      </w:r>
      <w:r>
        <w:rPr>
          <w:rFonts w:ascii="方正仿宋_GB2312" w:eastAsia="方正仿宋_GB2312" w:hAnsi="方正仿宋_GB2312" w:cs="方正仿宋_GB2312" w:hint="eastAsia"/>
        </w:rPr>
        <w:t>电系统</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风力发电机组运行评价指标体系</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GB/T 38174-2019</w:t>
      </w:r>
      <w:r>
        <w:rPr>
          <w:rFonts w:ascii="方正仿宋_GB2312" w:eastAsia="方正仿宋_GB2312" w:hAnsi="方正仿宋_GB2312" w:cs="方正仿宋_GB2312" w:hint="eastAsia"/>
        </w:rPr>
        <w:t>风能发电系统</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风力发电场可利用率</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NB/T 31088</w:t>
      </w:r>
      <w:r>
        <w:rPr>
          <w:rFonts w:ascii="方正仿宋_GB2312" w:eastAsia="方正仿宋_GB2312" w:hAnsi="方正仿宋_GB2312" w:cs="方正仿宋_GB2312" w:hint="eastAsia"/>
        </w:rPr>
        <w:t>风电场安全标识设置设计规范</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NB/T 31079</w:t>
      </w:r>
      <w:r>
        <w:rPr>
          <w:rFonts w:ascii="方正仿宋_GB2312" w:eastAsia="方正仿宋_GB2312" w:hAnsi="方正仿宋_GB2312" w:cs="方正仿宋_GB2312" w:hint="eastAsia"/>
        </w:rPr>
        <w:t>风电功率预测系统测风塔数据测量技术要求</w:t>
      </w:r>
    </w:p>
    <w:bookmarkEnd w:id="52"/>
    <w:p w:rsidR="006D632C" w:rsidRDefault="006D632C">
      <w:pPr>
        <w:pStyle w:val="affff1"/>
        <w:spacing w:beforeAutospacing="0" w:afterAutospacing="0" w:line="400" w:lineRule="exact"/>
        <w:ind w:firstLineChars="200" w:firstLine="480"/>
        <w:rPr>
          <w:rFonts w:ascii="方正仿宋_GB2312" w:eastAsia="方正仿宋_GB2312" w:hAnsi="方正仿宋_GB2312" w:cs="方正仿宋_GB2312"/>
        </w:rPr>
      </w:pPr>
    </w:p>
    <w:p w:rsidR="006D632C" w:rsidRDefault="005E2CB3">
      <w:pPr>
        <w:pStyle w:val="affff1"/>
        <w:spacing w:beforeLines="50" w:before="156" w:beforeAutospacing="0" w:afterLines="50" w:after="156" w:afterAutospacing="0" w:line="400" w:lineRule="exact"/>
        <w:outlineLvl w:val="0"/>
        <w:rPr>
          <w:rFonts w:ascii="方正仿宋_GB2312" w:eastAsia="方正仿宋_GB2312" w:hAnsi="方正仿宋_GB2312" w:cs="方正仿宋_GB2312"/>
          <w:b/>
          <w:bCs/>
        </w:rPr>
      </w:pPr>
      <w:bookmarkStart w:id="53" w:name="_Toc131114209"/>
      <w:bookmarkStart w:id="54" w:name="_Toc1182"/>
      <w:bookmarkStart w:id="55" w:name="_Toc4870"/>
      <w:bookmarkEnd w:id="20"/>
      <w:r>
        <w:rPr>
          <w:rFonts w:ascii="方正仿宋_GB2312" w:eastAsia="方正仿宋_GB2312" w:hAnsi="方正仿宋_GB2312" w:cs="方正仿宋_GB2312" w:hint="eastAsia"/>
          <w:b/>
          <w:bCs/>
        </w:rPr>
        <w:t xml:space="preserve">3 </w:t>
      </w:r>
      <w:r>
        <w:rPr>
          <w:rFonts w:ascii="方正仿宋_GB2312" w:eastAsia="方正仿宋_GB2312" w:hAnsi="方正仿宋_GB2312" w:cs="方正仿宋_GB2312" w:hint="eastAsia"/>
          <w:b/>
          <w:bCs/>
        </w:rPr>
        <w:t>术语和定义</w:t>
      </w:r>
      <w:bookmarkEnd w:id="53"/>
      <w:bookmarkEnd w:id="54"/>
      <w:bookmarkEnd w:id="55"/>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3.1 </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风力发电场（</w:t>
      </w:r>
      <w:r>
        <w:rPr>
          <w:rFonts w:ascii="方正仿宋_GB2312" w:eastAsia="方正仿宋_GB2312" w:hAnsi="方正仿宋_GB2312" w:cs="方正仿宋_GB2312" w:hint="eastAsia"/>
          <w:b/>
          <w:bCs/>
        </w:rPr>
        <w:t>Wind Farm</w:t>
      </w:r>
      <w:r>
        <w:rPr>
          <w:rFonts w:ascii="方正仿宋_GB2312" w:eastAsia="方正仿宋_GB2312" w:hAnsi="方正仿宋_GB2312" w:cs="方正仿宋_GB2312" w:hint="eastAsia"/>
          <w:b/>
          <w:bCs/>
        </w:rPr>
        <w:t>）</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由多个风力发电机组、集电线路、升压站、监控系统及其他辅助设施组成，利用风能发电</w:t>
      </w:r>
      <w:r>
        <w:rPr>
          <w:rFonts w:ascii="方正仿宋_GB2312" w:eastAsia="方正仿宋_GB2312" w:hAnsi="方正仿宋_GB2312" w:cs="方正仿宋_GB2312" w:hint="eastAsia"/>
        </w:rPr>
        <w:t>并</w:t>
      </w:r>
      <w:r>
        <w:rPr>
          <w:rFonts w:ascii="方正仿宋_GB2312" w:eastAsia="方正仿宋_GB2312" w:hAnsi="方正仿宋_GB2312" w:cs="方正仿宋_GB2312" w:hint="eastAsia"/>
        </w:rPr>
        <w:t>网运行的电力场站。</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3.2 </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b/>
          <w:bCs/>
        </w:rPr>
        <w:t>风力发电机组（</w:t>
      </w:r>
      <w:r>
        <w:rPr>
          <w:rFonts w:ascii="方正仿宋_GB2312" w:eastAsia="方正仿宋_GB2312" w:hAnsi="方正仿宋_GB2312" w:cs="方正仿宋_GB2312" w:hint="eastAsia"/>
          <w:b/>
          <w:bCs/>
        </w:rPr>
        <w:t>Wind Turbine Generator System, WTGS</w:t>
      </w:r>
      <w:r>
        <w:rPr>
          <w:rFonts w:ascii="方正仿宋_GB2312" w:eastAsia="方正仿宋_GB2312" w:hAnsi="方正仿宋_GB2312" w:cs="方正仿宋_GB2312" w:hint="eastAsia"/>
          <w:b/>
          <w:bCs/>
        </w:rPr>
        <w:t>）</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lastRenderedPageBreak/>
        <w:t>将风能转换为电能的设备系统，通常由风轮、传动系统、发电机、控制系统、塔架及基础等组成。</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3.3 </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质量评估（</w:t>
      </w:r>
      <w:r>
        <w:rPr>
          <w:rFonts w:ascii="方正仿宋_GB2312" w:eastAsia="方正仿宋_GB2312" w:hAnsi="方正仿宋_GB2312" w:cs="方正仿宋_GB2312" w:hint="eastAsia"/>
          <w:b/>
          <w:bCs/>
        </w:rPr>
        <w:t>Quality Assessment</w:t>
      </w:r>
      <w:r>
        <w:rPr>
          <w:rFonts w:ascii="方正仿宋_GB2312" w:eastAsia="方正仿宋_GB2312" w:hAnsi="方正仿宋_GB2312" w:cs="方正仿宋_GB2312" w:hint="eastAsia"/>
          <w:b/>
          <w:bCs/>
        </w:rPr>
        <w:t>）</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对风力发电场在规划、设计、建设、运行和管理等各阶段的质量水平进行系统性分析、判断和评级的过程。</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3.4 </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b/>
          <w:bCs/>
        </w:rPr>
        <w:t>发电量达成率（</w:t>
      </w:r>
      <w:r>
        <w:rPr>
          <w:rFonts w:ascii="方正仿宋_GB2312" w:eastAsia="方正仿宋_GB2312" w:hAnsi="方正仿宋_GB2312" w:cs="方正仿宋_GB2312" w:hint="eastAsia"/>
          <w:b/>
          <w:bCs/>
        </w:rPr>
        <w:t>Power Generation Achievement Rat</w:t>
      </w:r>
      <w:r>
        <w:rPr>
          <w:rFonts w:ascii="方正仿宋_GB2312" w:eastAsia="方正仿宋_GB2312" w:hAnsi="方正仿宋_GB2312" w:cs="方正仿宋_GB2312" w:hint="eastAsia"/>
          <w:b/>
          <w:bCs/>
        </w:rPr>
        <w:t>e</w:t>
      </w:r>
      <w:r>
        <w:rPr>
          <w:rFonts w:ascii="方正仿宋_GB2312" w:eastAsia="方正仿宋_GB2312" w:hAnsi="方正仿宋_GB2312" w:cs="方正仿宋_GB2312" w:hint="eastAsia"/>
          <w:b/>
          <w:bCs/>
        </w:rPr>
        <w:t>）</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实际上网电量与同期设计值或预测值的比率，用于衡量风电场发电能力的实现程度。</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注：常以年平均达成率表示。</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3.5 </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可利用率（</w:t>
      </w:r>
      <w:r>
        <w:rPr>
          <w:rFonts w:ascii="方正仿宋_GB2312" w:eastAsia="方正仿宋_GB2312" w:hAnsi="方正仿宋_GB2312" w:cs="方正仿宋_GB2312" w:hint="eastAsia"/>
          <w:b/>
          <w:bCs/>
        </w:rPr>
        <w:t>Availability</w:t>
      </w:r>
      <w:r>
        <w:rPr>
          <w:rFonts w:ascii="方正仿宋_GB2312" w:eastAsia="方正仿宋_GB2312" w:hAnsi="方正仿宋_GB2312" w:cs="方正仿宋_GB2312" w:hint="eastAsia"/>
          <w:b/>
          <w:bCs/>
        </w:rPr>
        <w:t>）</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风电机组或风电场在一定</w:t>
      </w:r>
      <w:r>
        <w:rPr>
          <w:rFonts w:ascii="方正仿宋_GB2312" w:eastAsia="方正仿宋_GB2312" w:hAnsi="方正仿宋_GB2312" w:cs="方正仿宋_GB2312" w:hint="eastAsia"/>
        </w:rPr>
        <w:t>时期内可运行的时间与该时期总时间的比值，用于反映设备运行状态。</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3.6 </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b/>
          <w:bCs/>
        </w:rPr>
        <w:t>故障率（</w:t>
      </w:r>
      <w:r>
        <w:rPr>
          <w:rFonts w:ascii="方正仿宋_GB2312" w:eastAsia="方正仿宋_GB2312" w:hAnsi="方正仿宋_GB2312" w:cs="方正仿宋_GB2312" w:hint="eastAsia"/>
          <w:b/>
          <w:bCs/>
        </w:rPr>
        <w:t>Failure Rat</w:t>
      </w:r>
      <w:r>
        <w:rPr>
          <w:rFonts w:ascii="方正仿宋_GB2312" w:eastAsia="方正仿宋_GB2312" w:hAnsi="方正仿宋_GB2312" w:cs="方正仿宋_GB2312" w:hint="eastAsia"/>
          <w:b/>
          <w:bCs/>
        </w:rPr>
        <w:t>e</w:t>
      </w:r>
      <w:r>
        <w:rPr>
          <w:rFonts w:ascii="方正仿宋_GB2312" w:eastAsia="方正仿宋_GB2312" w:hAnsi="方正仿宋_GB2312" w:cs="方正仿宋_GB2312" w:hint="eastAsia"/>
          <w:b/>
          <w:bCs/>
        </w:rPr>
        <w:t>）</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单位时间内风电机组发生故障的次数，常用于评估设备的运行可靠性。</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3.7 </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评估等级（</w:t>
      </w:r>
      <w:r>
        <w:rPr>
          <w:rFonts w:ascii="方正仿宋_GB2312" w:eastAsia="方正仿宋_GB2312" w:hAnsi="方正仿宋_GB2312" w:cs="方正仿宋_GB2312" w:hint="eastAsia"/>
          <w:b/>
          <w:bCs/>
        </w:rPr>
        <w:t>Assessment Grad</w:t>
      </w:r>
      <w:r>
        <w:rPr>
          <w:rFonts w:ascii="方正仿宋_GB2312" w:eastAsia="方正仿宋_GB2312" w:hAnsi="方正仿宋_GB2312" w:cs="方正仿宋_GB2312" w:hint="eastAsia"/>
          <w:b/>
          <w:bCs/>
        </w:rPr>
        <w:t>e</w:t>
      </w:r>
      <w:r>
        <w:rPr>
          <w:rFonts w:ascii="方正仿宋_GB2312" w:eastAsia="方正仿宋_GB2312" w:hAnsi="方正仿宋_GB2312" w:cs="方正仿宋_GB2312" w:hint="eastAsia"/>
          <w:b/>
          <w:bCs/>
        </w:rPr>
        <w:t>）</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根据评估结果，对风电场整体质量状况划分的等级类别，如“优”、“良”、“合格”、“不合格”等。</w:t>
      </w:r>
    </w:p>
    <w:p w:rsidR="006D632C" w:rsidRDefault="005E2CB3">
      <w:pPr>
        <w:pStyle w:val="affff1"/>
        <w:spacing w:beforeLines="50" w:before="156" w:beforeAutospacing="0" w:afterLines="50" w:after="156" w:afterAutospacing="0" w:line="400" w:lineRule="exact"/>
        <w:outlineLvl w:val="0"/>
        <w:rPr>
          <w:rFonts w:ascii="方正仿宋_GB2312" w:eastAsia="方正仿宋_GB2312" w:hAnsi="方正仿宋_GB2312" w:cs="方正仿宋_GB2312"/>
          <w:b/>
          <w:bCs/>
        </w:rPr>
      </w:pPr>
      <w:bookmarkStart w:id="56" w:name="_Toc15633"/>
      <w:bookmarkStart w:id="57" w:name="_Toc29299"/>
      <w:bookmarkStart w:id="58" w:name="_Toc131114210"/>
      <w:r>
        <w:rPr>
          <w:rFonts w:ascii="方正仿宋_GB2312" w:eastAsia="方正仿宋_GB2312" w:hAnsi="方正仿宋_GB2312" w:cs="方正仿宋_GB2312" w:hint="eastAsia"/>
          <w:b/>
          <w:bCs/>
        </w:rPr>
        <w:t xml:space="preserve">4 </w:t>
      </w:r>
      <w:r>
        <w:rPr>
          <w:rFonts w:ascii="方正仿宋_GB2312" w:eastAsia="方正仿宋_GB2312" w:hAnsi="方正仿宋_GB2312" w:cs="方正仿宋_GB2312" w:hint="eastAsia"/>
          <w:b/>
          <w:bCs/>
        </w:rPr>
        <w:t>总则</w:t>
      </w:r>
      <w:bookmarkEnd w:id="56"/>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本规范旨在建立科学、系统、规范的风力发电场质量评估体系，全面提升安徽省风电项目的工程质量、运行效率与管理水平，促进可再生能源健康可持续发展。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风力发电场质量评估应坚持“客观、公正、科学、可比”的原则，依据统一标准、采用定量与定性相结合的方式，综合评价风电场的质量水平。</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质量评估应覆盖风电场从规划、设计、建设、运行到运维管理等主要阶段，重点评估风资源开发合理性、设备运行可靠性、系统运行效率、安全管理能力及环境适应性等。</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lastRenderedPageBreak/>
        <w:t>评估工作应以数据为基础、以事实为依据。相关单位应依法依规提供真实、完整的资料和数据，配合评估机构开展工作。</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评估应由具备相应技术能力和资质的单位组织实施，推荐委托具备独立性和专业能力的第三方评估机构执行。鼓励主管部门定期组织开展风电</w:t>
      </w:r>
      <w:r>
        <w:rPr>
          <w:rFonts w:ascii="方正仿宋_GB2312" w:eastAsia="方正仿宋_GB2312" w:hAnsi="方正仿宋_GB2312" w:cs="方正仿宋_GB2312" w:hint="eastAsia"/>
        </w:rPr>
        <w:t>场质量评估与结果公示。</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风电场质量评估结果可作为项目验收、运维管理、绩效考核、技术改进以及政府监管的依据。</w:t>
      </w:r>
    </w:p>
    <w:p w:rsidR="006D632C" w:rsidRDefault="005E2CB3">
      <w:pPr>
        <w:pStyle w:val="affff1"/>
        <w:spacing w:beforeLines="50" w:before="156" w:beforeAutospacing="0" w:afterLines="50" w:after="156" w:afterAutospacing="0" w:line="400" w:lineRule="exact"/>
        <w:outlineLvl w:val="0"/>
        <w:rPr>
          <w:rFonts w:ascii="方正仿宋_GB2312" w:eastAsia="方正仿宋_GB2312" w:hAnsi="方正仿宋_GB2312" w:cs="方正仿宋_GB2312"/>
          <w:b/>
          <w:bCs/>
        </w:rPr>
      </w:pPr>
      <w:bookmarkStart w:id="59" w:name="_Toc8687"/>
      <w:r>
        <w:rPr>
          <w:rFonts w:ascii="方正仿宋_GB2312" w:eastAsia="方正仿宋_GB2312" w:hAnsi="方正仿宋_GB2312" w:cs="方正仿宋_GB2312" w:hint="eastAsia"/>
          <w:b/>
          <w:bCs/>
        </w:rPr>
        <w:t xml:space="preserve">5 </w:t>
      </w:r>
      <w:r>
        <w:rPr>
          <w:rFonts w:ascii="方正仿宋_GB2312" w:eastAsia="方正仿宋_GB2312" w:hAnsi="方正仿宋_GB2312" w:cs="方正仿宋_GB2312" w:hint="eastAsia"/>
          <w:b/>
          <w:bCs/>
        </w:rPr>
        <w:t>基本要求</w:t>
      </w:r>
      <w:bookmarkEnd w:id="59"/>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5.1 </w:t>
      </w:r>
      <w:r>
        <w:rPr>
          <w:rFonts w:ascii="方正仿宋_GB2312" w:eastAsia="方正仿宋_GB2312" w:hAnsi="方正仿宋_GB2312" w:cs="方正仿宋_GB2312" w:hint="eastAsia"/>
          <w:b/>
          <w:bCs/>
        </w:rPr>
        <w:t>评估对象要求</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本规范所指的风力发电场，应符合以下条件之一：</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已完成竣工验收、具备正式运行条件；</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处于试运行阶段并已连续运行不少于</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个月；</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正常运行状态下的风电场项目，运行年限不超过</w:t>
      </w:r>
      <w:r>
        <w:rPr>
          <w:rFonts w:ascii="方正仿宋_GB2312" w:eastAsia="方正仿宋_GB2312" w:hAnsi="方正仿宋_GB2312" w:cs="方正仿宋_GB2312" w:hint="eastAsia"/>
        </w:rPr>
        <w:t>20</w:t>
      </w:r>
      <w:r>
        <w:rPr>
          <w:rFonts w:ascii="方正仿宋_GB2312" w:eastAsia="方正仿宋_GB2312" w:hAnsi="方正仿宋_GB2312" w:cs="方正仿宋_GB2312" w:hint="eastAsia"/>
        </w:rPr>
        <w:t>年。</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5.2 </w:t>
      </w:r>
      <w:bookmarkStart w:id="60" w:name="OLE_LINK10"/>
      <w:r>
        <w:rPr>
          <w:rFonts w:ascii="方正仿宋_GB2312" w:eastAsia="方正仿宋_GB2312" w:hAnsi="方正仿宋_GB2312" w:cs="方正仿宋_GB2312" w:hint="eastAsia"/>
          <w:b/>
          <w:bCs/>
        </w:rPr>
        <w:t>评估单位要求</w:t>
      </w:r>
      <w:bookmarkEnd w:id="60"/>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负责开展评估工作的单位应具备以下条件：</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具有电力工程、风电技术或相关领域的专业技术资质；</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拥有风电项目评估相关的技术人员、检测工具和评估能力；</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应具备独立性、公正性，评估单位不得与被评单位存在利益关系。</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5.3 </w:t>
      </w:r>
      <w:r>
        <w:rPr>
          <w:rFonts w:ascii="方正仿宋_GB2312" w:eastAsia="方正仿宋_GB2312" w:hAnsi="方正仿宋_GB2312" w:cs="方正仿宋_GB2312" w:hint="eastAsia"/>
          <w:b/>
          <w:bCs/>
        </w:rPr>
        <w:t>数据与资料要求</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被评单位应提供真实、完整、可追溯的项目资料和运行数据，主要包括但不限于：</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项目批复、设计文件、施工图、竣工资料；</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风资源测量报告与风机布置方案；</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风机运行数据、故障记录、电量统计、维护记录；</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4</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并网协议、安全评估报告、环保监测数据等。</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5.4 </w:t>
      </w:r>
      <w:bookmarkStart w:id="61" w:name="OLE_LINK11"/>
      <w:r>
        <w:rPr>
          <w:rFonts w:ascii="方正仿宋_GB2312" w:eastAsia="方正仿宋_GB2312" w:hAnsi="方正仿宋_GB2312" w:cs="方正仿宋_GB2312" w:hint="eastAsia"/>
          <w:b/>
          <w:bCs/>
        </w:rPr>
        <w:t>评估时限要求</w:t>
      </w:r>
      <w:bookmarkEnd w:id="61"/>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评估周期应覆盖风电场连续运行的近</w:t>
      </w:r>
      <w:r>
        <w:rPr>
          <w:rFonts w:ascii="方正仿宋_GB2312" w:eastAsia="方正仿宋_GB2312" w:hAnsi="方正仿宋_GB2312" w:cs="方正仿宋_GB2312" w:hint="eastAsia"/>
        </w:rPr>
        <w:t>12</w:t>
      </w:r>
      <w:r>
        <w:rPr>
          <w:rFonts w:ascii="方正仿宋_GB2312" w:eastAsia="方正仿宋_GB2312" w:hAnsi="方正仿宋_GB2312" w:cs="方正仿宋_GB2312" w:hint="eastAsia"/>
        </w:rPr>
        <w:t>个月（或一个完整风季），特殊情况可视项目运行特征进行</w:t>
      </w:r>
      <w:r>
        <w:rPr>
          <w:rFonts w:ascii="方正仿宋_GB2312" w:eastAsia="方正仿宋_GB2312" w:hAnsi="方正仿宋_GB2312" w:cs="方正仿宋_GB2312" w:hint="eastAsia"/>
        </w:rPr>
        <w:t>调整，但不应少于</w:t>
      </w:r>
      <w:r>
        <w:rPr>
          <w:rFonts w:ascii="方正仿宋_GB2312" w:eastAsia="方正仿宋_GB2312" w:hAnsi="方正仿宋_GB2312" w:cs="方正仿宋_GB2312" w:hint="eastAsia"/>
        </w:rPr>
        <w:t>6</w:t>
      </w:r>
      <w:r>
        <w:rPr>
          <w:rFonts w:ascii="方正仿宋_GB2312" w:eastAsia="方正仿宋_GB2312" w:hAnsi="方正仿宋_GB2312" w:cs="方正仿宋_GB2312" w:hint="eastAsia"/>
        </w:rPr>
        <w:t>个月有效数据。</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5.5 </w:t>
      </w:r>
      <w:bookmarkStart w:id="62" w:name="OLE_LINK12"/>
      <w:r>
        <w:rPr>
          <w:rFonts w:ascii="方正仿宋_GB2312" w:eastAsia="方正仿宋_GB2312" w:hAnsi="方正仿宋_GB2312" w:cs="方正仿宋_GB2312" w:hint="eastAsia"/>
          <w:b/>
          <w:bCs/>
        </w:rPr>
        <w:t>评估内容完整性要求</w:t>
      </w:r>
      <w:bookmarkEnd w:id="62"/>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评估工作应涵盖以下主要方面：</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项目选址与资源评估合理性；</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lastRenderedPageBreak/>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工程建设质量与施工符合性；</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风机设备与系统运行状态；</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4</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电量产出与运行绩效；</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5</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安全管理与风险控制情况；</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6</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环境影响与合规性；</w:t>
      </w:r>
    </w:p>
    <w:p w:rsidR="006D632C" w:rsidRDefault="005E2CB3">
      <w:pPr>
        <w:pStyle w:val="affff1"/>
        <w:spacing w:beforeAutospacing="0" w:afterAutospacing="0" w:line="400" w:lineRule="exact"/>
        <w:ind w:leftChars="200" w:left="42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7</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运维体系与人员管理。</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5.6 </w:t>
      </w:r>
      <w:r>
        <w:rPr>
          <w:rFonts w:ascii="方正仿宋_GB2312" w:eastAsia="方正仿宋_GB2312" w:hAnsi="方正仿宋_GB2312" w:cs="方正仿宋_GB2312" w:hint="eastAsia"/>
          <w:b/>
          <w:bCs/>
        </w:rPr>
        <w:t>安全与环保要求</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质量评估工作应严格遵守安全作业规定，现场检查人员应持证上岗。涉及环保内容的评估应参照国家和地方相关环保法规执行。</w:t>
      </w:r>
    </w:p>
    <w:p w:rsidR="006D632C" w:rsidRDefault="005E2CB3">
      <w:pPr>
        <w:pStyle w:val="affff1"/>
        <w:spacing w:beforeLines="50" w:before="156" w:beforeAutospacing="0" w:afterLines="50" w:after="156" w:afterAutospacing="0" w:line="400" w:lineRule="exact"/>
        <w:outlineLvl w:val="0"/>
        <w:rPr>
          <w:rFonts w:ascii="方正仿宋_GB2312" w:eastAsia="方正仿宋_GB2312" w:hAnsi="方正仿宋_GB2312" w:cs="方正仿宋_GB2312"/>
          <w:b/>
          <w:bCs/>
        </w:rPr>
      </w:pPr>
      <w:bookmarkStart w:id="63" w:name="_Toc17027"/>
      <w:r>
        <w:rPr>
          <w:rFonts w:ascii="方正仿宋_GB2312" w:eastAsia="方正仿宋_GB2312" w:hAnsi="方正仿宋_GB2312" w:cs="方正仿宋_GB2312" w:hint="eastAsia"/>
          <w:b/>
          <w:bCs/>
        </w:rPr>
        <w:t xml:space="preserve">6 </w:t>
      </w:r>
      <w:r>
        <w:rPr>
          <w:rFonts w:ascii="方正仿宋_GB2312" w:eastAsia="方正仿宋_GB2312" w:hAnsi="方正仿宋_GB2312" w:cs="方正仿宋_GB2312" w:hint="eastAsia"/>
          <w:b/>
          <w:bCs/>
        </w:rPr>
        <w:t>评估指标体系</w:t>
      </w:r>
      <w:bookmarkEnd w:id="63"/>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6.1 </w:t>
      </w:r>
      <w:bookmarkStart w:id="64" w:name="OLE_LINK13"/>
      <w:r>
        <w:rPr>
          <w:rFonts w:ascii="方正仿宋_GB2312" w:eastAsia="方正仿宋_GB2312" w:hAnsi="方正仿宋_GB2312" w:cs="方正仿宋_GB2312" w:hint="eastAsia"/>
          <w:b/>
          <w:bCs/>
        </w:rPr>
        <w:t>指标分类</w:t>
      </w:r>
      <w:bookmarkEnd w:id="64"/>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color w:val="000000"/>
        </w:rPr>
        <w:t> </w:t>
      </w:r>
      <w:r>
        <w:rPr>
          <w:rFonts w:ascii="方正仿宋_GB2312" w:eastAsia="方正仿宋_GB2312" w:hAnsi="方正仿宋_GB2312" w:cs="方正仿宋_GB2312" w:hint="eastAsia"/>
        </w:rPr>
        <w:t>为全面反映风力发电场的质量水平，评估指标体系按质量形成与管理的各主要方面，分为以下七类一级指标，下设若干二级指标：</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资源与设计质量类指标</w:t>
      </w:r>
      <w:bookmarkStart w:id="65" w:name="OLE_LINK1"/>
      <w:r>
        <w:rPr>
          <w:rFonts w:ascii="方正仿宋_GB2312" w:eastAsia="方正仿宋_GB2312" w:hAnsi="方正仿宋_GB2312" w:cs="方正仿宋_GB2312" w:hint="eastAsia"/>
        </w:rPr>
        <w:t>:</w:t>
      </w:r>
      <w:bookmarkEnd w:id="65"/>
      <w:r>
        <w:rPr>
          <w:rFonts w:ascii="方正仿宋_GB2312" w:eastAsia="方正仿宋_GB2312" w:hAnsi="方正仿宋_GB2312" w:cs="方正仿宋_GB2312" w:hint="eastAsia"/>
        </w:rPr>
        <w:t>用于评估风电场前期风资源评估的科学性、项目选址合理性、设备选型及系统设计的适配性。</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工程建设质量类指标</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用于评估风电场施工过程中的土建、电气、设备安装、调试等工程环节的质量控制情况。</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设备与系统运行质量类指标</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关注风机、电气系统及辅助系统的实际运行表现，包括可靠性、可利用率、故障率等。</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4</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发电绩效类指标</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评估发电能力实现程度，包括发电量达成率、上网电</w:t>
      </w:r>
      <w:r>
        <w:rPr>
          <w:rFonts w:ascii="方正仿宋_GB2312" w:eastAsia="方正仿宋_GB2312" w:hAnsi="方正仿宋_GB2312" w:cs="方正仿宋_GB2312" w:hint="eastAsia"/>
        </w:rPr>
        <w:t>量完成率、电量损耗等经济技术指标。</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5</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运维管理类指标</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用于衡量运维体系的制度化、信息化、专业化水平，包括日常巡检、备件管理、技术培训等方面。</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6</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安全与环保类指标</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考察安全风险控制能力及环保达标情况，包括事故记录、应急预案、噪声控制、生态保护等内容。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7</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综合管理与合规性类指标</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评估项目在执行国家标准、行业规范、地方政策等方面的遵从情况，以及整体项目的综合管理能力。</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6.2 </w:t>
      </w:r>
      <w:bookmarkStart w:id="66" w:name="OLE_LINK14"/>
      <w:r>
        <w:rPr>
          <w:rFonts w:ascii="方正仿宋_GB2312" w:eastAsia="方正仿宋_GB2312" w:hAnsi="方正仿宋_GB2312" w:cs="方正仿宋_GB2312" w:hint="eastAsia"/>
          <w:b/>
          <w:bCs/>
        </w:rPr>
        <w:t>指标内容与权重</w:t>
      </w:r>
      <w:bookmarkEnd w:id="66"/>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评估指标体系采用“一级指标—二级指标”结构，按各指标对风电场整体质量的影响程度设置权重，总分为</w:t>
      </w:r>
      <w:r>
        <w:rPr>
          <w:rFonts w:ascii="方正仿宋_GB2312" w:eastAsia="方正仿宋_GB2312" w:hAnsi="方正仿宋_GB2312" w:cs="方正仿宋_GB2312" w:hint="eastAsia"/>
        </w:rPr>
        <w:t>100</w:t>
      </w:r>
      <w:r>
        <w:rPr>
          <w:rFonts w:ascii="方正仿宋_GB2312" w:eastAsia="方正仿宋_GB2312" w:hAnsi="方正仿宋_GB2312" w:cs="方正仿宋_GB2312" w:hint="eastAsia"/>
        </w:rPr>
        <w:t>分。如下表</w:t>
      </w:r>
      <w:r>
        <w:rPr>
          <w:rFonts w:ascii="方正仿宋_GB2312" w:eastAsia="方正仿宋_GB2312" w:hAnsi="方正仿宋_GB2312" w:cs="方正仿宋_GB2312" w:hint="eastAsia"/>
        </w:rPr>
        <w:t>：</w:t>
      </w:r>
    </w:p>
    <w:tbl>
      <w:tblPr>
        <w:tblStyle w:val="affff4"/>
        <w:tblW w:w="0" w:type="auto"/>
        <w:tblLook w:val="04A0" w:firstRow="1" w:lastRow="0" w:firstColumn="1" w:lastColumn="0" w:noHBand="0" w:noVBand="1"/>
      </w:tblPr>
      <w:tblGrid>
        <w:gridCol w:w="1590"/>
        <w:gridCol w:w="2099"/>
        <w:gridCol w:w="4314"/>
        <w:gridCol w:w="1559"/>
      </w:tblGrid>
      <w:tr w:rsidR="006D632C">
        <w:tc>
          <w:tcPr>
            <w:tcW w:w="1590" w:type="dxa"/>
            <w:vAlign w:val="center"/>
          </w:tcPr>
          <w:p w:rsidR="006D632C" w:rsidRDefault="005E2CB3">
            <w:pPr>
              <w:widowControl/>
              <w:jc w:val="center"/>
              <w:rPr>
                <w:rFonts w:ascii="宋体" w:hAnsi="宋体"/>
                <w:b/>
                <w:bCs/>
                <w:color w:val="000000"/>
              </w:rPr>
            </w:pPr>
            <w:r>
              <w:rPr>
                <w:rFonts w:ascii="方正仿宋_GB2312" w:eastAsia="方正仿宋_GB2312" w:hAnsi="方正仿宋_GB2312" w:cs="方正仿宋_GB2312" w:hint="eastAsia"/>
                <w:b/>
                <w:bCs/>
                <w:kern w:val="0"/>
                <w:sz w:val="24"/>
                <w:szCs w:val="24"/>
                <w:lang w:bidi="ar"/>
              </w:rPr>
              <w:t>一级指标</w:t>
            </w:r>
          </w:p>
        </w:tc>
        <w:tc>
          <w:tcPr>
            <w:tcW w:w="2099" w:type="dxa"/>
            <w:vAlign w:val="center"/>
          </w:tcPr>
          <w:p w:rsidR="006D632C" w:rsidRDefault="005E2CB3">
            <w:pPr>
              <w:widowControl/>
              <w:jc w:val="center"/>
              <w:rPr>
                <w:rFonts w:ascii="宋体" w:hAnsi="宋体"/>
                <w:b/>
                <w:bCs/>
                <w:color w:val="000000"/>
              </w:rPr>
            </w:pPr>
            <w:r>
              <w:rPr>
                <w:rFonts w:ascii="方正仿宋_GB2312" w:eastAsia="方正仿宋_GB2312" w:hAnsi="方正仿宋_GB2312" w:cs="方正仿宋_GB2312" w:hint="eastAsia"/>
                <w:b/>
                <w:bCs/>
                <w:kern w:val="0"/>
                <w:sz w:val="24"/>
                <w:szCs w:val="24"/>
                <w:lang w:bidi="ar"/>
              </w:rPr>
              <w:t>二级指标</w:t>
            </w:r>
          </w:p>
        </w:tc>
        <w:tc>
          <w:tcPr>
            <w:tcW w:w="4314" w:type="dxa"/>
            <w:vAlign w:val="center"/>
          </w:tcPr>
          <w:p w:rsidR="006D632C" w:rsidRDefault="005E2CB3">
            <w:pPr>
              <w:widowControl/>
              <w:jc w:val="center"/>
              <w:rPr>
                <w:rFonts w:ascii="宋体" w:hAnsi="宋体"/>
                <w:b/>
                <w:bCs/>
                <w:color w:val="000000"/>
              </w:rPr>
            </w:pPr>
            <w:r>
              <w:rPr>
                <w:rFonts w:ascii="方正仿宋_GB2312" w:eastAsia="方正仿宋_GB2312" w:hAnsi="方正仿宋_GB2312" w:cs="方正仿宋_GB2312" w:hint="eastAsia"/>
                <w:b/>
                <w:bCs/>
                <w:kern w:val="0"/>
                <w:sz w:val="24"/>
                <w:szCs w:val="24"/>
                <w:lang w:bidi="ar"/>
              </w:rPr>
              <w:t>指标说明</w:t>
            </w:r>
          </w:p>
        </w:tc>
        <w:tc>
          <w:tcPr>
            <w:tcW w:w="1559" w:type="dxa"/>
            <w:vAlign w:val="center"/>
          </w:tcPr>
          <w:p w:rsidR="006D632C" w:rsidRDefault="005E2CB3">
            <w:pPr>
              <w:widowControl/>
              <w:jc w:val="center"/>
              <w:rPr>
                <w:rFonts w:ascii="宋体" w:hAnsi="宋体"/>
                <w:b/>
                <w:bCs/>
                <w:color w:val="000000"/>
              </w:rPr>
            </w:pPr>
            <w:r>
              <w:rPr>
                <w:rFonts w:ascii="方正仿宋_GB2312" w:eastAsia="方正仿宋_GB2312" w:hAnsi="方正仿宋_GB2312" w:cs="方正仿宋_GB2312" w:hint="eastAsia"/>
                <w:b/>
                <w:bCs/>
                <w:kern w:val="0"/>
                <w:sz w:val="24"/>
                <w:szCs w:val="24"/>
                <w:lang w:bidi="ar"/>
              </w:rPr>
              <w:t>权重（</w:t>
            </w:r>
            <w:r>
              <w:rPr>
                <w:rFonts w:ascii="方正仿宋_GB2312" w:eastAsia="方正仿宋_GB2312" w:hAnsi="方正仿宋_GB2312" w:cs="方正仿宋_GB2312" w:hint="eastAsia"/>
                <w:b/>
                <w:bCs/>
                <w:kern w:val="0"/>
                <w:sz w:val="24"/>
                <w:szCs w:val="24"/>
                <w:lang w:bidi="ar"/>
              </w:rPr>
              <w:t>%</w:t>
            </w:r>
            <w:r>
              <w:rPr>
                <w:rFonts w:ascii="方正仿宋_GB2312" w:eastAsia="方正仿宋_GB2312" w:hAnsi="方正仿宋_GB2312" w:cs="方正仿宋_GB2312" w:hint="eastAsia"/>
                <w:b/>
                <w:bCs/>
                <w:kern w:val="0"/>
                <w:sz w:val="24"/>
                <w:szCs w:val="24"/>
                <w:lang w:bidi="ar"/>
              </w:rPr>
              <w:t>）</w:t>
            </w:r>
          </w:p>
        </w:tc>
      </w:tr>
      <w:tr w:rsidR="006D632C">
        <w:tc>
          <w:tcPr>
            <w:tcW w:w="1590" w:type="dxa"/>
            <w:vMerge w:val="restart"/>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lastRenderedPageBreak/>
              <w:t>一、资源与设计质量</w:t>
            </w: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风资源评估准确性</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是否采用权威数据、测风周期完整、模拟方法科学</w:t>
            </w:r>
          </w:p>
        </w:tc>
        <w:tc>
          <w:tcPr>
            <w:tcW w:w="1559" w:type="dxa"/>
            <w:vAlign w:val="center"/>
          </w:tcPr>
          <w:p w:rsidR="006D632C" w:rsidRDefault="005E2CB3">
            <w:pPr>
              <w:widowControl/>
              <w:ind w:firstLineChars="200" w:firstLine="480"/>
              <w:rPr>
                <w:rFonts w:ascii="宋体" w:hAnsi="宋体"/>
                <w:color w:val="000000"/>
              </w:rPr>
            </w:pPr>
            <w:r>
              <w:rPr>
                <w:rFonts w:ascii="方正仿宋_GB2312" w:eastAsia="方正仿宋_GB2312" w:hAnsi="方正仿宋_GB2312" w:cs="方正仿宋_GB2312" w:hint="eastAsia"/>
                <w:kern w:val="0"/>
                <w:sz w:val="24"/>
                <w:szCs w:val="24"/>
                <w:lang w:bidi="ar"/>
              </w:rPr>
              <w:t>4</w:t>
            </w:r>
          </w:p>
        </w:tc>
      </w:tr>
      <w:tr w:rsidR="006D632C">
        <w:tc>
          <w:tcPr>
            <w:tcW w:w="1590" w:type="dxa"/>
            <w:vMerge/>
            <w:vAlign w:val="center"/>
          </w:tcPr>
          <w:p w:rsidR="006D632C" w:rsidRDefault="006D632C">
            <w:pPr>
              <w:ind w:firstLineChars="200" w:firstLine="420"/>
              <w:rPr>
                <w:rFonts w:ascii="宋体" w:hAnsi="宋体"/>
                <w:color w:val="000000"/>
              </w:rPr>
            </w:pP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场址选择合理性</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地形条件、风机布置与风速匹配、环保敏感区规避</w:t>
            </w:r>
          </w:p>
        </w:tc>
        <w:tc>
          <w:tcPr>
            <w:tcW w:w="1559" w:type="dxa"/>
            <w:vAlign w:val="center"/>
          </w:tcPr>
          <w:p w:rsidR="006D632C" w:rsidRDefault="005E2CB3">
            <w:pPr>
              <w:widowControl/>
              <w:ind w:firstLineChars="200" w:firstLine="480"/>
              <w:rPr>
                <w:rFonts w:ascii="宋体" w:hAnsi="宋体"/>
                <w:color w:val="000000"/>
              </w:rPr>
            </w:pPr>
            <w:r>
              <w:rPr>
                <w:rFonts w:ascii="方正仿宋_GB2312" w:eastAsia="方正仿宋_GB2312" w:hAnsi="方正仿宋_GB2312" w:cs="方正仿宋_GB2312" w:hint="eastAsia"/>
                <w:kern w:val="0"/>
                <w:sz w:val="24"/>
                <w:szCs w:val="24"/>
                <w:lang w:bidi="ar"/>
              </w:rPr>
              <w:t>3</w:t>
            </w:r>
          </w:p>
        </w:tc>
      </w:tr>
      <w:tr w:rsidR="006D632C">
        <w:tc>
          <w:tcPr>
            <w:tcW w:w="1590" w:type="dxa"/>
            <w:vMerge/>
            <w:vAlign w:val="center"/>
          </w:tcPr>
          <w:p w:rsidR="006D632C" w:rsidRDefault="006D632C">
            <w:pPr>
              <w:ind w:firstLineChars="200" w:firstLine="420"/>
              <w:rPr>
                <w:rFonts w:ascii="宋体" w:hAnsi="宋体"/>
                <w:color w:val="000000"/>
              </w:rPr>
            </w:pP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技术方案适应性</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风机选型合理、设计参数与环境匹配</w:t>
            </w:r>
          </w:p>
        </w:tc>
        <w:tc>
          <w:tcPr>
            <w:tcW w:w="1559" w:type="dxa"/>
            <w:vAlign w:val="center"/>
          </w:tcPr>
          <w:p w:rsidR="006D632C" w:rsidRDefault="005E2CB3">
            <w:pPr>
              <w:widowControl/>
              <w:ind w:firstLineChars="200" w:firstLine="480"/>
              <w:rPr>
                <w:rFonts w:ascii="宋体" w:hAnsi="宋体"/>
                <w:color w:val="000000"/>
              </w:rPr>
            </w:pPr>
            <w:r>
              <w:rPr>
                <w:rFonts w:ascii="方正仿宋_GB2312" w:eastAsia="方正仿宋_GB2312" w:hAnsi="方正仿宋_GB2312" w:cs="方正仿宋_GB2312" w:hint="eastAsia"/>
                <w:kern w:val="0"/>
                <w:sz w:val="24"/>
                <w:szCs w:val="24"/>
                <w:lang w:bidi="ar"/>
              </w:rPr>
              <w:t>3</w:t>
            </w:r>
          </w:p>
        </w:tc>
      </w:tr>
      <w:tr w:rsidR="006D632C">
        <w:tc>
          <w:tcPr>
            <w:tcW w:w="8003" w:type="dxa"/>
            <w:gridSpan w:val="3"/>
            <w:vAlign w:val="center"/>
          </w:tcPr>
          <w:p w:rsidR="006D632C" w:rsidRDefault="005E2CB3">
            <w:pP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小计</w:t>
            </w:r>
          </w:p>
        </w:tc>
        <w:tc>
          <w:tcPr>
            <w:tcW w:w="1559" w:type="dxa"/>
            <w:vAlign w:val="center"/>
          </w:tcPr>
          <w:p w:rsidR="006D632C" w:rsidRDefault="005E2CB3">
            <w:pPr>
              <w:widowControl/>
              <w:ind w:firstLineChars="200" w:firstLine="480"/>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10</w:t>
            </w:r>
          </w:p>
        </w:tc>
      </w:tr>
      <w:tr w:rsidR="006D632C">
        <w:tc>
          <w:tcPr>
            <w:tcW w:w="1590" w:type="dxa"/>
            <w:vMerge w:val="restart"/>
            <w:shd w:val="clear" w:color="auto" w:fill="auto"/>
            <w:vAlign w:val="center"/>
          </w:tcPr>
          <w:p w:rsidR="006D632C" w:rsidRDefault="005E2CB3">
            <w:pPr>
              <w:widowControl/>
              <w:rPr>
                <w:rFonts w:ascii="方正仿宋_GB2312" w:eastAsia="方正仿宋_GB2312" w:hAnsi="方正仿宋_GB2312" w:cs="方正仿宋_GB2312"/>
                <w:sz w:val="24"/>
                <w:szCs w:val="24"/>
              </w:rPr>
            </w:pPr>
            <w:r>
              <w:rPr>
                <w:rFonts w:ascii="方正仿宋_GB2312" w:eastAsia="方正仿宋_GB2312" w:hAnsi="方正仿宋_GB2312" w:cs="方正仿宋_GB2312" w:hint="eastAsia"/>
                <w:kern w:val="0"/>
                <w:sz w:val="24"/>
                <w:szCs w:val="24"/>
                <w:lang w:bidi="ar"/>
              </w:rPr>
              <w:t>二、工程建设质量</w:t>
            </w:r>
          </w:p>
        </w:tc>
        <w:tc>
          <w:tcPr>
            <w:tcW w:w="2099" w:type="dxa"/>
            <w:shd w:val="clear" w:color="auto" w:fill="auto"/>
            <w:vAlign w:val="center"/>
          </w:tcPr>
          <w:p w:rsidR="006D632C" w:rsidRDefault="005E2CB3">
            <w:pPr>
              <w:widowControl/>
              <w:rPr>
                <w:rFonts w:ascii="方正仿宋_GB2312" w:eastAsia="方正仿宋_GB2312" w:hAnsi="方正仿宋_GB2312" w:cs="方正仿宋_GB2312"/>
                <w:sz w:val="24"/>
                <w:szCs w:val="24"/>
              </w:rPr>
            </w:pPr>
            <w:r>
              <w:rPr>
                <w:rFonts w:ascii="方正仿宋_GB2312" w:eastAsia="方正仿宋_GB2312" w:hAnsi="方正仿宋_GB2312" w:cs="方正仿宋_GB2312" w:hint="eastAsia"/>
                <w:kern w:val="0"/>
                <w:sz w:val="24"/>
                <w:szCs w:val="24"/>
                <w:lang w:bidi="ar"/>
              </w:rPr>
              <w:t>土建工程质量</w:t>
            </w:r>
          </w:p>
        </w:tc>
        <w:tc>
          <w:tcPr>
            <w:tcW w:w="4314" w:type="dxa"/>
            <w:shd w:val="clear" w:color="auto" w:fill="auto"/>
            <w:vAlign w:val="center"/>
          </w:tcPr>
          <w:p w:rsidR="006D632C" w:rsidRDefault="005E2CB3">
            <w:pPr>
              <w:widowControl/>
              <w:rPr>
                <w:rFonts w:ascii="方正仿宋_GB2312" w:eastAsia="方正仿宋_GB2312" w:hAnsi="方正仿宋_GB2312" w:cs="方正仿宋_GB2312"/>
                <w:sz w:val="24"/>
                <w:szCs w:val="24"/>
              </w:rPr>
            </w:pPr>
            <w:r>
              <w:rPr>
                <w:rFonts w:ascii="方正仿宋_GB2312" w:eastAsia="方正仿宋_GB2312" w:hAnsi="方正仿宋_GB2312" w:cs="方正仿宋_GB2312" w:hint="eastAsia"/>
                <w:kern w:val="0"/>
                <w:sz w:val="24"/>
                <w:szCs w:val="24"/>
                <w:lang w:bidi="ar"/>
              </w:rPr>
              <w:t>基础施工、道路、吊装平台等质量达标情况</w:t>
            </w:r>
          </w:p>
        </w:tc>
        <w:tc>
          <w:tcPr>
            <w:tcW w:w="1559" w:type="dxa"/>
            <w:shd w:val="clear" w:color="auto" w:fill="auto"/>
            <w:vAlign w:val="center"/>
          </w:tcPr>
          <w:p w:rsidR="006D632C" w:rsidRDefault="005E2CB3">
            <w:pPr>
              <w:widowControl/>
              <w:ind w:firstLineChars="200" w:firstLine="480"/>
              <w:rPr>
                <w:rFonts w:ascii="方正仿宋_GB2312" w:eastAsia="方正仿宋_GB2312" w:hAnsi="方正仿宋_GB2312" w:cs="方正仿宋_GB2312"/>
                <w:sz w:val="24"/>
                <w:szCs w:val="24"/>
              </w:rPr>
            </w:pPr>
            <w:r>
              <w:rPr>
                <w:rFonts w:ascii="方正仿宋_GB2312" w:eastAsia="方正仿宋_GB2312" w:hAnsi="方正仿宋_GB2312" w:cs="方正仿宋_GB2312" w:hint="eastAsia"/>
                <w:kern w:val="0"/>
                <w:sz w:val="24"/>
                <w:szCs w:val="24"/>
                <w:lang w:bidi="ar"/>
              </w:rPr>
              <w:t>5</w:t>
            </w:r>
          </w:p>
        </w:tc>
      </w:tr>
      <w:tr w:rsidR="006D632C">
        <w:trPr>
          <w:trHeight w:val="504"/>
        </w:trPr>
        <w:tc>
          <w:tcPr>
            <w:tcW w:w="1590" w:type="dxa"/>
            <w:vMerge/>
            <w:vAlign w:val="center"/>
          </w:tcPr>
          <w:p w:rsidR="006D632C" w:rsidRDefault="006D632C">
            <w:pPr>
              <w:adjustRightInd/>
              <w:rPr>
                <w:rFonts w:ascii="宋体" w:hAnsi="宋体"/>
                <w:color w:val="000000"/>
              </w:rPr>
            </w:pPr>
          </w:p>
        </w:tc>
        <w:tc>
          <w:tcPr>
            <w:tcW w:w="2099" w:type="dxa"/>
            <w:shd w:val="clear" w:color="auto" w:fill="auto"/>
            <w:vAlign w:val="center"/>
          </w:tcPr>
          <w:p w:rsidR="006D632C" w:rsidRDefault="005E2CB3">
            <w:pPr>
              <w:widowControl/>
              <w:rPr>
                <w:rFonts w:ascii="方正仿宋_GB2312" w:eastAsia="方正仿宋_GB2312" w:hAnsi="方正仿宋_GB2312" w:cs="方正仿宋_GB2312"/>
                <w:sz w:val="24"/>
                <w:szCs w:val="24"/>
              </w:rPr>
            </w:pPr>
            <w:r>
              <w:rPr>
                <w:rFonts w:ascii="方正仿宋_GB2312" w:eastAsia="方正仿宋_GB2312" w:hAnsi="方正仿宋_GB2312" w:cs="方正仿宋_GB2312" w:hint="eastAsia"/>
                <w:kern w:val="0"/>
                <w:sz w:val="24"/>
                <w:szCs w:val="24"/>
                <w:lang w:bidi="ar"/>
              </w:rPr>
              <w:t>电气安装质量</w:t>
            </w:r>
          </w:p>
        </w:tc>
        <w:tc>
          <w:tcPr>
            <w:tcW w:w="4314" w:type="dxa"/>
            <w:shd w:val="clear" w:color="auto" w:fill="auto"/>
            <w:vAlign w:val="center"/>
          </w:tcPr>
          <w:p w:rsidR="006D632C" w:rsidRDefault="005E2CB3">
            <w:pPr>
              <w:widowControl/>
              <w:rPr>
                <w:rFonts w:ascii="方正仿宋_GB2312" w:eastAsia="方正仿宋_GB2312" w:hAnsi="方正仿宋_GB2312" w:cs="方正仿宋_GB2312"/>
                <w:sz w:val="24"/>
                <w:szCs w:val="24"/>
              </w:rPr>
            </w:pPr>
            <w:r>
              <w:rPr>
                <w:rFonts w:ascii="方正仿宋_GB2312" w:eastAsia="方正仿宋_GB2312" w:hAnsi="方正仿宋_GB2312" w:cs="方正仿宋_GB2312" w:hint="eastAsia"/>
                <w:kern w:val="0"/>
                <w:sz w:val="24"/>
                <w:szCs w:val="24"/>
                <w:lang w:bidi="ar"/>
              </w:rPr>
              <w:t>电缆敷设、接线端子、接地等施工规范性</w:t>
            </w:r>
          </w:p>
        </w:tc>
        <w:tc>
          <w:tcPr>
            <w:tcW w:w="1559" w:type="dxa"/>
            <w:shd w:val="clear" w:color="auto" w:fill="auto"/>
            <w:vAlign w:val="center"/>
          </w:tcPr>
          <w:p w:rsidR="006D632C" w:rsidRDefault="005E2CB3">
            <w:pPr>
              <w:widowControl/>
              <w:ind w:firstLineChars="200" w:firstLine="480"/>
              <w:rPr>
                <w:rFonts w:ascii="方正仿宋_GB2312" w:eastAsia="方正仿宋_GB2312" w:hAnsi="方正仿宋_GB2312" w:cs="方正仿宋_GB2312"/>
                <w:sz w:val="24"/>
                <w:szCs w:val="24"/>
              </w:rPr>
            </w:pPr>
            <w:r>
              <w:rPr>
                <w:rFonts w:ascii="方正仿宋_GB2312" w:eastAsia="方正仿宋_GB2312" w:hAnsi="方正仿宋_GB2312" w:cs="方正仿宋_GB2312" w:hint="eastAsia"/>
                <w:kern w:val="0"/>
                <w:sz w:val="24"/>
                <w:szCs w:val="24"/>
                <w:lang w:bidi="ar"/>
              </w:rPr>
              <w:t>5</w:t>
            </w:r>
          </w:p>
        </w:tc>
      </w:tr>
      <w:tr w:rsidR="006D632C">
        <w:tc>
          <w:tcPr>
            <w:tcW w:w="1590" w:type="dxa"/>
            <w:vMerge/>
            <w:vAlign w:val="center"/>
          </w:tcPr>
          <w:p w:rsidR="006D632C" w:rsidRDefault="006D632C">
            <w:pPr>
              <w:adjustRightInd/>
              <w:rPr>
                <w:rFonts w:ascii="宋体" w:hAnsi="宋体"/>
                <w:color w:val="000000"/>
              </w:rPr>
            </w:pPr>
          </w:p>
        </w:tc>
        <w:tc>
          <w:tcPr>
            <w:tcW w:w="2099" w:type="dxa"/>
            <w:shd w:val="clear" w:color="auto" w:fill="auto"/>
            <w:vAlign w:val="center"/>
          </w:tcPr>
          <w:p w:rsidR="006D632C" w:rsidRDefault="005E2CB3">
            <w:pPr>
              <w:widowControl/>
              <w:rPr>
                <w:rFonts w:ascii="方正仿宋_GB2312" w:eastAsia="方正仿宋_GB2312" w:hAnsi="方正仿宋_GB2312" w:cs="方正仿宋_GB2312"/>
                <w:sz w:val="24"/>
                <w:szCs w:val="24"/>
              </w:rPr>
            </w:pPr>
            <w:r>
              <w:rPr>
                <w:rFonts w:ascii="方正仿宋_GB2312" w:eastAsia="方正仿宋_GB2312" w:hAnsi="方正仿宋_GB2312" w:cs="方正仿宋_GB2312" w:hint="eastAsia"/>
                <w:kern w:val="0"/>
                <w:sz w:val="24"/>
                <w:szCs w:val="24"/>
                <w:lang w:bidi="ar"/>
              </w:rPr>
              <w:t>风机安装与调试</w:t>
            </w:r>
          </w:p>
        </w:tc>
        <w:tc>
          <w:tcPr>
            <w:tcW w:w="4314" w:type="dxa"/>
            <w:shd w:val="clear" w:color="auto" w:fill="auto"/>
            <w:vAlign w:val="center"/>
          </w:tcPr>
          <w:p w:rsidR="006D632C" w:rsidRDefault="005E2CB3">
            <w:pPr>
              <w:widowControl/>
              <w:rPr>
                <w:rFonts w:ascii="方正仿宋_GB2312" w:eastAsia="方正仿宋_GB2312" w:hAnsi="方正仿宋_GB2312" w:cs="方正仿宋_GB2312"/>
                <w:sz w:val="24"/>
                <w:szCs w:val="24"/>
              </w:rPr>
            </w:pPr>
            <w:r>
              <w:rPr>
                <w:rFonts w:ascii="方正仿宋_GB2312" w:eastAsia="方正仿宋_GB2312" w:hAnsi="方正仿宋_GB2312" w:cs="方正仿宋_GB2312" w:hint="eastAsia"/>
                <w:kern w:val="0"/>
                <w:sz w:val="24"/>
                <w:szCs w:val="24"/>
                <w:lang w:bidi="ar"/>
              </w:rPr>
              <w:t>安装规范性、调试记录完整性、试运行效果</w:t>
            </w:r>
          </w:p>
        </w:tc>
        <w:tc>
          <w:tcPr>
            <w:tcW w:w="1559" w:type="dxa"/>
            <w:shd w:val="clear" w:color="auto" w:fill="auto"/>
            <w:vAlign w:val="center"/>
          </w:tcPr>
          <w:p w:rsidR="006D632C" w:rsidRDefault="005E2CB3">
            <w:pPr>
              <w:widowControl/>
              <w:ind w:firstLineChars="200" w:firstLine="480"/>
              <w:rPr>
                <w:rFonts w:ascii="方正仿宋_GB2312" w:eastAsia="方正仿宋_GB2312" w:hAnsi="方正仿宋_GB2312" w:cs="方正仿宋_GB2312"/>
                <w:sz w:val="24"/>
                <w:szCs w:val="24"/>
              </w:rPr>
            </w:pPr>
            <w:r>
              <w:rPr>
                <w:rFonts w:ascii="方正仿宋_GB2312" w:eastAsia="方正仿宋_GB2312" w:hAnsi="方正仿宋_GB2312" w:cs="方正仿宋_GB2312" w:hint="eastAsia"/>
                <w:kern w:val="0"/>
                <w:sz w:val="24"/>
                <w:szCs w:val="24"/>
                <w:lang w:bidi="ar"/>
              </w:rPr>
              <w:t>5</w:t>
            </w:r>
          </w:p>
        </w:tc>
      </w:tr>
      <w:tr w:rsidR="006D632C">
        <w:tc>
          <w:tcPr>
            <w:tcW w:w="8003" w:type="dxa"/>
            <w:gridSpan w:val="3"/>
            <w:vAlign w:val="center"/>
          </w:tcPr>
          <w:p w:rsidR="006D632C" w:rsidRDefault="005E2CB3">
            <w:pP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小计</w:t>
            </w:r>
          </w:p>
        </w:tc>
        <w:tc>
          <w:tcPr>
            <w:tcW w:w="1559" w:type="dxa"/>
            <w:vAlign w:val="center"/>
          </w:tcPr>
          <w:p w:rsidR="006D632C" w:rsidRDefault="005E2CB3">
            <w:pPr>
              <w:widowControl/>
              <w:ind w:firstLineChars="200" w:firstLine="480"/>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10</w:t>
            </w:r>
          </w:p>
        </w:tc>
      </w:tr>
      <w:tr w:rsidR="006D632C">
        <w:tc>
          <w:tcPr>
            <w:tcW w:w="1590" w:type="dxa"/>
            <w:vMerge w:val="restart"/>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三、设备与系统运行质量</w:t>
            </w: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可利用率</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风机月</w:t>
            </w:r>
            <w:r>
              <w:rPr>
                <w:rFonts w:ascii="方正仿宋_GB2312" w:eastAsia="方正仿宋_GB2312" w:hAnsi="方正仿宋_GB2312" w:cs="方正仿宋_GB2312" w:hint="eastAsia"/>
                <w:kern w:val="0"/>
                <w:sz w:val="24"/>
                <w:szCs w:val="24"/>
                <w:lang w:bidi="ar"/>
              </w:rPr>
              <w:t>/</w:t>
            </w:r>
            <w:r>
              <w:rPr>
                <w:rFonts w:ascii="方正仿宋_GB2312" w:eastAsia="方正仿宋_GB2312" w:hAnsi="方正仿宋_GB2312" w:cs="方正仿宋_GB2312" w:hint="eastAsia"/>
                <w:kern w:val="0"/>
                <w:sz w:val="24"/>
                <w:szCs w:val="24"/>
                <w:lang w:bidi="ar"/>
              </w:rPr>
              <w:t>年可利用率达标情况</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5</w:t>
            </w:r>
          </w:p>
        </w:tc>
      </w:tr>
      <w:tr w:rsidR="006D632C">
        <w:tc>
          <w:tcPr>
            <w:tcW w:w="1590" w:type="dxa"/>
            <w:vMerge/>
            <w:vAlign w:val="center"/>
          </w:tcPr>
          <w:p w:rsidR="006D632C" w:rsidRDefault="006D632C">
            <w:pPr>
              <w:rPr>
                <w:rFonts w:ascii="宋体" w:hAnsi="宋体"/>
                <w:color w:val="000000"/>
              </w:rPr>
            </w:pP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故障率</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单台风机年均故障次数</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4</w:t>
            </w:r>
          </w:p>
        </w:tc>
      </w:tr>
      <w:tr w:rsidR="006D632C">
        <w:tc>
          <w:tcPr>
            <w:tcW w:w="1590" w:type="dxa"/>
            <w:vMerge/>
            <w:vAlign w:val="center"/>
          </w:tcPr>
          <w:p w:rsidR="006D632C" w:rsidRDefault="006D632C">
            <w:pPr>
              <w:rPr>
                <w:rFonts w:ascii="宋体" w:hAnsi="宋体"/>
                <w:color w:val="000000"/>
              </w:rPr>
            </w:pP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电气系统运行稳定性</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集电线路、升压站等系统运行故障率</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3</w:t>
            </w:r>
          </w:p>
        </w:tc>
      </w:tr>
      <w:tr w:rsidR="006D632C">
        <w:tc>
          <w:tcPr>
            <w:tcW w:w="8003" w:type="dxa"/>
            <w:gridSpan w:val="3"/>
            <w:vAlign w:val="center"/>
          </w:tcPr>
          <w:p w:rsidR="006D632C" w:rsidRDefault="005E2CB3">
            <w:pP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小计</w:t>
            </w:r>
          </w:p>
        </w:tc>
        <w:tc>
          <w:tcPr>
            <w:tcW w:w="1559" w:type="dxa"/>
            <w:vAlign w:val="center"/>
          </w:tcPr>
          <w:p w:rsidR="006D632C" w:rsidRDefault="005E2CB3">
            <w:pPr>
              <w:widowControl/>
              <w:jc w:val="cente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12</w:t>
            </w:r>
          </w:p>
        </w:tc>
      </w:tr>
      <w:tr w:rsidR="006D632C">
        <w:tc>
          <w:tcPr>
            <w:tcW w:w="1590" w:type="dxa"/>
            <w:vMerge w:val="restart"/>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四、发电绩效</w:t>
            </w: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发电量达成率</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实际发电量与设计预测值之比</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6</w:t>
            </w:r>
          </w:p>
        </w:tc>
      </w:tr>
      <w:tr w:rsidR="006D632C">
        <w:tc>
          <w:tcPr>
            <w:tcW w:w="1590" w:type="dxa"/>
            <w:vMerge/>
            <w:vAlign w:val="center"/>
          </w:tcPr>
          <w:p w:rsidR="006D632C" w:rsidRDefault="006D632C">
            <w:pPr>
              <w:rPr>
                <w:rFonts w:ascii="宋体" w:hAnsi="宋体"/>
                <w:color w:val="000000"/>
              </w:rPr>
            </w:pP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上网电量完成率</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实际上网电量与核准容量的比值</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4</w:t>
            </w:r>
          </w:p>
        </w:tc>
      </w:tr>
      <w:tr w:rsidR="006D632C">
        <w:tc>
          <w:tcPr>
            <w:tcW w:w="8003" w:type="dxa"/>
            <w:gridSpan w:val="3"/>
            <w:vAlign w:val="center"/>
          </w:tcPr>
          <w:p w:rsidR="006D632C" w:rsidRDefault="005E2CB3">
            <w:pP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小计</w:t>
            </w:r>
          </w:p>
        </w:tc>
        <w:tc>
          <w:tcPr>
            <w:tcW w:w="1559" w:type="dxa"/>
            <w:vAlign w:val="center"/>
          </w:tcPr>
          <w:p w:rsidR="006D632C" w:rsidRDefault="005E2CB3">
            <w:pPr>
              <w:widowControl/>
              <w:jc w:val="cente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10</w:t>
            </w:r>
          </w:p>
        </w:tc>
      </w:tr>
      <w:tr w:rsidR="006D632C">
        <w:tc>
          <w:tcPr>
            <w:tcW w:w="1590" w:type="dxa"/>
            <w:vMerge w:val="restart"/>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五、运维管理</w:t>
            </w: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运维制度健全性</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是否制定标准化运维制度与计划</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4</w:t>
            </w:r>
          </w:p>
        </w:tc>
      </w:tr>
      <w:tr w:rsidR="006D632C">
        <w:tc>
          <w:tcPr>
            <w:tcW w:w="1590" w:type="dxa"/>
            <w:vMerge/>
            <w:vAlign w:val="center"/>
          </w:tcPr>
          <w:p w:rsidR="006D632C" w:rsidRDefault="006D632C">
            <w:pPr>
              <w:rPr>
                <w:rFonts w:ascii="宋体" w:hAnsi="宋体"/>
                <w:color w:val="000000"/>
              </w:rPr>
            </w:pP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巡检与缺陷处理</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日常巡检覆盖率、缺陷整改闭环率</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3</w:t>
            </w:r>
          </w:p>
        </w:tc>
      </w:tr>
      <w:tr w:rsidR="006D632C">
        <w:tc>
          <w:tcPr>
            <w:tcW w:w="1590" w:type="dxa"/>
            <w:vMerge/>
            <w:vAlign w:val="center"/>
          </w:tcPr>
          <w:p w:rsidR="006D632C" w:rsidRDefault="006D632C">
            <w:pPr>
              <w:rPr>
                <w:rFonts w:ascii="宋体" w:hAnsi="宋体"/>
                <w:color w:val="000000"/>
              </w:rPr>
            </w:pP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备件与应急管理</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备品备件管理制度、应急响应能力</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3</w:t>
            </w:r>
          </w:p>
        </w:tc>
      </w:tr>
      <w:tr w:rsidR="006D632C">
        <w:tc>
          <w:tcPr>
            <w:tcW w:w="8003" w:type="dxa"/>
            <w:gridSpan w:val="3"/>
            <w:vAlign w:val="center"/>
          </w:tcPr>
          <w:p w:rsidR="006D632C" w:rsidRDefault="005E2CB3">
            <w:pP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小计</w:t>
            </w:r>
          </w:p>
        </w:tc>
        <w:tc>
          <w:tcPr>
            <w:tcW w:w="1559" w:type="dxa"/>
            <w:vAlign w:val="center"/>
          </w:tcPr>
          <w:p w:rsidR="006D632C" w:rsidRDefault="005E2CB3">
            <w:pPr>
              <w:widowControl/>
              <w:jc w:val="cente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10</w:t>
            </w:r>
          </w:p>
        </w:tc>
      </w:tr>
      <w:tr w:rsidR="006D632C">
        <w:tc>
          <w:tcPr>
            <w:tcW w:w="1590" w:type="dxa"/>
            <w:vMerge w:val="restart"/>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六、安全与环保</w:t>
            </w: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安全事故记录</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是否发生重大安全事故或责任事故</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5</w:t>
            </w:r>
          </w:p>
        </w:tc>
      </w:tr>
      <w:tr w:rsidR="006D632C">
        <w:tc>
          <w:tcPr>
            <w:tcW w:w="1590" w:type="dxa"/>
            <w:vMerge/>
            <w:vAlign w:val="center"/>
          </w:tcPr>
          <w:p w:rsidR="006D632C" w:rsidRDefault="006D632C">
            <w:pPr>
              <w:rPr>
                <w:rFonts w:ascii="宋体" w:hAnsi="宋体"/>
                <w:color w:val="000000"/>
              </w:rPr>
            </w:pP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环保达标情况</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噪声、鸟类、植被、排放符合环保标准</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3</w:t>
            </w:r>
          </w:p>
        </w:tc>
      </w:tr>
      <w:tr w:rsidR="006D632C">
        <w:tc>
          <w:tcPr>
            <w:tcW w:w="1590" w:type="dxa"/>
            <w:vMerge/>
            <w:vAlign w:val="center"/>
          </w:tcPr>
          <w:p w:rsidR="006D632C" w:rsidRDefault="006D632C">
            <w:pPr>
              <w:rPr>
                <w:rFonts w:ascii="宋体" w:hAnsi="宋体"/>
                <w:color w:val="000000"/>
              </w:rPr>
            </w:pP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安全管理体系建设</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是否建立隐患排查、培训制度、应急演练机制</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2</w:t>
            </w:r>
          </w:p>
        </w:tc>
      </w:tr>
      <w:tr w:rsidR="006D632C">
        <w:tc>
          <w:tcPr>
            <w:tcW w:w="8003" w:type="dxa"/>
            <w:gridSpan w:val="3"/>
            <w:vAlign w:val="center"/>
          </w:tcPr>
          <w:p w:rsidR="006D632C" w:rsidRDefault="005E2CB3">
            <w:pP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小计</w:t>
            </w:r>
          </w:p>
        </w:tc>
        <w:tc>
          <w:tcPr>
            <w:tcW w:w="1559" w:type="dxa"/>
            <w:vAlign w:val="center"/>
          </w:tcPr>
          <w:p w:rsidR="006D632C" w:rsidRDefault="005E2CB3">
            <w:pPr>
              <w:widowControl/>
              <w:jc w:val="cente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10</w:t>
            </w:r>
          </w:p>
        </w:tc>
      </w:tr>
      <w:tr w:rsidR="006D632C">
        <w:tc>
          <w:tcPr>
            <w:tcW w:w="1590" w:type="dxa"/>
            <w:vMerge w:val="restart"/>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七、综合管理与合规性</w:t>
            </w: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合规性检查</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是否符合国家政策法规及相关技术标准</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3</w:t>
            </w:r>
          </w:p>
        </w:tc>
      </w:tr>
      <w:tr w:rsidR="006D632C">
        <w:tc>
          <w:tcPr>
            <w:tcW w:w="1590" w:type="dxa"/>
            <w:vMerge/>
            <w:vAlign w:val="center"/>
          </w:tcPr>
          <w:p w:rsidR="006D632C" w:rsidRDefault="006D632C">
            <w:pPr>
              <w:rPr>
                <w:rFonts w:ascii="宋体" w:hAnsi="宋体"/>
                <w:color w:val="000000"/>
              </w:rPr>
            </w:pP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信息化水平</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是否应用远程监控、数据分析、故障诊断系统</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2</w:t>
            </w:r>
          </w:p>
        </w:tc>
      </w:tr>
      <w:tr w:rsidR="006D632C">
        <w:tc>
          <w:tcPr>
            <w:tcW w:w="1590" w:type="dxa"/>
            <w:vMerge/>
            <w:vAlign w:val="center"/>
          </w:tcPr>
          <w:p w:rsidR="006D632C" w:rsidRDefault="006D632C">
            <w:pPr>
              <w:rPr>
                <w:rFonts w:ascii="宋体" w:hAnsi="宋体"/>
                <w:color w:val="000000"/>
              </w:rPr>
            </w:pPr>
          </w:p>
        </w:tc>
        <w:tc>
          <w:tcPr>
            <w:tcW w:w="2099"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业主管理能力</w:t>
            </w:r>
          </w:p>
        </w:tc>
        <w:tc>
          <w:tcPr>
            <w:tcW w:w="4314" w:type="dxa"/>
            <w:vAlign w:val="center"/>
          </w:tcPr>
          <w:p w:rsidR="006D632C" w:rsidRDefault="005E2CB3">
            <w:pPr>
              <w:widowControl/>
              <w:rPr>
                <w:rFonts w:ascii="宋体" w:hAnsi="宋体"/>
                <w:color w:val="000000"/>
              </w:rPr>
            </w:pPr>
            <w:r>
              <w:rPr>
                <w:rFonts w:ascii="方正仿宋_GB2312" w:eastAsia="方正仿宋_GB2312" w:hAnsi="方正仿宋_GB2312" w:cs="方正仿宋_GB2312" w:hint="eastAsia"/>
                <w:kern w:val="0"/>
                <w:sz w:val="24"/>
                <w:szCs w:val="24"/>
                <w:lang w:bidi="ar"/>
              </w:rPr>
              <w:t>项目管理规范性、合同执行与文档记录情况</w:t>
            </w:r>
          </w:p>
        </w:tc>
        <w:tc>
          <w:tcPr>
            <w:tcW w:w="1559" w:type="dxa"/>
            <w:vAlign w:val="center"/>
          </w:tcPr>
          <w:p w:rsidR="006D632C" w:rsidRDefault="005E2CB3">
            <w:pPr>
              <w:widowControl/>
              <w:jc w:val="center"/>
              <w:rPr>
                <w:rFonts w:ascii="宋体" w:hAnsi="宋体"/>
                <w:color w:val="000000"/>
              </w:rPr>
            </w:pPr>
            <w:r>
              <w:rPr>
                <w:rFonts w:ascii="方正仿宋_GB2312" w:eastAsia="方正仿宋_GB2312" w:hAnsi="方正仿宋_GB2312" w:cs="方正仿宋_GB2312" w:hint="eastAsia"/>
                <w:kern w:val="0"/>
                <w:sz w:val="24"/>
                <w:szCs w:val="24"/>
                <w:lang w:bidi="ar"/>
              </w:rPr>
              <w:t>3</w:t>
            </w:r>
          </w:p>
        </w:tc>
      </w:tr>
      <w:tr w:rsidR="006D632C">
        <w:tc>
          <w:tcPr>
            <w:tcW w:w="8003" w:type="dxa"/>
            <w:gridSpan w:val="3"/>
            <w:vAlign w:val="center"/>
          </w:tcPr>
          <w:p w:rsidR="006D632C" w:rsidRDefault="005E2CB3">
            <w:pP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小计</w:t>
            </w:r>
          </w:p>
        </w:tc>
        <w:tc>
          <w:tcPr>
            <w:tcW w:w="1559" w:type="dxa"/>
            <w:vAlign w:val="center"/>
          </w:tcPr>
          <w:p w:rsidR="006D632C" w:rsidRDefault="005E2CB3">
            <w:pPr>
              <w:widowControl/>
              <w:jc w:val="center"/>
              <w:rPr>
                <w:rFonts w:ascii="宋体" w:hAnsi="宋体"/>
                <w:color w:val="000000"/>
              </w:rPr>
            </w:pPr>
            <w:r>
              <w:rPr>
                <w:rStyle w:val="affff5"/>
                <w:rFonts w:ascii="方正仿宋_GB2312" w:eastAsia="方正仿宋_GB2312" w:hAnsi="方正仿宋_GB2312" w:cs="方正仿宋_GB2312" w:hint="eastAsia"/>
                <w:b w:val="0"/>
                <w:bCs w:val="0"/>
                <w:kern w:val="0"/>
                <w:sz w:val="24"/>
                <w:szCs w:val="24"/>
                <w:lang w:bidi="ar"/>
              </w:rPr>
              <w:t>8</w:t>
            </w:r>
          </w:p>
        </w:tc>
      </w:tr>
    </w:tbl>
    <w:p w:rsidR="006D632C" w:rsidRDefault="005E2CB3">
      <w:pPr>
        <w:pStyle w:val="affff1"/>
        <w:spacing w:beforeLines="50" w:before="156" w:beforeAutospacing="0" w:afterLines="50" w:after="156" w:afterAutospacing="0" w:line="400" w:lineRule="exact"/>
        <w:outlineLvl w:val="0"/>
        <w:rPr>
          <w:rFonts w:ascii="方正仿宋_GB2312" w:eastAsia="方正仿宋_GB2312" w:hAnsi="方正仿宋_GB2312" w:cs="方正仿宋_GB2312"/>
          <w:b/>
          <w:bCs/>
        </w:rPr>
      </w:pPr>
      <w:bookmarkStart w:id="67" w:name="_Toc19114"/>
      <w:r>
        <w:rPr>
          <w:rFonts w:ascii="方正仿宋_GB2312" w:eastAsia="方正仿宋_GB2312" w:hAnsi="方正仿宋_GB2312" w:cs="方正仿宋_GB2312" w:hint="eastAsia"/>
          <w:b/>
          <w:bCs/>
        </w:rPr>
        <w:t xml:space="preserve">7 </w:t>
      </w:r>
      <w:r>
        <w:rPr>
          <w:rFonts w:ascii="方正仿宋_GB2312" w:eastAsia="方正仿宋_GB2312" w:hAnsi="方正仿宋_GB2312" w:cs="方正仿宋_GB2312" w:hint="eastAsia"/>
          <w:b/>
          <w:bCs/>
        </w:rPr>
        <w:t>评估方法  </w:t>
      </w:r>
      <w:bookmarkEnd w:id="67"/>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7.1 </w:t>
      </w:r>
      <w:r>
        <w:rPr>
          <w:rFonts w:ascii="方正仿宋_GB2312" w:eastAsia="方正仿宋_GB2312" w:hAnsi="方正仿宋_GB2312" w:cs="方正仿宋_GB2312" w:hint="eastAsia"/>
          <w:b/>
          <w:bCs/>
        </w:rPr>
        <w:t>文件审查</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文件审查是质量评估的基础环节，主要通过对风力发电场相关文件资料的完整性、真实性、规范性进行核查，以初步判断项目质量管理与实施情况。文件审查应包括以下内容：</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7.1.1 </w:t>
      </w:r>
      <w:r>
        <w:rPr>
          <w:rFonts w:ascii="方正仿宋_GB2312" w:eastAsia="方正仿宋_GB2312" w:hAnsi="方正仿宋_GB2312" w:cs="方正仿宋_GB2312" w:hint="eastAsia"/>
          <w:b/>
          <w:bCs/>
        </w:rPr>
        <w:t>审查内容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项目基本资料</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项目核准文件、环评批复、土地使用批复、施工许可、并网协议等行政许可文件；</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项目建设单位、设计单位、施工单位、监理单位及设备供应商等基本情况。</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设计与资源评估文件</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风资源评估报告、测风塔数据、年发电量预测报告；</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场址选择分析报告、初设文件、施工图纸、技术参数清单。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施工与验收资料</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开工报告、施工组织设计</w:t>
      </w:r>
      <w:r>
        <w:rPr>
          <w:rFonts w:ascii="方正仿宋_GB2312" w:eastAsia="方正仿宋_GB2312" w:hAnsi="方正仿宋_GB2312" w:cs="方正仿宋_GB2312" w:hint="eastAsia"/>
        </w:rPr>
        <w:t>、安全施工方案；</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施工过程监理日志、工程变更记录、试验检测报告、质量控制记录；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分部工程验收记录、竣工验收报告及备案资料。</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4</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运行与维护资料</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风机运行数据（</w:t>
      </w:r>
      <w:r>
        <w:rPr>
          <w:rFonts w:ascii="方正仿宋_GB2312" w:eastAsia="方正仿宋_GB2312" w:hAnsi="方正仿宋_GB2312" w:cs="方正仿宋_GB2312" w:hint="eastAsia"/>
        </w:rPr>
        <w:t xml:space="preserve">SCADA </w:t>
      </w:r>
      <w:r>
        <w:rPr>
          <w:rFonts w:ascii="方正仿宋_GB2312" w:eastAsia="方正仿宋_GB2312" w:hAnsi="方正仿宋_GB2312" w:cs="方正仿宋_GB2312" w:hint="eastAsia"/>
        </w:rPr>
        <w:t>数据）、电量统计表、运行日志；</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故障记录、检修维护记录、故障处理流程；</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运维单位资质文件、人员培训记录、备件清单。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5</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安全与环保相关资料</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安全风险评估报告、安全生产管理制度；</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环保监测报告、环保设施运行记录；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应急预案与演练记录。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6</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管理与合规资料</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质量管理体系文件（如</w:t>
      </w:r>
      <w:r>
        <w:rPr>
          <w:rFonts w:ascii="方正仿宋_GB2312" w:eastAsia="方正仿宋_GB2312" w:hAnsi="方正仿宋_GB2312" w:cs="方正仿宋_GB2312" w:hint="eastAsia"/>
        </w:rPr>
        <w:t>ISO 9001</w:t>
      </w:r>
      <w:r>
        <w:rPr>
          <w:rFonts w:ascii="方正仿宋_GB2312" w:eastAsia="方正仿宋_GB2312" w:hAnsi="方正仿宋_GB2312" w:cs="方正仿宋_GB2312" w:hint="eastAsia"/>
        </w:rPr>
        <w:t>）；</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项目内审与自评报告；</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政府部门抽查记录、整改报告等。</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7.1.2 </w:t>
      </w:r>
      <w:r>
        <w:rPr>
          <w:rFonts w:ascii="方正仿宋_GB2312" w:eastAsia="方正仿宋_GB2312" w:hAnsi="方正仿宋_GB2312" w:cs="方正仿宋_GB2312" w:hint="eastAsia"/>
          <w:b/>
          <w:bCs/>
        </w:rPr>
        <w:t>审查方式</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lastRenderedPageBreak/>
        <w:t>现场查阅与比对：评估人员应在被评单位现场查阅原始文档与电子档，核实文件内容是否一致；</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资料清单式检查：制定标准化文件清单逐项打勾登记，标明缺失、缺项、过期或疑点内容；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重点资料抽样复核：对关键数据（如发电量、风机故障记录）与系统数据进行抽样复核，确保其真实可用。</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7.1.3 </w:t>
      </w:r>
      <w:r>
        <w:rPr>
          <w:rFonts w:ascii="方正仿宋_GB2312" w:eastAsia="方正仿宋_GB2312" w:hAnsi="方正仿宋_GB2312" w:cs="方正仿宋_GB2312" w:hint="eastAsia"/>
          <w:b/>
          <w:bCs/>
        </w:rPr>
        <w:t>审查要求</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所有文件应加盖相关责任单位公章，签字齐全；</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所有资料应保存完整、分类有序、追溯性强；</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纸质文档与电子档案应同步更新，关键数据应有备份；</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缺失、造假或拒绝提供文件视为重大评估</w:t>
      </w:r>
      <w:r>
        <w:rPr>
          <w:rFonts w:ascii="方正仿宋_GB2312" w:eastAsia="方正仿宋_GB2312" w:hAnsi="方正仿宋_GB2312" w:cs="方正仿宋_GB2312" w:hint="eastAsia"/>
        </w:rPr>
        <w:t>缺陷。</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7.2 </w:t>
      </w:r>
      <w:bookmarkStart w:id="68" w:name="OLE_LINK15"/>
      <w:r>
        <w:rPr>
          <w:rFonts w:ascii="方正仿宋_GB2312" w:eastAsia="方正仿宋_GB2312" w:hAnsi="方正仿宋_GB2312" w:cs="方正仿宋_GB2312" w:hint="eastAsia"/>
          <w:b/>
          <w:bCs/>
        </w:rPr>
        <w:t>现场检查</w:t>
      </w:r>
      <w:bookmarkEnd w:id="68"/>
      <w:r>
        <w:rPr>
          <w:rFonts w:ascii="方正仿宋_GB2312" w:eastAsia="方正仿宋_GB2312" w:hAnsi="方正仿宋_GB2312" w:cs="方正仿宋_GB2312" w:hint="eastAsia"/>
          <w:b/>
          <w:bCs/>
        </w:rPr>
        <w:t> </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现场检查是在文件审查基础上，对风力发电场的实际设施、运行状态、安全管理等进行实地核查和技术确认，是质量评估的重要组成部分。</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7.2.1 </w:t>
      </w:r>
      <w:r>
        <w:rPr>
          <w:rFonts w:ascii="方正仿宋_GB2312" w:eastAsia="方正仿宋_GB2312" w:hAnsi="方正仿宋_GB2312" w:cs="方正仿宋_GB2312" w:hint="eastAsia"/>
          <w:b/>
          <w:bCs/>
        </w:rPr>
        <w:t>检查内容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现场检查内容应包括以下方面：</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1</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风电机组</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随机抽查不少于</w:t>
      </w:r>
      <w:r>
        <w:rPr>
          <w:rFonts w:ascii="方正仿宋_GB2312" w:eastAsia="方正仿宋_GB2312" w:hAnsi="方正仿宋_GB2312" w:cs="方正仿宋_GB2312" w:hint="eastAsia"/>
          <w:lang w:bidi="ar"/>
        </w:rPr>
        <w:t>10%</w:t>
      </w:r>
      <w:r>
        <w:rPr>
          <w:rFonts w:ascii="方正仿宋_GB2312" w:eastAsia="方正仿宋_GB2312" w:hAnsi="方正仿宋_GB2312" w:cs="方正仿宋_GB2312" w:hint="eastAsia"/>
          <w:lang w:bidi="ar"/>
        </w:rPr>
        <w:t>的风电机组进行现场勘查；</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核查塔筒、叶片、主机、变桨系统、偏航系统、机舱内布线等是否存在结构损伤、异常振动或漏油；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检查风机运行状态（开机率、停机原因）、风速与发电输出的实时对应情况。</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2</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电气系统</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检查箱变、集电线路、升压站、开关站设备的运行状态；</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查验保护设置、继电保护整定值、接地电阻测试记录是否符合规范；</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对配电柜、电缆接头、接地系统等进行抽查测试。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3</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土建与辅助工程</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检查道路、风机基础、升压站建筑物、吊装平台、排水系统等土建部分有无沉降、开裂等问题；</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核查施工质量、排水设施是否完好，基础是否有裸露钢筋或缺损现象。</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4</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安全与环保设施</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检查消防设施、避雷装置、围栏警示标识、个人防护设施配置情况</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lastRenderedPageBreak/>
        <w:t>查验鸟类保护、噪声控制、排水达标情况，重点风机或敏感区域应布设噪声或生态监测点。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5</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运维管理落实情况</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随机访谈运维人员，核实运行班次、巡检制</w:t>
      </w:r>
      <w:r>
        <w:rPr>
          <w:rFonts w:ascii="方正仿宋_GB2312" w:eastAsia="方正仿宋_GB2312" w:hAnsi="方正仿宋_GB2312" w:cs="方正仿宋_GB2312" w:hint="eastAsia"/>
          <w:lang w:bidi="ar"/>
        </w:rPr>
        <w:t>度执行情况；</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检查值班记录、工单闭环、异常事件上报流程等是否规范；</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查验备件仓库、应急物资储备与调配能力。</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7.2.2 </w:t>
      </w:r>
      <w:r>
        <w:rPr>
          <w:rFonts w:ascii="方正仿宋_GB2312" w:eastAsia="方正仿宋_GB2312" w:hAnsi="方正仿宋_GB2312" w:cs="方正仿宋_GB2312" w:hint="eastAsia"/>
          <w:b/>
          <w:bCs/>
        </w:rPr>
        <w:t>检查方式</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抽样检查：对风机、电气、土建等设施按一定比例抽样，风机不少于</w:t>
      </w:r>
      <w:r>
        <w:rPr>
          <w:rFonts w:ascii="方正仿宋_GB2312" w:eastAsia="方正仿宋_GB2312" w:hAnsi="方正仿宋_GB2312" w:cs="方正仿宋_GB2312" w:hint="eastAsia"/>
          <w:lang w:bidi="ar"/>
        </w:rPr>
        <w:t>10%</w:t>
      </w:r>
      <w:r>
        <w:rPr>
          <w:rFonts w:ascii="方正仿宋_GB2312" w:eastAsia="方正仿宋_GB2312" w:hAnsi="方正仿宋_GB2312" w:cs="方正仿宋_GB2312" w:hint="eastAsia"/>
          <w:lang w:bidi="ar"/>
        </w:rPr>
        <w:t>，电气系统不少于</w:t>
      </w:r>
      <w:r>
        <w:rPr>
          <w:rFonts w:ascii="方正仿宋_GB2312" w:eastAsia="方正仿宋_GB2312" w:hAnsi="方正仿宋_GB2312" w:cs="方正仿宋_GB2312" w:hint="eastAsia"/>
          <w:lang w:bidi="ar"/>
        </w:rPr>
        <w:t>1</w:t>
      </w:r>
      <w:r>
        <w:rPr>
          <w:rFonts w:ascii="方正仿宋_GB2312" w:eastAsia="方正仿宋_GB2312" w:hAnsi="方正仿宋_GB2312" w:cs="方正仿宋_GB2312" w:hint="eastAsia"/>
          <w:lang w:bidi="ar"/>
        </w:rPr>
        <w:t>条集电线路，重点设备必须全检。</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拍照</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录视频取证：对发现的问题和异常状态进行拍照、录像，作为评估依据。</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比对系统数据：通过</w:t>
      </w:r>
      <w:r>
        <w:rPr>
          <w:rFonts w:ascii="方正仿宋_GB2312" w:eastAsia="方正仿宋_GB2312" w:hAnsi="方正仿宋_GB2312" w:cs="方正仿宋_GB2312" w:hint="eastAsia"/>
          <w:lang w:bidi="ar"/>
        </w:rPr>
        <w:t>SCADA</w:t>
      </w:r>
      <w:r>
        <w:rPr>
          <w:rFonts w:ascii="方正仿宋_GB2312" w:eastAsia="方正仿宋_GB2312" w:hAnsi="方正仿宋_GB2312" w:cs="方正仿宋_GB2312" w:hint="eastAsia"/>
          <w:lang w:bidi="ar"/>
        </w:rPr>
        <w:t>系统或智能监控平台调阅风机运行状态、发电量、故障报警等数据，与现场实况比对验证。</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操作演示</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询问访谈：可要求运维人员现场演示操作流程，评估其专业能力与响应机制。</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7.</w:t>
      </w:r>
      <w:r>
        <w:rPr>
          <w:rFonts w:ascii="方正仿宋_GB2312" w:eastAsia="方正仿宋_GB2312" w:hAnsi="方正仿宋_GB2312" w:cs="方正仿宋_GB2312" w:hint="eastAsia"/>
          <w:b/>
          <w:bCs/>
        </w:rPr>
        <w:t xml:space="preserve">2.3 </w:t>
      </w:r>
      <w:r>
        <w:rPr>
          <w:rFonts w:ascii="方正仿宋_GB2312" w:eastAsia="方正仿宋_GB2312" w:hAnsi="方正仿宋_GB2312" w:cs="方正仿宋_GB2312" w:hint="eastAsia"/>
          <w:b/>
          <w:bCs/>
        </w:rPr>
        <w:t>检查要求</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现场检查应至少由</w:t>
      </w:r>
      <w:r>
        <w:rPr>
          <w:rFonts w:ascii="方正仿宋_GB2312" w:eastAsia="方正仿宋_GB2312" w:hAnsi="方正仿宋_GB2312" w:cs="方正仿宋_GB2312" w:hint="eastAsia"/>
          <w:lang w:bidi="ar"/>
        </w:rPr>
        <w:t>2</w:t>
      </w:r>
      <w:r>
        <w:rPr>
          <w:rFonts w:ascii="方正仿宋_GB2312" w:eastAsia="方正仿宋_GB2312" w:hAnsi="方正仿宋_GB2312" w:cs="方正仿宋_GB2312" w:hint="eastAsia"/>
          <w:lang w:bidi="ar"/>
        </w:rPr>
        <w:t>名具备专业资质的技术人员共同完成；</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所有发现的问题应形成书面记录，并标注严重程度、建议整改措施；</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严重缺陷（如设备严重损坏、安全隐患未处置）应立即报告相关方，并建议暂停相关设施运行；</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现场检查记录与图像资料应纳入最终评估报告中归档。</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7.3 </w:t>
      </w:r>
      <w:bookmarkStart w:id="69" w:name="OLE_LINK16"/>
      <w:r>
        <w:rPr>
          <w:rFonts w:ascii="方正仿宋_GB2312" w:eastAsia="方正仿宋_GB2312" w:hAnsi="方正仿宋_GB2312" w:cs="方正仿宋_GB2312" w:hint="eastAsia"/>
          <w:b/>
          <w:bCs/>
        </w:rPr>
        <w:t>数据分析</w:t>
      </w:r>
      <w:bookmarkEnd w:id="69"/>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运行数据分析是对风力发电场的实际运行效果进行定量评价的重要手段，通过对风速、电量、故障、设备状态等数据的统计分析，判断其发电性能、系统稳定性和管理水平。</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7.3.1 </w:t>
      </w:r>
      <w:r>
        <w:rPr>
          <w:rFonts w:ascii="方正仿宋_GB2312" w:eastAsia="方正仿宋_GB2312" w:hAnsi="方正仿宋_GB2312" w:cs="方正仿宋_GB2312" w:hint="eastAsia"/>
          <w:b/>
          <w:bCs/>
        </w:rPr>
        <w:t>数据来源与要求</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1</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运行数据主要来源于风电场</w:t>
      </w:r>
      <w:r>
        <w:rPr>
          <w:rFonts w:ascii="方正仿宋_GB2312" w:eastAsia="方正仿宋_GB2312" w:hAnsi="方正仿宋_GB2312" w:cs="方正仿宋_GB2312" w:hint="eastAsia"/>
          <w:lang w:bidi="ar"/>
        </w:rPr>
        <w:t>SCADA</w:t>
      </w:r>
      <w:r>
        <w:rPr>
          <w:rFonts w:ascii="方正仿宋_GB2312" w:eastAsia="方正仿宋_GB2312" w:hAnsi="方正仿宋_GB2312" w:cs="方正仿宋_GB2312" w:hint="eastAsia"/>
          <w:lang w:bidi="ar"/>
        </w:rPr>
        <w:t>系统、主控系统、计量系统和运维管理平台，应覆盖近</w:t>
      </w:r>
      <w:r>
        <w:rPr>
          <w:rFonts w:ascii="方正仿宋_GB2312" w:eastAsia="方正仿宋_GB2312" w:hAnsi="方正仿宋_GB2312" w:cs="方正仿宋_GB2312" w:hint="eastAsia"/>
          <w:lang w:bidi="ar"/>
        </w:rPr>
        <w:t>12</w:t>
      </w:r>
      <w:r>
        <w:rPr>
          <w:rFonts w:ascii="方正仿宋_GB2312" w:eastAsia="方正仿宋_GB2312" w:hAnsi="方正仿宋_GB2312" w:cs="方正仿宋_GB2312" w:hint="eastAsia"/>
          <w:lang w:bidi="ar"/>
        </w:rPr>
        <w:t>个月（或一个完整风季）的连续数据。</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2</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所有数据应为原始数据或具有追溯性的记录，不得随意篡改。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3</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数据项应包括：风速、风向、发电功率、有功电量、无功电量、故障类型及时间、电网调度限电记录、维护工单等。</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4</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关键指标的时间分辨率不低于</w:t>
      </w:r>
      <w:r>
        <w:rPr>
          <w:rFonts w:ascii="方正仿宋_GB2312" w:eastAsia="方正仿宋_GB2312" w:hAnsi="方正仿宋_GB2312" w:cs="方正仿宋_GB2312" w:hint="eastAsia"/>
          <w:lang w:bidi="ar"/>
        </w:rPr>
        <w:t>10</w:t>
      </w:r>
      <w:r>
        <w:rPr>
          <w:rFonts w:ascii="方正仿宋_GB2312" w:eastAsia="方正仿宋_GB2312" w:hAnsi="方正仿宋_GB2312" w:cs="方正仿宋_GB2312" w:hint="eastAsia"/>
          <w:lang w:bidi="ar"/>
        </w:rPr>
        <w:t>分钟，优先使用</w:t>
      </w:r>
      <w:r>
        <w:rPr>
          <w:rFonts w:ascii="方正仿宋_GB2312" w:eastAsia="方正仿宋_GB2312" w:hAnsi="方正仿宋_GB2312" w:cs="方正仿宋_GB2312" w:hint="eastAsia"/>
          <w:lang w:bidi="ar"/>
        </w:rPr>
        <w:t>1</w:t>
      </w:r>
      <w:r>
        <w:rPr>
          <w:rFonts w:ascii="方正仿宋_GB2312" w:eastAsia="方正仿宋_GB2312" w:hAnsi="方正仿宋_GB2312" w:cs="方正仿宋_GB2312" w:hint="eastAsia"/>
          <w:lang w:bidi="ar"/>
        </w:rPr>
        <w:t>分钟级别数据进行分析。</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7.3.2 </w:t>
      </w:r>
      <w:r>
        <w:rPr>
          <w:rFonts w:ascii="方正仿宋_GB2312" w:eastAsia="方正仿宋_GB2312" w:hAnsi="方正仿宋_GB2312" w:cs="方正仿宋_GB2312" w:hint="eastAsia"/>
          <w:b/>
          <w:bCs/>
        </w:rPr>
        <w:t>分析内容</w:t>
      </w:r>
      <w:bookmarkStart w:id="70" w:name="OLE_LINK3"/>
    </w:p>
    <w:bookmarkEnd w:id="70"/>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lastRenderedPageBreak/>
        <w:t>（</w:t>
      </w:r>
      <w:r>
        <w:rPr>
          <w:rFonts w:ascii="方正仿宋_GB2312" w:eastAsia="方正仿宋_GB2312" w:hAnsi="方正仿宋_GB2312" w:cs="方正仿宋_GB2312" w:hint="eastAsia"/>
          <w:lang w:bidi="ar"/>
        </w:rPr>
        <w:t>1</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可利用率分析</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计算风机设备可利用率</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（总运行小时数÷总统计小时数）×</w:t>
      </w:r>
      <w:r>
        <w:rPr>
          <w:rFonts w:ascii="方正仿宋_GB2312" w:eastAsia="方正仿宋_GB2312" w:hAnsi="方正仿宋_GB2312" w:cs="方正仿宋_GB2312" w:hint="eastAsia"/>
          <w:lang w:bidi="ar"/>
        </w:rPr>
        <w:t>100%</w:t>
      </w:r>
      <w:r>
        <w:rPr>
          <w:rFonts w:ascii="方正仿宋_GB2312" w:eastAsia="方正仿宋_GB2312" w:hAnsi="方正仿宋_GB2312" w:cs="方正仿宋_GB2312" w:hint="eastAsia"/>
          <w:lang w:bidi="ar"/>
        </w:rPr>
        <w:t>；</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与设计值、行业平均水平对比，识别低效运行原因（如计划外停机、风机故障、限电等）。</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2</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发电量完成率分析</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实际发电量与理论可发电量（根据风速、功率曲线计算）对比；</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考察气象偏差、设备性能退化、系统损耗、并网限制等影响因素。</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3</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上网电量与限电影响分析</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分析上网电量与发电电量差值及限电记录，识别受限电网条件影响的程度；</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评估弃风率、利用小时数等指标。</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4</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故障与告警统计分析</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统计风机各类故障次数、平均无故障运行时间、平均修复时间；</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分析高频故障类别、发生时间段与天气条件关联，判断预防性维护效果。</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5</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运行效率与性能退化趋势分析</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通过同一风速区间下的发电功率年比分析风机是否存在性能衰减；</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建议采用</w:t>
      </w:r>
      <w:bookmarkStart w:id="71" w:name="OLE_LINK4"/>
      <w:bookmarkStart w:id="72" w:name="OLE_LINK7"/>
      <w:r>
        <w:rPr>
          <w:rFonts w:ascii="方正仿宋_GB2312" w:eastAsia="方正仿宋_GB2312" w:hAnsi="方正仿宋_GB2312" w:cs="方正仿宋_GB2312" w:hint="eastAsia"/>
          <w:lang w:bidi="ar"/>
        </w:rPr>
        <w:t>风速归一化方</w:t>
      </w:r>
      <w:bookmarkEnd w:id="71"/>
      <w:r>
        <w:rPr>
          <w:rFonts w:ascii="方正仿宋_GB2312" w:eastAsia="方正仿宋_GB2312" w:hAnsi="方正仿宋_GB2312" w:cs="方正仿宋_GB2312" w:hint="eastAsia"/>
          <w:lang w:bidi="ar"/>
        </w:rPr>
        <w:t>法</w:t>
      </w:r>
      <w:bookmarkEnd w:id="72"/>
      <w:r>
        <w:rPr>
          <w:rFonts w:ascii="方正仿宋_GB2312" w:eastAsia="方正仿宋_GB2312" w:hAnsi="方正仿宋_GB2312" w:cs="方正仿宋_GB2312" w:hint="eastAsia"/>
          <w:lang w:bidi="ar"/>
        </w:rPr>
        <w:t>消除气象波动影响。</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7.3.3 </w:t>
      </w:r>
      <w:r>
        <w:rPr>
          <w:rFonts w:ascii="方正仿宋_GB2312" w:eastAsia="方正仿宋_GB2312" w:hAnsi="方正仿宋_GB2312" w:cs="方正仿宋_GB2312" w:hint="eastAsia"/>
          <w:b/>
          <w:bCs/>
        </w:rPr>
        <w:t>数据分析工具与方法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1</w:t>
      </w:r>
      <w:r>
        <w:rPr>
          <w:rFonts w:ascii="方正仿宋_GB2312" w:eastAsia="方正仿宋_GB2312" w:hAnsi="方正仿宋_GB2312" w:cs="方正仿宋_GB2312" w:hint="eastAsia"/>
          <w:lang w:bidi="ar"/>
        </w:rPr>
        <w:t>）推荐使用专业分析工具（如</w:t>
      </w:r>
      <w:bookmarkStart w:id="73" w:name="OLE_LINK6"/>
      <w:r>
        <w:rPr>
          <w:rFonts w:ascii="方正仿宋_GB2312" w:eastAsia="方正仿宋_GB2312" w:hAnsi="方正仿宋_GB2312" w:cs="方正仿宋_GB2312" w:hint="eastAsia"/>
          <w:lang w:bidi="ar"/>
        </w:rPr>
        <w:t>MATLAB</w:t>
      </w:r>
      <w:bookmarkEnd w:id="73"/>
      <w:r>
        <w:rPr>
          <w:rFonts w:ascii="方正仿宋_GB2312" w:eastAsia="方正仿宋_GB2312" w:hAnsi="方正仿宋_GB2312" w:cs="方正仿宋_GB2312" w:hint="eastAsia"/>
          <w:lang w:bidi="ar"/>
        </w:rPr>
        <w:t>、</w:t>
      </w:r>
      <w:bookmarkStart w:id="74" w:name="OLE_LINK5"/>
      <w:r>
        <w:rPr>
          <w:rFonts w:ascii="方正仿宋_GB2312" w:eastAsia="方正仿宋_GB2312" w:hAnsi="方正仿宋_GB2312" w:cs="方正仿宋_GB2312" w:hint="eastAsia"/>
          <w:lang w:bidi="ar"/>
        </w:rPr>
        <w:t>Python</w:t>
      </w:r>
      <w:bookmarkEnd w:id="74"/>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WindPRO</w:t>
      </w:r>
      <w:r>
        <w:rPr>
          <w:rFonts w:ascii="方正仿宋_GB2312" w:eastAsia="方正仿宋_GB2312" w:hAnsi="方正仿宋_GB2312" w:cs="方正仿宋_GB2312" w:hint="eastAsia"/>
          <w:lang w:bidi="ar"/>
        </w:rPr>
        <w:t>等）进行批量处理与趋势建模；</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2</w:t>
      </w:r>
      <w:r>
        <w:rPr>
          <w:rFonts w:ascii="方正仿宋_GB2312" w:eastAsia="方正仿宋_GB2312" w:hAnsi="方正仿宋_GB2312" w:cs="方正仿宋_GB2312" w:hint="eastAsia"/>
          <w:lang w:bidi="ar"/>
        </w:rPr>
        <w:t>）可结合主成分分析</w:t>
      </w:r>
      <w:r w:rsidR="00635A1C" w:rsidRPr="00635A1C">
        <w:rPr>
          <w:rFonts w:ascii="方正仿宋_GB2312" w:eastAsia="方正仿宋_GB2312" w:hAnsi="方正仿宋_GB2312" w:cs="方正仿宋_GB2312" w:hint="eastAsia"/>
          <w:lang w:bidi="ar"/>
        </w:rPr>
        <w:t>（Principal Component Analysis，</w:t>
      </w:r>
      <w:r w:rsidR="00635A1C" w:rsidRPr="00635A1C">
        <w:rPr>
          <w:rFonts w:ascii="宋体" w:hAnsi="宋体" w:cs="宋体" w:hint="eastAsia"/>
          <w:lang w:bidi="ar"/>
        </w:rPr>
        <w:t>简</w:t>
      </w:r>
      <w:r w:rsidR="00635A1C" w:rsidRPr="00635A1C">
        <w:rPr>
          <w:rFonts w:ascii="___WRD_EMBED_SUB_41" w:eastAsia="___WRD_EMBED_SUB_41" w:hAnsi="___WRD_EMBED_SUB_41" w:cs="___WRD_EMBED_SUB_41" w:hint="eastAsia"/>
          <w:lang w:bidi="ar"/>
        </w:rPr>
        <w:t>称</w:t>
      </w:r>
      <w:r w:rsidR="00635A1C" w:rsidRPr="00635A1C">
        <w:rPr>
          <w:rFonts w:ascii="方正仿宋_GB2312" w:eastAsia="方正仿宋_GB2312" w:hAnsi="方正仿宋_GB2312" w:cs="方正仿宋_GB2312" w:hint="eastAsia"/>
          <w:lang w:bidi="ar"/>
        </w:rPr>
        <w:t xml:space="preserve"> PC 分析 ）</w:t>
      </w:r>
      <w:r>
        <w:rPr>
          <w:rFonts w:ascii="方正仿宋_GB2312" w:eastAsia="方正仿宋_GB2312" w:hAnsi="方正仿宋_GB2312" w:cs="方正仿宋_GB2312" w:hint="eastAsia"/>
          <w:lang w:bidi="ar"/>
        </w:rPr>
        <w:t>、回归分析、时间序列模型等技术手段提升分析深度；</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3</w:t>
      </w:r>
      <w:r>
        <w:rPr>
          <w:rFonts w:ascii="方正仿宋_GB2312" w:eastAsia="方正仿宋_GB2312" w:hAnsi="方正仿宋_GB2312" w:cs="方正仿宋_GB2312" w:hint="eastAsia"/>
          <w:lang w:bidi="ar"/>
        </w:rPr>
        <w:t>）应建立异常数据识别机制，剔除极端无效数据（如通信中断、极端天气异常值等）。</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7.3.4 </w:t>
      </w:r>
      <w:r>
        <w:rPr>
          <w:rFonts w:ascii="方正仿宋_GB2312" w:eastAsia="方正仿宋_GB2312" w:hAnsi="方正仿宋_GB2312" w:cs="方正仿宋_GB2312" w:hint="eastAsia"/>
          <w:b/>
          <w:bCs/>
        </w:rPr>
        <w:t>分析结果应用</w:t>
      </w:r>
      <w:bookmarkStart w:id="75" w:name="_GoBack"/>
      <w:bookmarkEnd w:id="75"/>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运行数据分析结果将作为评估报告的关键内容，直接影响多个指标得分（如设备运行质量、发电绩效、运维管理水平等）；</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建议以图表、趋势图、直方图等形式展示数据分析结果，增强可视化与对比性；</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color w:val="000000"/>
        </w:rPr>
      </w:pPr>
      <w:r>
        <w:rPr>
          <w:rFonts w:ascii="方正仿宋_GB2312" w:eastAsia="方正仿宋_GB2312" w:hAnsi="方正仿宋_GB2312" w:cs="方正仿宋_GB2312" w:hint="eastAsia"/>
          <w:lang w:bidi="ar"/>
        </w:rPr>
        <w:t>对发现的问题应提出数据支持的改进建议。</w:t>
      </w:r>
      <w:r>
        <w:rPr>
          <w:rFonts w:ascii="方正仿宋_GB2312" w:eastAsia="方正仿宋_GB2312" w:hAnsi="方正仿宋_GB2312" w:cs="方正仿宋_GB2312" w:hint="eastAsia"/>
          <w:color w:val="000000"/>
        </w:rPr>
        <w:t>  </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7.4 </w:t>
      </w:r>
      <w:bookmarkStart w:id="76" w:name="OLE_LINK17"/>
      <w:r>
        <w:rPr>
          <w:rFonts w:ascii="方正仿宋_GB2312" w:eastAsia="方正仿宋_GB2312" w:hAnsi="方正仿宋_GB2312" w:cs="方正仿宋_GB2312" w:hint="eastAsia"/>
          <w:b/>
          <w:bCs/>
        </w:rPr>
        <w:t>综合评价</w:t>
      </w:r>
      <w:bookmarkEnd w:id="76"/>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综合评价是将文件审查、现场检查与运行数据分析等多个环节的评估结果进行汇总分析，根据评估指标体系的权重打分，形成风力发电场的最终质量等级判定。</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lastRenderedPageBreak/>
        <w:t xml:space="preserve">7.4.1 </w:t>
      </w:r>
      <w:r>
        <w:rPr>
          <w:rFonts w:ascii="方正仿宋_GB2312" w:eastAsia="方正仿宋_GB2312" w:hAnsi="方正仿宋_GB2312" w:cs="方正仿宋_GB2312" w:hint="eastAsia"/>
          <w:b/>
          <w:bCs/>
        </w:rPr>
        <w:t>综合评分方法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1</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评分方式各一级指标下的二级指标由评估专家小组依据事实材料和检查情况进行评分，满分</w:t>
      </w:r>
      <w:r>
        <w:rPr>
          <w:rFonts w:ascii="方正仿宋_GB2312" w:eastAsia="方正仿宋_GB2312" w:hAnsi="方正仿宋_GB2312" w:cs="方正仿宋_GB2312" w:hint="eastAsia"/>
          <w:lang w:bidi="ar"/>
        </w:rPr>
        <w:t>100</w:t>
      </w:r>
      <w:r>
        <w:rPr>
          <w:rFonts w:ascii="方正仿宋_GB2312" w:eastAsia="方正仿宋_GB2312" w:hAnsi="方正仿宋_GB2312" w:cs="方正仿宋_GB2312" w:hint="eastAsia"/>
          <w:lang w:bidi="ar"/>
        </w:rPr>
        <w:t>分，采用加权平均法计算总得分。</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2</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评分计算</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m:oMathPara>
        <m:oMath>
          <m:r>
            <w:rPr>
              <w:rFonts w:ascii="DejaVu Math TeX Gyre" w:eastAsia="方正仿宋_GB2312" w:hAnsi="方正仿宋_GB2312" w:cs="方正仿宋_GB2312" w:hint="eastAsia"/>
              <w:lang w:bidi="ar"/>
            </w:rPr>
            <m:t>总分</m:t>
          </m:r>
          <m:r>
            <w:rPr>
              <w:rFonts w:ascii="DejaVu Math TeX Gyre" w:hAnsi="DejaVu Math TeX Gyre" w:cs="方正仿宋_GB2312"/>
              <w:lang w:bidi="ar"/>
            </w:rPr>
            <m:t>=</m:t>
          </m:r>
          <m:nary>
            <m:naryPr>
              <m:chr m:val="∑"/>
              <m:limLoc m:val="undOvr"/>
              <m:grow m:val="1"/>
              <m:ctrlPr>
                <w:rPr>
                  <w:rFonts w:ascii="DejaVu Math TeX Gyre" w:hAnsi="DejaVu Math TeX Gyre" w:cs="方正仿宋_GB2312"/>
                  <w:i/>
                  <w:lang w:bidi="ar"/>
                </w:rPr>
              </m:ctrlPr>
            </m:naryPr>
            <m:sub>
              <m:r>
                <w:rPr>
                  <w:rFonts w:ascii="DejaVu Math TeX Gyre" w:hAnsi="DejaVu Math TeX Gyre" w:cs="方正仿宋_GB2312" w:hint="eastAsia"/>
                  <w:lang w:bidi="ar"/>
                </w:rPr>
                <m:t>i</m:t>
              </m:r>
              <m:r>
                <w:rPr>
                  <w:rFonts w:ascii="DejaVu Math TeX Gyre" w:hAnsi="DejaVu Math TeX Gyre" w:cs="方正仿宋_GB2312"/>
                  <w:lang w:bidi="ar"/>
                </w:rPr>
                <m:t>=</m:t>
              </m:r>
              <m:r>
                <w:rPr>
                  <w:rFonts w:ascii="DejaVu Math TeX Gyre" w:hAnsi="DejaVu Math TeX Gyre" w:cs="方正仿宋_GB2312"/>
                  <w:lang w:bidi="ar"/>
                </w:rPr>
                <m:t>1</m:t>
              </m:r>
            </m:sub>
            <m:sup>
              <m:r>
                <w:rPr>
                  <w:rFonts w:ascii="DejaVu Math TeX Gyre" w:hAnsi="DejaVu Math TeX Gyre" w:cs="方正仿宋_GB2312"/>
                  <w:lang w:bidi="ar"/>
                </w:rPr>
                <m:t>n</m:t>
              </m:r>
            </m:sup>
            <m:e>
              <m:d>
                <m:dPr>
                  <m:ctrlPr>
                    <w:rPr>
                      <w:rFonts w:ascii="DejaVu Math TeX Gyre" w:hAnsi="DejaVu Math TeX Gyre" w:cs="方正仿宋_GB2312"/>
                      <w:i/>
                      <w:lang w:bidi="ar"/>
                    </w:rPr>
                  </m:ctrlPr>
                </m:dPr>
                <m:e>
                  <m:sSub>
                    <m:sSubPr>
                      <m:ctrlPr>
                        <w:rPr>
                          <w:rFonts w:ascii="DejaVu Math TeX Gyre" w:hAnsi="DejaVu Math TeX Gyre" w:cs="方正仿宋_GB2312"/>
                          <w:i/>
                          <w:lang w:bidi="ar"/>
                        </w:rPr>
                      </m:ctrlPr>
                    </m:sSubPr>
                    <m:e>
                      <m:r>
                        <w:rPr>
                          <w:rFonts w:ascii="DejaVu Math TeX Gyre" w:hAnsi="DejaVu Math TeX Gyre" w:cs="方正仿宋_GB2312" w:hint="eastAsia"/>
                          <w:lang w:bidi="ar"/>
                        </w:rPr>
                        <m:t>S</m:t>
                      </m:r>
                    </m:e>
                    <m:sub>
                      <m:r>
                        <w:rPr>
                          <w:rFonts w:ascii="DejaVu Math TeX Gyre" w:hAnsi="DejaVu Math TeX Gyre" w:cs="方正仿宋_GB2312" w:hint="eastAsia"/>
                          <w:lang w:bidi="ar"/>
                        </w:rPr>
                        <m:t>i</m:t>
                      </m:r>
                    </m:sub>
                  </m:sSub>
                  <m:r>
                    <w:rPr>
                      <w:rFonts w:ascii="DejaVu Math TeX Gyre" w:hAnsi="DejaVu Math TeX Gyre" w:cs="方正仿宋_GB2312"/>
                      <w:lang w:bidi="ar"/>
                    </w:rPr>
                    <m:t xml:space="preserve"> </m:t>
                  </m:r>
                  <m:r>
                    <w:rPr>
                      <w:rFonts w:ascii="DejaVu Math TeX Gyre" w:hAnsi="DejaVu Math TeX Gyre" w:cs="方正仿宋_GB2312"/>
                      <w:lang w:bidi="ar"/>
                    </w:rPr>
                    <m:t>×</m:t>
                  </m:r>
                  <m:sSub>
                    <m:sSubPr>
                      <m:ctrlPr>
                        <w:rPr>
                          <w:rFonts w:ascii="DejaVu Math TeX Gyre" w:hAnsi="DejaVu Math TeX Gyre" w:cs="方正仿宋_GB2312"/>
                          <w:i/>
                          <w:lang w:bidi="ar"/>
                        </w:rPr>
                      </m:ctrlPr>
                    </m:sSubPr>
                    <m:e>
                      <m:r>
                        <w:rPr>
                          <w:rFonts w:ascii="DejaVu Math TeX Gyre" w:hAnsi="DejaVu Math TeX Gyre" w:cs="方正仿宋_GB2312" w:hint="eastAsia"/>
                          <w:lang w:bidi="ar"/>
                        </w:rPr>
                        <m:t>W</m:t>
                      </m:r>
                    </m:e>
                    <m:sub>
                      <m:r>
                        <w:rPr>
                          <w:rFonts w:ascii="DejaVu Math TeX Gyre" w:hAnsi="DejaVu Math TeX Gyre" w:cs="方正仿宋_GB2312" w:hint="eastAsia"/>
                          <w:lang w:bidi="ar"/>
                        </w:rPr>
                        <m:t>i</m:t>
                      </m:r>
                    </m:sub>
                  </m:sSub>
                </m:e>
              </m:d>
            </m:e>
          </m:nary>
        </m:oMath>
      </m:oMathPara>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其中：</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m:oMath>
        <m:sSub>
          <m:sSubPr>
            <m:ctrlPr>
              <w:rPr>
                <w:rFonts w:ascii="DejaVu Math TeX Gyre" w:hAnsi="DejaVu Math TeX Gyre" w:cs="方正仿宋_GB2312"/>
                <w:i/>
                <w:lang w:bidi="ar"/>
              </w:rPr>
            </m:ctrlPr>
          </m:sSubPr>
          <m:e>
            <m:r>
              <w:rPr>
                <w:rFonts w:ascii="DejaVu Math TeX Gyre" w:hAnsi="DejaVu Math TeX Gyre" w:cs="方正仿宋_GB2312" w:hint="eastAsia"/>
                <w:lang w:bidi="ar"/>
              </w:rPr>
              <m:t>S</m:t>
            </m:r>
          </m:e>
          <m:sub>
            <m:r>
              <w:rPr>
                <w:rFonts w:ascii="DejaVu Math TeX Gyre" w:hAnsi="DejaVu Math TeX Gyre" w:cs="方正仿宋_GB2312" w:hint="eastAsia"/>
                <w:lang w:bidi="ar"/>
              </w:rPr>
              <m:t>i</m:t>
            </m:r>
          </m:sub>
        </m:sSub>
      </m:oMath>
      <w:bookmarkStart w:id="77" w:name="OLE_LINK8"/>
      <w:r>
        <w:rPr>
          <w:rFonts w:ascii="方正仿宋_GB2312" w:eastAsia="方正仿宋_GB2312" w:hAnsi="方正仿宋_GB2312" w:cs="方正仿宋_GB2312" w:hint="eastAsia"/>
          <w:lang w:bidi="ar"/>
        </w:rPr>
        <w:t>—</w:t>
      </w:r>
      <w:bookmarkEnd w:id="77"/>
      <w:r>
        <w:rPr>
          <w:rFonts w:ascii="方正仿宋_GB2312" w:eastAsia="方正仿宋_GB2312" w:hAnsi="方正仿宋_GB2312" w:cs="方正仿宋_GB2312" w:hint="eastAsia"/>
          <w:lang w:bidi="ar"/>
        </w:rPr>
        <w:t>为第</w:t>
      </w:r>
      <w:r>
        <w:rPr>
          <w:rFonts w:ascii="方正仿宋_GB2312" w:eastAsia="方正仿宋_GB2312" w:hAnsi="方正仿宋_GB2312" w:cs="方正仿宋_GB2312" w:hint="eastAsia"/>
          <w:lang w:bidi="ar"/>
        </w:rPr>
        <w:t xml:space="preserve"> i </w:t>
      </w:r>
      <w:r>
        <w:rPr>
          <w:rFonts w:ascii="方正仿宋_GB2312" w:eastAsia="方正仿宋_GB2312" w:hAnsi="方正仿宋_GB2312" w:cs="方正仿宋_GB2312" w:hint="eastAsia"/>
          <w:lang w:bidi="ar"/>
        </w:rPr>
        <w:t>项二级指标得分；</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m:oMath>
        <m:sSub>
          <m:sSubPr>
            <m:ctrlPr>
              <w:rPr>
                <w:rFonts w:ascii="DejaVu Math TeX Gyre" w:hAnsi="DejaVu Math TeX Gyre" w:cs="方正仿宋_GB2312"/>
                <w:i/>
                <w:lang w:bidi="ar"/>
              </w:rPr>
            </m:ctrlPr>
          </m:sSubPr>
          <m:e>
            <m:r>
              <w:rPr>
                <w:rFonts w:ascii="DejaVu Math TeX Gyre" w:hAnsi="DejaVu Math TeX Gyre" w:cs="方正仿宋_GB2312" w:hint="eastAsia"/>
                <w:lang w:bidi="ar"/>
              </w:rPr>
              <m:t>W</m:t>
            </m:r>
          </m:e>
          <m:sub>
            <m:r>
              <w:rPr>
                <w:rFonts w:ascii="DejaVu Math TeX Gyre" w:hAnsi="DejaVu Math TeX Gyre" w:cs="方正仿宋_GB2312" w:hint="eastAsia"/>
                <w:lang w:bidi="ar"/>
              </w:rPr>
              <m:t>i</m:t>
            </m:r>
          </m:sub>
        </m:sSub>
      </m:oMath>
      <w:r>
        <w:rPr>
          <w:rFonts w:ascii="方正仿宋_GB2312" w:eastAsia="方正仿宋_GB2312" w:hAnsi="方正仿宋_GB2312" w:cs="方正仿宋_GB2312" w:hint="eastAsia"/>
          <w:lang w:bidi="ar"/>
        </w:rPr>
        <w:t>—为对应指标的权重（见</w:t>
      </w:r>
      <w:r>
        <w:rPr>
          <w:rFonts w:ascii="方正仿宋_GB2312" w:eastAsia="方正仿宋_GB2312" w:hAnsi="方正仿宋_GB2312" w:cs="方正仿宋_GB2312" w:hint="eastAsia"/>
          <w:lang w:bidi="ar"/>
        </w:rPr>
        <w:t>6.2</w:t>
      </w:r>
      <w:r>
        <w:rPr>
          <w:rFonts w:ascii="方正仿宋_GB2312" w:eastAsia="方正仿宋_GB2312" w:hAnsi="方正仿宋_GB2312" w:cs="方正仿宋_GB2312" w:hint="eastAsia"/>
          <w:lang w:bidi="ar"/>
        </w:rPr>
        <w:t>）；</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 xml:space="preserve">n </w:t>
      </w:r>
      <w:r>
        <w:rPr>
          <w:rFonts w:ascii="方正仿宋_GB2312" w:eastAsia="方正仿宋_GB2312" w:hAnsi="方正仿宋_GB2312" w:cs="方正仿宋_GB2312" w:hint="eastAsia"/>
          <w:lang w:bidi="ar"/>
        </w:rPr>
        <w:t>—为二级指标总数。</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3</w:t>
      </w:r>
      <w:r>
        <w:rPr>
          <w:rFonts w:ascii="方正仿宋_GB2312" w:eastAsia="方正仿宋_GB2312" w:hAnsi="方正仿宋_GB2312" w:cs="方正仿宋_GB2312" w:hint="eastAsia"/>
          <w:lang w:bidi="ar"/>
        </w:rPr>
        <w:t>）</w:t>
      </w:r>
      <w:r>
        <w:rPr>
          <w:rFonts w:ascii="方正仿宋_GB2312" w:eastAsia="方正仿宋_GB2312" w:hAnsi="方正仿宋_GB2312" w:cs="方正仿宋_GB2312" w:hint="eastAsia"/>
          <w:lang w:bidi="ar"/>
        </w:rPr>
        <w:t xml:space="preserve"> </w:t>
      </w:r>
      <w:r>
        <w:rPr>
          <w:rFonts w:ascii="方正仿宋_GB2312" w:eastAsia="方正仿宋_GB2312" w:hAnsi="方正仿宋_GB2312" w:cs="方正仿宋_GB2312" w:hint="eastAsia"/>
          <w:lang w:bidi="ar"/>
        </w:rPr>
        <w:t>评分依据每项指标按以下五级评分标准评定（可根据实际调整细化）：</w:t>
      </w:r>
    </w:p>
    <w:tbl>
      <w:tblPr>
        <w:tblStyle w:val="affff4"/>
        <w:tblW w:w="0" w:type="auto"/>
        <w:tblLook w:val="04A0" w:firstRow="1" w:lastRow="0" w:firstColumn="1" w:lastColumn="0" w:noHBand="0" w:noVBand="1"/>
      </w:tblPr>
      <w:tblGrid>
        <w:gridCol w:w="1961"/>
        <w:gridCol w:w="2422"/>
        <w:gridCol w:w="5179"/>
      </w:tblGrid>
      <w:tr w:rsidR="006D632C">
        <w:tc>
          <w:tcPr>
            <w:tcW w:w="1961" w:type="dxa"/>
            <w:vAlign w:val="center"/>
          </w:tcPr>
          <w:p w:rsidR="006D632C" w:rsidRDefault="005E2CB3">
            <w:pPr>
              <w:pStyle w:val="affff1"/>
              <w:spacing w:beforeAutospacing="0" w:afterAutospacing="0" w:line="400" w:lineRule="exact"/>
              <w:ind w:firstLineChars="200" w:firstLine="480"/>
              <w:jc w:val="center"/>
              <w:rPr>
                <w:rFonts w:ascii="方正仿宋_GB2312" w:eastAsia="方正仿宋_GB2312" w:hAnsi="方正仿宋_GB2312" w:cs="方正仿宋_GB2312"/>
              </w:rPr>
            </w:pPr>
            <w:r>
              <w:rPr>
                <w:rFonts w:ascii="方正仿宋_GB2312" w:eastAsia="方正仿宋_GB2312" w:hAnsi="方正仿宋_GB2312" w:cs="方正仿宋_GB2312" w:hint="eastAsia"/>
                <w:lang w:bidi="ar"/>
              </w:rPr>
              <w:t>评价等级</w:t>
            </w:r>
          </w:p>
        </w:tc>
        <w:tc>
          <w:tcPr>
            <w:tcW w:w="2422" w:type="dxa"/>
            <w:vAlign w:val="center"/>
          </w:tcPr>
          <w:p w:rsidR="006D632C" w:rsidRDefault="005E2CB3">
            <w:pPr>
              <w:pStyle w:val="affff1"/>
              <w:spacing w:beforeAutospacing="0" w:afterAutospacing="0" w:line="400" w:lineRule="exact"/>
              <w:ind w:firstLineChars="200" w:firstLine="480"/>
              <w:jc w:val="center"/>
              <w:rPr>
                <w:rFonts w:ascii="方正仿宋_GB2312" w:eastAsia="方正仿宋_GB2312" w:hAnsi="方正仿宋_GB2312" w:cs="方正仿宋_GB2312"/>
              </w:rPr>
            </w:pPr>
            <w:r>
              <w:rPr>
                <w:rFonts w:ascii="方正仿宋_GB2312" w:eastAsia="方正仿宋_GB2312" w:hAnsi="方正仿宋_GB2312" w:cs="方正仿宋_GB2312" w:hint="eastAsia"/>
                <w:lang w:bidi="ar"/>
              </w:rPr>
              <w:t>得分范围</w:t>
            </w:r>
          </w:p>
        </w:tc>
        <w:tc>
          <w:tcPr>
            <w:tcW w:w="5179" w:type="dxa"/>
            <w:vAlign w:val="center"/>
          </w:tcPr>
          <w:p w:rsidR="006D632C" w:rsidRDefault="005E2CB3">
            <w:pPr>
              <w:pStyle w:val="affff1"/>
              <w:spacing w:beforeAutospacing="0" w:afterAutospacing="0" w:line="400" w:lineRule="exact"/>
              <w:ind w:firstLineChars="200" w:firstLine="480"/>
              <w:jc w:val="center"/>
              <w:rPr>
                <w:rFonts w:ascii="方正仿宋_GB2312" w:eastAsia="方正仿宋_GB2312" w:hAnsi="方正仿宋_GB2312" w:cs="方正仿宋_GB2312"/>
              </w:rPr>
            </w:pPr>
            <w:r>
              <w:rPr>
                <w:rFonts w:ascii="方正仿宋_GB2312" w:eastAsia="方正仿宋_GB2312" w:hAnsi="方正仿宋_GB2312" w:cs="方正仿宋_GB2312" w:hint="eastAsia"/>
                <w:lang w:bidi="ar"/>
              </w:rPr>
              <w:t>说明</w:t>
            </w:r>
          </w:p>
        </w:tc>
      </w:tr>
      <w:tr w:rsidR="006D632C">
        <w:tc>
          <w:tcPr>
            <w:tcW w:w="1961"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优秀（（</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p>
        </w:tc>
        <w:tc>
          <w:tcPr>
            <w:tcW w:w="2422"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90</w:t>
            </w:r>
            <w:r>
              <w:rPr>
                <w:rFonts w:ascii="方正仿宋_GB2312" w:eastAsia="方正仿宋_GB2312" w:hAnsi="方正仿宋_GB2312" w:cs="方正仿宋_GB2312" w:hint="eastAsia"/>
              </w:rPr>
              <w:t>分及以上</w:t>
            </w:r>
          </w:p>
        </w:tc>
        <w:tc>
          <w:tcPr>
            <w:tcW w:w="5179"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各项指标表现优秀，管理规范，无重大问题</w:t>
            </w:r>
          </w:p>
        </w:tc>
      </w:tr>
      <w:tr w:rsidR="006D632C">
        <w:tc>
          <w:tcPr>
            <w:tcW w:w="1961"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良好（（</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p>
        </w:tc>
        <w:tc>
          <w:tcPr>
            <w:tcW w:w="2422"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80</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89</w:t>
            </w:r>
            <w:r>
              <w:rPr>
                <w:rFonts w:ascii="方正仿宋_GB2312" w:eastAsia="方正仿宋_GB2312" w:hAnsi="方正仿宋_GB2312" w:cs="方正仿宋_GB2312" w:hint="eastAsia"/>
              </w:rPr>
              <w:t>分</w:t>
            </w:r>
          </w:p>
        </w:tc>
        <w:tc>
          <w:tcPr>
            <w:tcW w:w="5179"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基本达到优质运行标准，存在轻微改进空间</w:t>
            </w:r>
          </w:p>
        </w:tc>
      </w:tr>
      <w:tr w:rsidR="006D632C">
        <w:tc>
          <w:tcPr>
            <w:tcW w:w="1961"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合格（（</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p>
        </w:tc>
        <w:tc>
          <w:tcPr>
            <w:tcW w:w="2422"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70</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79</w:t>
            </w:r>
            <w:r>
              <w:rPr>
                <w:rFonts w:ascii="方正仿宋_GB2312" w:eastAsia="方正仿宋_GB2312" w:hAnsi="方正仿宋_GB2312" w:cs="方正仿宋_GB2312" w:hint="eastAsia"/>
              </w:rPr>
              <w:t>分</w:t>
            </w:r>
          </w:p>
        </w:tc>
        <w:tc>
          <w:tcPr>
            <w:tcW w:w="5179"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满足基本运行要求，存在一定问题需整改</w:t>
            </w:r>
          </w:p>
        </w:tc>
      </w:tr>
      <w:tr w:rsidR="006D632C">
        <w:tc>
          <w:tcPr>
            <w:tcW w:w="1961"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较差（（</w:t>
            </w:r>
            <w:r>
              <w:rPr>
                <w:rFonts w:ascii="方正仿宋_GB2312" w:eastAsia="方正仿宋_GB2312" w:hAnsi="方正仿宋_GB2312" w:cs="方正仿宋_GB2312" w:hint="eastAsia"/>
              </w:rPr>
              <w:t>4</w:t>
            </w:r>
            <w:r>
              <w:rPr>
                <w:rFonts w:ascii="方正仿宋_GB2312" w:eastAsia="方正仿宋_GB2312" w:hAnsi="方正仿宋_GB2312" w:cs="方正仿宋_GB2312" w:hint="eastAsia"/>
              </w:rPr>
              <w:t>）</w:t>
            </w:r>
          </w:p>
        </w:tc>
        <w:tc>
          <w:tcPr>
            <w:tcW w:w="2422"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60</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69</w:t>
            </w:r>
            <w:r>
              <w:rPr>
                <w:rFonts w:ascii="方正仿宋_GB2312" w:eastAsia="方正仿宋_GB2312" w:hAnsi="方正仿宋_GB2312" w:cs="方正仿宋_GB2312" w:hint="eastAsia"/>
              </w:rPr>
              <w:t>分</w:t>
            </w:r>
          </w:p>
        </w:tc>
        <w:tc>
          <w:tcPr>
            <w:tcW w:w="5179"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多项指标达不到标准，需限期整改提升</w:t>
            </w:r>
          </w:p>
        </w:tc>
      </w:tr>
      <w:tr w:rsidR="006D632C">
        <w:tc>
          <w:tcPr>
            <w:tcW w:w="1961"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不合格（（</w:t>
            </w:r>
            <w:r>
              <w:rPr>
                <w:rFonts w:ascii="方正仿宋_GB2312" w:eastAsia="方正仿宋_GB2312" w:hAnsi="方正仿宋_GB2312" w:cs="方正仿宋_GB2312" w:hint="eastAsia"/>
              </w:rPr>
              <w:t>5</w:t>
            </w:r>
            <w:r>
              <w:rPr>
                <w:rFonts w:ascii="方正仿宋_GB2312" w:eastAsia="方正仿宋_GB2312" w:hAnsi="方正仿宋_GB2312" w:cs="方正仿宋_GB2312" w:hint="eastAsia"/>
              </w:rPr>
              <w:t>）</w:t>
            </w:r>
          </w:p>
        </w:tc>
        <w:tc>
          <w:tcPr>
            <w:tcW w:w="2422"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60</w:t>
            </w:r>
            <w:r>
              <w:rPr>
                <w:rFonts w:ascii="方正仿宋_GB2312" w:eastAsia="方正仿宋_GB2312" w:hAnsi="方正仿宋_GB2312" w:cs="方正仿宋_GB2312" w:hint="eastAsia"/>
              </w:rPr>
              <w:t>分以下</w:t>
            </w:r>
          </w:p>
        </w:tc>
        <w:tc>
          <w:tcPr>
            <w:tcW w:w="5179"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存在严重问题，不具备持续运行质量保障</w:t>
            </w:r>
          </w:p>
        </w:tc>
      </w:tr>
    </w:tbl>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7.4.2 </w:t>
      </w:r>
      <w:r>
        <w:rPr>
          <w:rFonts w:ascii="方正仿宋_GB2312" w:eastAsia="方正仿宋_GB2312" w:hAnsi="方正仿宋_GB2312" w:cs="方正仿宋_GB2312" w:hint="eastAsia"/>
          <w:b/>
          <w:bCs/>
        </w:rPr>
        <w:t>关键项否决机制</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如评估中发现以下情况之一，可直接认定为“不合格”等级：</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发生重大安全事故，造成人员伤亡或重大设备损毁；</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故意提供虚假评估资料或伪造运行数据；</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环评批复未落实或重大环保违法行为；</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核心设备运行率低于</w:t>
      </w:r>
      <w:r>
        <w:rPr>
          <w:rFonts w:ascii="方正仿宋_GB2312" w:eastAsia="方正仿宋_GB2312" w:hAnsi="方正仿宋_GB2312" w:cs="方正仿宋_GB2312" w:hint="eastAsia"/>
          <w:lang w:bidi="ar"/>
        </w:rPr>
        <w:t>60%</w:t>
      </w:r>
      <w:r>
        <w:rPr>
          <w:rFonts w:ascii="方正仿宋_GB2312" w:eastAsia="方正仿宋_GB2312" w:hAnsi="方正仿宋_GB2312" w:cs="方正仿宋_GB2312" w:hint="eastAsia"/>
          <w:lang w:bidi="ar"/>
        </w:rPr>
        <w:t>且无有效整改措施；</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lang w:bidi="ar"/>
        </w:rPr>
      </w:pPr>
      <w:r>
        <w:rPr>
          <w:rFonts w:ascii="方正仿宋_GB2312" w:eastAsia="方正仿宋_GB2312" w:hAnsi="方正仿宋_GB2312" w:cs="方正仿宋_GB2312" w:hint="eastAsia"/>
          <w:lang w:bidi="ar"/>
        </w:rPr>
        <w:t>未通过竣工验收即投入商运。</w:t>
      </w:r>
    </w:p>
    <w:p w:rsidR="006D632C" w:rsidRDefault="005E2CB3">
      <w:pPr>
        <w:pStyle w:val="affff1"/>
        <w:spacing w:beforeLines="50" w:before="156" w:beforeAutospacing="0" w:afterLines="50" w:after="156" w:afterAutospacing="0" w:line="400" w:lineRule="exact"/>
        <w:outlineLvl w:val="0"/>
        <w:rPr>
          <w:rFonts w:ascii="方正仿宋_GB2312" w:eastAsia="方正仿宋_GB2312" w:hAnsi="方正仿宋_GB2312" w:cs="方正仿宋_GB2312"/>
          <w:b/>
          <w:bCs/>
        </w:rPr>
      </w:pPr>
      <w:bookmarkStart w:id="78" w:name="_Toc11837"/>
      <w:r>
        <w:rPr>
          <w:rFonts w:ascii="方正仿宋_GB2312" w:eastAsia="方正仿宋_GB2312" w:hAnsi="方正仿宋_GB2312" w:cs="方正仿宋_GB2312" w:hint="eastAsia"/>
          <w:b/>
          <w:bCs/>
        </w:rPr>
        <w:t xml:space="preserve">8 </w:t>
      </w:r>
      <w:r>
        <w:rPr>
          <w:rFonts w:ascii="方正仿宋_GB2312" w:eastAsia="方正仿宋_GB2312" w:hAnsi="方正仿宋_GB2312" w:cs="方正仿宋_GB2312" w:hint="eastAsia"/>
          <w:b/>
          <w:bCs/>
        </w:rPr>
        <w:t>评估程序  </w:t>
      </w:r>
      <w:bookmarkEnd w:id="78"/>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8.1 </w:t>
      </w:r>
      <w:bookmarkStart w:id="79" w:name="OLE_LINK18"/>
      <w:r>
        <w:rPr>
          <w:rFonts w:ascii="方正仿宋_GB2312" w:eastAsia="方正仿宋_GB2312" w:hAnsi="方正仿宋_GB2312" w:cs="方正仿宋_GB2312" w:hint="eastAsia"/>
          <w:b/>
          <w:bCs/>
        </w:rPr>
        <w:t>启动与准备</w:t>
      </w:r>
      <w:bookmarkEnd w:id="79"/>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质量评估工作的启动与准备阶段是保障评估工作规范、顺利、有序进行的前提，应遵循公开、公正、系统的工作流程。</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8.1.1 </w:t>
      </w:r>
      <w:r>
        <w:rPr>
          <w:rFonts w:ascii="方正仿宋_GB2312" w:eastAsia="方正仿宋_GB2312" w:hAnsi="方正仿宋_GB2312" w:cs="方正仿宋_GB2312" w:hint="eastAsia"/>
          <w:b/>
          <w:bCs/>
        </w:rPr>
        <w:t>评估工作启动条件</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评估工作应在下列条件具备后启动：</w:t>
      </w:r>
    </w:p>
    <w:p w:rsidR="006D632C" w:rsidRDefault="005E2CB3">
      <w:pPr>
        <w:pStyle w:val="affff1"/>
        <w:spacing w:beforeAutospacing="0" w:afterAutospacing="0" w:line="400" w:lineRule="exact"/>
        <w:ind w:leftChars="228" w:left="479"/>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风力发电场完成商业运行满</w:t>
      </w:r>
      <w:r>
        <w:rPr>
          <w:rFonts w:ascii="方正仿宋_GB2312" w:eastAsia="方正仿宋_GB2312" w:hAnsi="方正仿宋_GB2312" w:cs="方正仿宋_GB2312" w:hint="eastAsia"/>
        </w:rPr>
        <w:t>6</w:t>
      </w:r>
      <w:r>
        <w:rPr>
          <w:rFonts w:ascii="方正仿宋_GB2312" w:eastAsia="方正仿宋_GB2312" w:hAnsi="方正仿宋_GB2312" w:cs="方正仿宋_GB2312" w:hint="eastAsia"/>
        </w:rPr>
        <w:t>个月或一个完整风季（以先到为准）；</w:t>
      </w:r>
    </w:p>
    <w:p w:rsidR="006D632C" w:rsidRDefault="005E2CB3">
      <w:pPr>
        <w:pStyle w:val="affff1"/>
        <w:spacing w:beforeAutospacing="0" w:afterAutospacing="0" w:line="400" w:lineRule="exact"/>
        <w:ind w:leftChars="228" w:left="479"/>
        <w:rPr>
          <w:rFonts w:ascii="方正仿宋_GB2312" w:eastAsia="方正仿宋_GB2312" w:hAnsi="方正仿宋_GB2312" w:cs="方正仿宋_GB2312"/>
        </w:rPr>
      </w:pPr>
      <w:r>
        <w:rPr>
          <w:rFonts w:ascii="方正仿宋_GB2312" w:eastAsia="方正仿宋_GB2312" w:hAnsi="方正仿宋_GB2312" w:cs="方正仿宋_GB2312" w:hint="eastAsia"/>
        </w:rPr>
        <w:lastRenderedPageBreak/>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建设、运行相关档案资料基本齐全；</w:t>
      </w:r>
    </w:p>
    <w:p w:rsidR="006D632C" w:rsidRDefault="005E2CB3">
      <w:pPr>
        <w:pStyle w:val="affff1"/>
        <w:spacing w:beforeAutospacing="0" w:afterAutospacing="0" w:line="400" w:lineRule="exact"/>
        <w:ind w:leftChars="228" w:left="479"/>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运维单位及运营单位已建立基本运行和安全管理体系；</w:t>
      </w:r>
    </w:p>
    <w:p w:rsidR="006D632C" w:rsidRDefault="005E2CB3">
      <w:pPr>
        <w:pStyle w:val="affff1"/>
        <w:spacing w:beforeAutospacing="0" w:afterAutospacing="0" w:line="400" w:lineRule="exact"/>
        <w:ind w:leftChars="228" w:left="479"/>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4</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风电场所属单位同意评估计划并配合工作安排。</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8.1.2 </w:t>
      </w:r>
      <w:r>
        <w:rPr>
          <w:rFonts w:ascii="方正仿宋_GB2312" w:eastAsia="方正仿宋_GB2312" w:hAnsi="方正仿宋_GB2312" w:cs="方正仿宋_GB2312" w:hint="eastAsia"/>
          <w:b/>
          <w:bCs/>
        </w:rPr>
        <w:t>评估组织与职责</w:t>
      </w:r>
    </w:p>
    <w:p w:rsidR="006D632C" w:rsidRDefault="005E2CB3">
      <w:pPr>
        <w:pStyle w:val="affff1"/>
        <w:spacing w:beforeAutospacing="0" w:afterAutospacing="0" w:line="400" w:lineRule="exact"/>
        <w:ind w:leftChars="228" w:left="479"/>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组织单位：评估应由具有相关资质的第三方机构、行业主管部门或技术监督机构组织实施，并成立评估小组。</w:t>
      </w:r>
    </w:p>
    <w:p w:rsidR="006D632C" w:rsidRDefault="005E2CB3">
      <w:pPr>
        <w:pStyle w:val="affff1"/>
        <w:spacing w:beforeAutospacing="0" w:afterAutospacing="0" w:line="400" w:lineRule="exact"/>
        <w:ind w:leftChars="228" w:left="479"/>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评估小组构成：评估小组应包括风电设计、施工、运行、设备、电气、安全等方面的技术专家，人员不少于</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人，且具有高级专业职称或注册工程师等资质。</w:t>
      </w:r>
    </w:p>
    <w:p w:rsidR="006D632C" w:rsidRDefault="005E2CB3">
      <w:pPr>
        <w:pStyle w:val="affff1"/>
        <w:spacing w:beforeAutospacing="0" w:afterAutospacing="0" w:line="400" w:lineRule="exact"/>
        <w:ind w:leftChars="228" w:left="479"/>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职责划分</w:t>
      </w:r>
    </w:p>
    <w:p w:rsidR="006D632C" w:rsidRDefault="005E2CB3">
      <w:pPr>
        <w:pStyle w:val="affff1"/>
        <w:spacing w:beforeAutospacing="0" w:afterAutospacing="0" w:line="400" w:lineRule="exact"/>
        <w:ind w:leftChars="228" w:left="479"/>
        <w:rPr>
          <w:rFonts w:ascii="方正仿宋_GB2312" w:eastAsia="方正仿宋_GB2312" w:hAnsi="方正仿宋_GB2312" w:cs="方正仿宋_GB2312"/>
        </w:rPr>
      </w:pPr>
      <w:r>
        <w:rPr>
          <w:rFonts w:ascii="方正仿宋_GB2312" w:eastAsia="方正仿宋_GB2312" w:hAnsi="方正仿宋_GB2312" w:cs="方正仿宋_GB2312" w:hint="eastAsia"/>
        </w:rPr>
        <w:t>主评人负责统筹评估工作，组织现场实施及结果审议；</w:t>
      </w:r>
    </w:p>
    <w:p w:rsidR="006D632C" w:rsidRDefault="005E2CB3">
      <w:pPr>
        <w:pStyle w:val="affff1"/>
        <w:spacing w:beforeAutospacing="0" w:afterAutospacing="0" w:line="400" w:lineRule="exact"/>
        <w:ind w:leftChars="228" w:left="479"/>
        <w:rPr>
          <w:rFonts w:ascii="方正仿宋_GB2312" w:eastAsia="方正仿宋_GB2312" w:hAnsi="方正仿宋_GB2312" w:cs="方正仿宋_GB2312"/>
        </w:rPr>
      </w:pPr>
      <w:r>
        <w:rPr>
          <w:rFonts w:ascii="方正仿宋_GB2312" w:eastAsia="方正仿宋_GB2312" w:hAnsi="方正仿宋_GB2312" w:cs="方正仿宋_GB2312" w:hint="eastAsia"/>
        </w:rPr>
        <w:t>专项评估人员负责对应领域的资料审核、现场检查、数据分析；</w:t>
      </w:r>
    </w:p>
    <w:p w:rsidR="006D632C" w:rsidRDefault="005E2CB3">
      <w:pPr>
        <w:pStyle w:val="affff1"/>
        <w:spacing w:beforeAutospacing="0" w:afterAutospacing="0" w:line="400" w:lineRule="exact"/>
        <w:ind w:leftChars="228" w:left="479"/>
        <w:rPr>
          <w:rFonts w:ascii="方正仿宋_GB2312" w:eastAsia="方正仿宋_GB2312" w:hAnsi="方正仿宋_GB2312" w:cs="方正仿宋_GB2312"/>
        </w:rPr>
      </w:pPr>
      <w:r>
        <w:rPr>
          <w:rFonts w:ascii="方正仿宋_GB2312" w:eastAsia="方正仿宋_GB2312" w:hAnsi="方正仿宋_GB2312" w:cs="方正仿宋_GB2312" w:hint="eastAsia"/>
        </w:rPr>
        <w:t>资料员负责数据收集整理、评估记录归档；</w:t>
      </w:r>
    </w:p>
    <w:p w:rsidR="006D632C" w:rsidRDefault="005E2CB3">
      <w:pPr>
        <w:pStyle w:val="affff1"/>
        <w:spacing w:beforeAutospacing="0" w:afterAutospacing="0" w:line="400" w:lineRule="exact"/>
        <w:ind w:leftChars="228" w:left="479"/>
        <w:rPr>
          <w:rFonts w:ascii="方正仿宋_GB2312" w:eastAsia="方正仿宋_GB2312" w:hAnsi="方正仿宋_GB2312" w:cs="方正仿宋_GB2312"/>
        </w:rPr>
      </w:pPr>
      <w:r>
        <w:rPr>
          <w:rFonts w:ascii="方正仿宋_GB2312" w:eastAsia="方正仿宋_GB2312" w:hAnsi="方正仿宋_GB2312" w:cs="方正仿宋_GB2312" w:hint="eastAsia"/>
        </w:rPr>
        <w:t>联络员负责协调与被评单位之间的沟通。</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8.1.3 </w:t>
      </w:r>
      <w:r>
        <w:rPr>
          <w:rFonts w:ascii="方正仿宋_GB2312" w:eastAsia="方正仿宋_GB2312" w:hAnsi="方正仿宋_GB2312" w:cs="方正仿宋_GB2312" w:hint="eastAsia"/>
          <w:b/>
          <w:bCs/>
        </w:rPr>
        <w:t>评估前准备工作</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Style w:val="affff5"/>
          <w:rFonts w:ascii="方正仿宋_GB2312" w:eastAsia="方正仿宋_GB2312" w:hAnsi="方正仿宋_GB2312" w:cs="方正仿宋_GB2312" w:hint="eastAsia"/>
          <w:b w:val="0"/>
          <w:bCs w:val="0"/>
        </w:rPr>
        <w:t>制定评估方案</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明确评估范围</w:t>
      </w:r>
      <w:r>
        <w:rPr>
          <w:rFonts w:ascii="方正仿宋_GB2312" w:eastAsia="方正仿宋_GB2312" w:hAnsi="方正仿宋_GB2312" w:cs="方正仿宋_GB2312" w:hint="eastAsia"/>
        </w:rPr>
        <w:t>、对象、时间安排、方法步骤、工作分工等；</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列出所需资料清单、现场检查设备和测试工具清单。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Style w:val="affff5"/>
          <w:rFonts w:ascii="方正仿宋_GB2312" w:eastAsia="方正仿宋_GB2312" w:hAnsi="方正仿宋_GB2312" w:cs="方正仿宋_GB2312" w:hint="eastAsia"/>
          <w:b w:val="0"/>
          <w:bCs w:val="0"/>
        </w:rPr>
        <w:t>资料预审与收集</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要求风电场提交相关运行、建设、管理资料及</w:t>
      </w:r>
      <w:r>
        <w:rPr>
          <w:rFonts w:ascii="方正仿宋_GB2312" w:eastAsia="方正仿宋_GB2312" w:hAnsi="方正仿宋_GB2312" w:cs="方正仿宋_GB2312" w:hint="eastAsia"/>
        </w:rPr>
        <w:t>SCADA</w:t>
      </w:r>
      <w:r>
        <w:rPr>
          <w:rFonts w:ascii="方正仿宋_GB2312" w:eastAsia="方正仿宋_GB2312" w:hAnsi="方正仿宋_GB2312" w:cs="方正仿宋_GB2312" w:hint="eastAsia"/>
        </w:rPr>
        <w:t>导出数据；</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对资料进行初审，预判重点问题和风险点。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Style w:val="affff5"/>
          <w:rFonts w:ascii="方正仿宋_GB2312" w:eastAsia="方正仿宋_GB2312" w:hAnsi="方正仿宋_GB2312" w:cs="方正仿宋_GB2312" w:hint="eastAsia"/>
          <w:b w:val="0"/>
          <w:bCs w:val="0"/>
        </w:rPr>
        <w:t>现场协调与通知</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通知风电场现场准备接待、运维人员配合、设备运行状态记录；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确认交通、安全、天气等外部条件符合评估要求。</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4</w:t>
      </w:r>
      <w:r>
        <w:rPr>
          <w:rFonts w:ascii="方正仿宋_GB2312" w:eastAsia="方正仿宋_GB2312" w:hAnsi="方正仿宋_GB2312" w:cs="方正仿宋_GB2312" w:hint="eastAsia"/>
        </w:rPr>
        <w:t>）</w:t>
      </w:r>
      <w:r>
        <w:rPr>
          <w:rStyle w:val="affff5"/>
          <w:rFonts w:ascii="方正仿宋_GB2312" w:eastAsia="方正仿宋_GB2312" w:hAnsi="方正仿宋_GB2312" w:cs="方正仿宋_GB2312" w:hint="eastAsia"/>
          <w:b w:val="0"/>
          <w:bCs w:val="0"/>
        </w:rPr>
        <w:t>评估纪律与保密</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评估组成员需签署职业道德承诺书与保密协议；</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所有评估数据和结论在正式发布前不得对外泄露。</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8.2 </w:t>
      </w:r>
      <w:r>
        <w:rPr>
          <w:rFonts w:ascii="方正仿宋_GB2312" w:eastAsia="方正仿宋_GB2312" w:hAnsi="方正仿宋_GB2312" w:cs="方正仿宋_GB2312" w:hint="eastAsia"/>
          <w:b/>
          <w:bCs/>
        </w:rPr>
        <w:t>实施评估</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实施评估阶段是对风力发电场质量状况进行实地、系统性检验的关键环节，应严格依照既定的评估方案有序执行，确保评估的全面性、客观性与可追溯性。</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8.2.1 </w:t>
      </w:r>
      <w:r>
        <w:rPr>
          <w:rFonts w:ascii="方正仿宋_GB2312" w:eastAsia="方正仿宋_GB2312" w:hAnsi="方正仿宋_GB2312" w:cs="方正仿宋_GB2312" w:hint="eastAsia"/>
          <w:b/>
          <w:bCs/>
        </w:rPr>
        <w:t>评估流程</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lastRenderedPageBreak/>
        <w:t>评估实施应依照如下流程进行：</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首次会议（进场会议）</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向被评单位介绍评估目的、内容、方式与分工；</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明确资料交接人、现场引导人、安全责任人；</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确定评估时间表与关键检查点。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资料核查</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现场核对提交资料原件与电子版本的一致性；</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对资料的真实性、完整性进行逐项审查记录。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现场检查</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按照第</w:t>
      </w:r>
      <w:r>
        <w:rPr>
          <w:rFonts w:ascii="方正仿宋_GB2312" w:eastAsia="方正仿宋_GB2312" w:hAnsi="方正仿宋_GB2312" w:cs="方正仿宋_GB2312" w:hint="eastAsia"/>
        </w:rPr>
        <w:t>7.2</w:t>
      </w:r>
      <w:r>
        <w:rPr>
          <w:rFonts w:ascii="方正仿宋_GB2312" w:eastAsia="方正仿宋_GB2312" w:hAnsi="方正仿宋_GB2312" w:cs="方正仿宋_GB2312" w:hint="eastAsia"/>
        </w:rPr>
        <w:t>条所列内容组织现场巡视和实物核验；</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所有检查过程应由评估人员与被评单位代表共同参与并签字确认。</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4</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运行数据分析</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调取指定时段的</w:t>
      </w:r>
      <w:r>
        <w:rPr>
          <w:rFonts w:ascii="方正仿宋_GB2312" w:eastAsia="方正仿宋_GB2312" w:hAnsi="方正仿宋_GB2312" w:cs="方正仿宋_GB2312" w:hint="eastAsia"/>
        </w:rPr>
        <w:t>SCADA</w:t>
      </w:r>
      <w:r>
        <w:rPr>
          <w:rFonts w:ascii="方正仿宋_GB2312" w:eastAsia="方正仿宋_GB2312" w:hAnsi="方正仿宋_GB2312" w:cs="方正仿宋_GB2312" w:hint="eastAsia"/>
        </w:rPr>
        <w:t>数据、电网侧计量数据、故障记录等；</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由数据分析人员进行数据清洗、对比、建模分析。</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5</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问题确认与反馈</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将现场发现的问题与初步分析结果汇总形成《问题清单》；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与被评单位进行核对确认，记录说明、解释或补充材料。</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6</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末次会议（离场会议）</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向被评单位通报评估初步结论、存在问题及建议；</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明确后续整改机制和时间节点要求。</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8.2.2 </w:t>
      </w:r>
      <w:r>
        <w:rPr>
          <w:rFonts w:ascii="方正仿宋_GB2312" w:eastAsia="方正仿宋_GB2312" w:hAnsi="方正仿宋_GB2312" w:cs="方正仿宋_GB2312" w:hint="eastAsia"/>
          <w:b/>
          <w:bCs/>
        </w:rPr>
        <w:t>评估原则</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客观公正：所有结论应以事实依据和规范标准为基础，避免主观臆断</w:t>
      </w:r>
      <w:r>
        <w:rPr>
          <w:rFonts w:ascii="方正仿宋_GB2312" w:eastAsia="方正仿宋_GB2312" w:hAnsi="方正仿宋_GB2312" w:cs="方正仿宋_GB2312" w:hint="eastAsia"/>
        </w:rPr>
        <w:t>；</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全面覆盖：应覆盖风电场的核心系统、关键设备与重要管理要素；</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分类记录：将发现的问题按类别（设备、管理、安全、运行等）分类记录，便于整改与分析；</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4</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风险导向：对影响运行安全和效率的问题应优先处理与反馈。</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8.3 </w:t>
      </w:r>
      <w:bookmarkStart w:id="80" w:name="OLE_LINK19"/>
      <w:r>
        <w:rPr>
          <w:rFonts w:ascii="方正仿宋_GB2312" w:eastAsia="方正仿宋_GB2312" w:hAnsi="方正仿宋_GB2312" w:cs="方正仿宋_GB2312" w:hint="eastAsia"/>
          <w:b/>
          <w:bCs/>
        </w:rPr>
        <w:t>结果汇总与报告</w:t>
      </w:r>
      <w:bookmarkEnd w:id="80"/>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评估完成后，需对各项检查结果和评分数据进行汇总分析，依照规范确定质量等级，并形成正式评估报告，作为风力发电场质量管理的重要依据。</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8.3.1 </w:t>
      </w:r>
      <w:r>
        <w:rPr>
          <w:rFonts w:ascii="方正仿宋_GB2312" w:eastAsia="方正仿宋_GB2312" w:hAnsi="方正仿宋_GB2312" w:cs="方正仿宋_GB2312" w:hint="eastAsia"/>
          <w:b/>
          <w:bCs/>
        </w:rPr>
        <w:t>数据汇总与分析</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指标打分统计</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lastRenderedPageBreak/>
        <w:t>各评估小组成员需提交经签字确认的评分表与核查记录；</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评估组织单位负责对所有评分数据进行加权汇总，按照第</w:t>
      </w:r>
      <w:r>
        <w:rPr>
          <w:rFonts w:ascii="方正仿宋_GB2312" w:eastAsia="方正仿宋_GB2312" w:hAnsi="方正仿宋_GB2312" w:cs="方正仿宋_GB2312" w:hint="eastAsia"/>
        </w:rPr>
        <w:t>7.4</w:t>
      </w:r>
      <w:r>
        <w:rPr>
          <w:rFonts w:ascii="方正仿宋_GB2312" w:eastAsia="方正仿宋_GB2312" w:hAnsi="方正仿宋_GB2312" w:cs="方正仿宋_GB2312" w:hint="eastAsia"/>
        </w:rPr>
        <w:t>节的方法计算总得分。</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问题分类与评级</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按照严重程度将发现问题分为：重大缺陷、一般问题、建议优化项；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形成《评估问题清单》，附原始记录、照片资料或数据图表支撑。</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一致性审议</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召开内部评估总结会议，统一评估意见，确保各项结论具有一致性与合理性；</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对存在分歧的问题进行复核或技术咨询，形成一致意见。</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8.3.2 </w:t>
      </w:r>
      <w:r>
        <w:rPr>
          <w:rFonts w:ascii="方正仿宋_GB2312" w:eastAsia="方正仿宋_GB2312" w:hAnsi="方正仿宋_GB2312" w:cs="方正仿宋_GB2312" w:hint="eastAsia"/>
          <w:b/>
          <w:bCs/>
        </w:rPr>
        <w:t>质量等级确定</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依据最终综合得分，按以下标准确定质量等级：</w:t>
      </w:r>
    </w:p>
    <w:tbl>
      <w:tblPr>
        <w:tblStyle w:val="affff4"/>
        <w:tblW w:w="0" w:type="auto"/>
        <w:tblLook w:val="04A0" w:firstRow="1" w:lastRow="0" w:firstColumn="1" w:lastColumn="0" w:noHBand="0" w:noVBand="1"/>
      </w:tblPr>
      <w:tblGrid>
        <w:gridCol w:w="1828"/>
        <w:gridCol w:w="2156"/>
        <w:gridCol w:w="5578"/>
      </w:tblGrid>
      <w:tr w:rsidR="006D632C">
        <w:tc>
          <w:tcPr>
            <w:tcW w:w="1828"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等级</w:t>
            </w:r>
          </w:p>
        </w:tc>
        <w:tc>
          <w:tcPr>
            <w:tcW w:w="2156"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得分范围</w:t>
            </w:r>
          </w:p>
        </w:tc>
        <w:tc>
          <w:tcPr>
            <w:tcW w:w="5578" w:type="dxa"/>
            <w:vAlign w:val="center"/>
          </w:tcPr>
          <w:p w:rsidR="006D632C" w:rsidRDefault="005E2CB3">
            <w:pPr>
              <w:pStyle w:val="affff1"/>
              <w:spacing w:beforeAutospacing="0" w:afterAutospacing="0" w:line="400" w:lineRule="exact"/>
              <w:jc w:val="center"/>
              <w:rPr>
                <w:rFonts w:ascii="方正仿宋_GB2312" w:eastAsia="方正仿宋_GB2312" w:hAnsi="方正仿宋_GB2312" w:cs="方正仿宋_GB2312"/>
              </w:rPr>
            </w:pPr>
            <w:r>
              <w:rPr>
                <w:rFonts w:ascii="方正仿宋_GB2312" w:eastAsia="方正仿宋_GB2312" w:hAnsi="方正仿宋_GB2312" w:cs="方正仿宋_GB2312" w:hint="eastAsia"/>
              </w:rPr>
              <w:t>说明</w:t>
            </w:r>
          </w:p>
        </w:tc>
      </w:tr>
      <w:tr w:rsidR="006D632C">
        <w:tc>
          <w:tcPr>
            <w:tcW w:w="1828"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A</w:t>
            </w:r>
            <w:r>
              <w:rPr>
                <w:rFonts w:ascii="方正仿宋_GB2312" w:eastAsia="方正仿宋_GB2312" w:hAnsi="方正仿宋_GB2312" w:cs="方正仿宋_GB2312" w:hint="eastAsia"/>
              </w:rPr>
              <w:t>（优秀）</w:t>
            </w:r>
          </w:p>
        </w:tc>
        <w:tc>
          <w:tcPr>
            <w:tcW w:w="2156"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90</w:t>
            </w:r>
            <w:r>
              <w:rPr>
                <w:rFonts w:ascii="方正仿宋_GB2312" w:eastAsia="方正仿宋_GB2312" w:hAnsi="方正仿宋_GB2312" w:cs="方正仿宋_GB2312" w:hint="eastAsia"/>
              </w:rPr>
              <w:t>分</w:t>
            </w:r>
          </w:p>
        </w:tc>
        <w:tc>
          <w:tcPr>
            <w:tcW w:w="5578"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运行稳定、管理规范、无重大问题或隐患；</w:t>
            </w:r>
          </w:p>
        </w:tc>
      </w:tr>
      <w:tr w:rsidR="006D632C">
        <w:tc>
          <w:tcPr>
            <w:tcW w:w="1828"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B</w:t>
            </w:r>
            <w:r>
              <w:rPr>
                <w:rFonts w:ascii="方正仿宋_GB2312" w:eastAsia="方正仿宋_GB2312" w:hAnsi="方正仿宋_GB2312" w:cs="方正仿宋_GB2312" w:hint="eastAsia"/>
              </w:rPr>
              <w:t>（良好）</w:t>
            </w:r>
          </w:p>
        </w:tc>
        <w:tc>
          <w:tcPr>
            <w:tcW w:w="2156"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80</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89</w:t>
            </w:r>
            <w:r>
              <w:rPr>
                <w:rFonts w:ascii="方正仿宋_GB2312" w:eastAsia="方正仿宋_GB2312" w:hAnsi="方正仿宋_GB2312" w:cs="方正仿宋_GB2312" w:hint="eastAsia"/>
              </w:rPr>
              <w:t>分</w:t>
            </w:r>
          </w:p>
        </w:tc>
        <w:tc>
          <w:tcPr>
            <w:tcW w:w="5578"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运行质量较好，存在轻微问题可通过优化改进解决；</w:t>
            </w:r>
          </w:p>
        </w:tc>
      </w:tr>
      <w:tr w:rsidR="006D632C">
        <w:tc>
          <w:tcPr>
            <w:tcW w:w="1828"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C</w:t>
            </w:r>
            <w:r>
              <w:rPr>
                <w:rFonts w:ascii="方正仿宋_GB2312" w:eastAsia="方正仿宋_GB2312" w:hAnsi="方正仿宋_GB2312" w:cs="方正仿宋_GB2312" w:hint="eastAsia"/>
              </w:rPr>
              <w:t>（合格）</w:t>
            </w:r>
          </w:p>
        </w:tc>
        <w:tc>
          <w:tcPr>
            <w:tcW w:w="2156"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70</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79</w:t>
            </w:r>
            <w:r>
              <w:rPr>
                <w:rFonts w:ascii="方正仿宋_GB2312" w:eastAsia="方正仿宋_GB2312" w:hAnsi="方正仿宋_GB2312" w:cs="方正仿宋_GB2312" w:hint="eastAsia"/>
              </w:rPr>
              <w:t>分</w:t>
            </w:r>
          </w:p>
        </w:tc>
        <w:tc>
          <w:tcPr>
            <w:tcW w:w="5578"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满足基本质量要求，有一定问题但不影响整体运行；</w:t>
            </w:r>
          </w:p>
        </w:tc>
      </w:tr>
      <w:tr w:rsidR="006D632C">
        <w:tc>
          <w:tcPr>
            <w:tcW w:w="1828"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D</w:t>
            </w:r>
            <w:r>
              <w:rPr>
                <w:rFonts w:ascii="方正仿宋_GB2312" w:eastAsia="方正仿宋_GB2312" w:hAnsi="方正仿宋_GB2312" w:cs="方正仿宋_GB2312" w:hint="eastAsia"/>
              </w:rPr>
              <w:t>（较差）</w:t>
            </w:r>
          </w:p>
        </w:tc>
        <w:tc>
          <w:tcPr>
            <w:tcW w:w="2156"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60</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69</w:t>
            </w:r>
            <w:r>
              <w:rPr>
                <w:rFonts w:ascii="方正仿宋_GB2312" w:eastAsia="方正仿宋_GB2312" w:hAnsi="方正仿宋_GB2312" w:cs="方正仿宋_GB2312" w:hint="eastAsia"/>
              </w:rPr>
              <w:t>分</w:t>
            </w:r>
          </w:p>
        </w:tc>
        <w:tc>
          <w:tcPr>
            <w:tcW w:w="5578"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存在明显问题，需限期整改并接受复评；</w:t>
            </w:r>
          </w:p>
        </w:tc>
      </w:tr>
      <w:tr w:rsidR="006D632C">
        <w:tc>
          <w:tcPr>
            <w:tcW w:w="1828"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E</w:t>
            </w:r>
            <w:r>
              <w:rPr>
                <w:rFonts w:ascii="方正仿宋_GB2312" w:eastAsia="方正仿宋_GB2312" w:hAnsi="方正仿宋_GB2312" w:cs="方正仿宋_GB2312" w:hint="eastAsia"/>
              </w:rPr>
              <w:t>（不合格）</w:t>
            </w:r>
          </w:p>
        </w:tc>
        <w:tc>
          <w:tcPr>
            <w:tcW w:w="2156"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&lt;60</w:t>
            </w:r>
            <w:r>
              <w:rPr>
                <w:rFonts w:ascii="方正仿宋_GB2312" w:eastAsia="方正仿宋_GB2312" w:hAnsi="方正仿宋_GB2312" w:cs="方正仿宋_GB2312" w:hint="eastAsia"/>
              </w:rPr>
              <w:t>分或触发一票否决条款</w:t>
            </w:r>
          </w:p>
        </w:tc>
        <w:tc>
          <w:tcPr>
            <w:tcW w:w="5578" w:type="dxa"/>
            <w:vAlign w:val="center"/>
          </w:tcPr>
          <w:p w:rsidR="006D632C" w:rsidRDefault="005E2CB3">
            <w:pPr>
              <w:pStyle w:val="affff1"/>
              <w:spacing w:beforeAutospacing="0" w:afterAutospacing="0" w:line="400" w:lineRule="exact"/>
              <w:rPr>
                <w:rFonts w:ascii="方正仿宋_GB2312" w:eastAsia="方正仿宋_GB2312" w:hAnsi="方正仿宋_GB2312" w:cs="方正仿宋_GB2312"/>
              </w:rPr>
            </w:pPr>
            <w:r>
              <w:rPr>
                <w:rFonts w:ascii="方正仿宋_GB2312" w:eastAsia="方正仿宋_GB2312" w:hAnsi="方正仿宋_GB2312" w:cs="方正仿宋_GB2312" w:hint="eastAsia"/>
              </w:rPr>
              <w:t>存在严重质量、安全或合规问题，不符合运行质量要求。</w:t>
            </w:r>
          </w:p>
        </w:tc>
      </w:tr>
    </w:tbl>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若发现一票否决情形（详见</w:t>
      </w:r>
      <w:r>
        <w:rPr>
          <w:rFonts w:ascii="方正仿宋_GB2312" w:eastAsia="方正仿宋_GB2312" w:hAnsi="方正仿宋_GB2312" w:cs="方正仿宋_GB2312" w:hint="eastAsia"/>
        </w:rPr>
        <w:t>7.4.2</w:t>
      </w:r>
      <w:r>
        <w:rPr>
          <w:rFonts w:ascii="方正仿宋_GB2312" w:eastAsia="方正仿宋_GB2312" w:hAnsi="方正仿宋_GB2312" w:cs="方正仿宋_GB2312" w:hint="eastAsia"/>
        </w:rPr>
        <w:t>），直接判定为</w:t>
      </w:r>
      <w:r>
        <w:rPr>
          <w:rFonts w:ascii="方正仿宋_GB2312" w:eastAsia="方正仿宋_GB2312" w:hAnsi="方正仿宋_GB2312" w:cs="方正仿宋_GB2312" w:hint="eastAsia"/>
        </w:rPr>
        <w:t xml:space="preserve"> E</w:t>
      </w:r>
      <w:r>
        <w:rPr>
          <w:rFonts w:ascii="方正仿宋_GB2312" w:eastAsia="方正仿宋_GB2312" w:hAnsi="方正仿宋_GB2312" w:cs="方正仿宋_GB2312" w:hint="eastAsia"/>
        </w:rPr>
        <w:t>等级，无须计算总分。</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8.3.3 </w:t>
      </w:r>
      <w:r>
        <w:rPr>
          <w:rFonts w:ascii="方正仿宋_GB2312" w:eastAsia="方正仿宋_GB2312" w:hAnsi="方正仿宋_GB2312" w:cs="方正仿宋_GB2312" w:hint="eastAsia"/>
          <w:b/>
          <w:bCs/>
        </w:rPr>
        <w:t>报告编制要求</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评估报告应包括以下主要内容：</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项目基本情况：风电场概况、运维单位、评估时间与范围等；</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评估过程说明：评估方法、步骤、参与人员等；</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各项检查结果汇总：包括文件审查、现场检查、数据分析的主要结论和问题汇总；</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综合评分与等级判定：附评分表、数据汇总表；</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改进建议：包括待整改事项、提升建议和后续评估建议；</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附件材料：照片、数据图表、签字记录、问题清单等。</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报告应由评估单位审核签署并加盖公章，正式提交被评单位和主管部门备案。</w:t>
      </w:r>
    </w:p>
    <w:p w:rsidR="006D632C" w:rsidRDefault="005E2CB3">
      <w:pPr>
        <w:pStyle w:val="affff1"/>
        <w:spacing w:beforeLines="50" w:before="156" w:beforeAutospacing="0" w:afterLines="50" w:after="156" w:afterAutospacing="0" w:line="400" w:lineRule="exact"/>
        <w:rPr>
          <w:rFonts w:ascii="方正仿宋_GB2312" w:eastAsia="方正仿宋_GB2312" w:hAnsi="方正仿宋_GB2312" w:cs="方正仿宋_GB2312"/>
          <w:b/>
          <w:bCs/>
        </w:rPr>
      </w:pPr>
      <w:r>
        <w:rPr>
          <w:rFonts w:ascii="方正仿宋_GB2312" w:eastAsia="方正仿宋_GB2312" w:hAnsi="方正仿宋_GB2312" w:cs="方正仿宋_GB2312" w:hint="eastAsia"/>
          <w:b/>
          <w:bCs/>
        </w:rPr>
        <w:t xml:space="preserve">8.3.4 </w:t>
      </w:r>
      <w:r>
        <w:rPr>
          <w:rFonts w:ascii="方正仿宋_GB2312" w:eastAsia="方正仿宋_GB2312" w:hAnsi="方正仿宋_GB2312" w:cs="方正仿宋_GB2312" w:hint="eastAsia"/>
          <w:b/>
          <w:bCs/>
        </w:rPr>
        <w:t>报告发布与信息管理</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1</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评估报告应在评估工作完成后</w:t>
      </w:r>
      <w:r>
        <w:rPr>
          <w:rFonts w:ascii="方正仿宋_GB2312" w:eastAsia="方正仿宋_GB2312" w:hAnsi="方正仿宋_GB2312" w:cs="方正仿宋_GB2312" w:hint="eastAsia"/>
        </w:rPr>
        <w:t xml:space="preserve"> 15</w:t>
      </w:r>
      <w:r>
        <w:rPr>
          <w:rFonts w:ascii="方正仿宋_GB2312" w:eastAsia="方正仿宋_GB2312" w:hAnsi="方正仿宋_GB2312" w:cs="方正仿宋_GB2312" w:hint="eastAsia"/>
        </w:rPr>
        <w:t>个工作日内出具</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2</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对于等级为</w:t>
      </w:r>
      <w:r>
        <w:rPr>
          <w:rFonts w:ascii="方正仿宋_GB2312" w:eastAsia="方正仿宋_GB2312" w:hAnsi="方正仿宋_GB2312" w:cs="方正仿宋_GB2312" w:hint="eastAsia"/>
        </w:rPr>
        <w:t xml:space="preserve"> D </w:t>
      </w:r>
      <w:r>
        <w:rPr>
          <w:rFonts w:ascii="方正仿宋_GB2312" w:eastAsia="方正仿宋_GB2312" w:hAnsi="方正仿宋_GB2312" w:cs="方正仿宋_GB2312" w:hint="eastAsia"/>
        </w:rPr>
        <w:t>或</w:t>
      </w:r>
      <w:r>
        <w:rPr>
          <w:rFonts w:ascii="方正仿宋_GB2312" w:eastAsia="方正仿宋_GB2312" w:hAnsi="方正仿宋_GB2312" w:cs="方正仿宋_GB2312" w:hint="eastAsia"/>
        </w:rPr>
        <w:t xml:space="preserve"> E </w:t>
      </w:r>
      <w:r>
        <w:rPr>
          <w:rFonts w:ascii="方正仿宋_GB2312" w:eastAsia="方正仿宋_GB2312" w:hAnsi="方正仿宋_GB2312" w:cs="方正仿宋_GB2312" w:hint="eastAsia"/>
        </w:rPr>
        <w:t>的</w:t>
      </w:r>
      <w:r>
        <w:rPr>
          <w:rFonts w:ascii="方正仿宋_GB2312" w:eastAsia="方正仿宋_GB2312" w:hAnsi="方正仿宋_GB2312" w:cs="方正仿宋_GB2312" w:hint="eastAsia"/>
        </w:rPr>
        <w:t>项目，建议主管部门进行重点监督，并要求提交整改计划；</w:t>
      </w:r>
    </w:p>
    <w:p w:rsidR="006D632C" w:rsidRDefault="005E2CB3">
      <w:pPr>
        <w:pStyle w:val="affff1"/>
        <w:spacing w:beforeAutospacing="0" w:afterAutospacing="0" w:line="400" w:lineRule="exact"/>
        <w:ind w:firstLineChars="200" w:firstLine="480"/>
        <w:rPr>
          <w:rFonts w:ascii="方正仿宋_GB2312" w:eastAsia="方正仿宋_GB2312" w:hAnsi="方正仿宋_GB2312" w:cs="方正仿宋_GB2312"/>
        </w:rPr>
      </w:pPr>
      <w:r>
        <w:rPr>
          <w:rFonts w:ascii="方正仿宋_GB2312" w:eastAsia="方正仿宋_GB2312" w:hAnsi="方正仿宋_GB2312" w:cs="方正仿宋_GB2312" w:hint="eastAsia"/>
        </w:rPr>
        <w:lastRenderedPageBreak/>
        <w:t>（</w:t>
      </w:r>
      <w:r>
        <w:rPr>
          <w:rFonts w:ascii="方正仿宋_GB2312" w:eastAsia="方正仿宋_GB2312" w:hAnsi="方正仿宋_GB2312" w:cs="方正仿宋_GB2312" w:hint="eastAsia"/>
        </w:rPr>
        <w:t>3</w:t>
      </w:r>
      <w:r>
        <w:rPr>
          <w:rFonts w:ascii="方正仿宋_GB2312" w:eastAsia="方正仿宋_GB2312" w:hAnsi="方正仿宋_GB2312" w:cs="方正仿宋_GB2312" w:hint="eastAsia"/>
        </w:rPr>
        <w:t>）</w:t>
      </w:r>
      <w:r>
        <w:rPr>
          <w:rFonts w:ascii="方正仿宋_GB2312" w:eastAsia="方正仿宋_GB2312" w:hAnsi="方正仿宋_GB2312" w:cs="方正仿宋_GB2312" w:hint="eastAsia"/>
        </w:rPr>
        <w:t xml:space="preserve"> </w:t>
      </w:r>
      <w:r>
        <w:rPr>
          <w:rFonts w:ascii="方正仿宋_GB2312" w:eastAsia="方正仿宋_GB2312" w:hAnsi="方正仿宋_GB2312" w:cs="方正仿宋_GB2312" w:hint="eastAsia"/>
        </w:rPr>
        <w:t>报告资料应统一编号归档，保存期限不低于</w:t>
      </w:r>
      <w:r>
        <w:rPr>
          <w:rFonts w:ascii="方正仿宋_GB2312" w:eastAsia="方正仿宋_GB2312" w:hAnsi="方正仿宋_GB2312" w:cs="方正仿宋_GB2312" w:hint="eastAsia"/>
        </w:rPr>
        <w:t xml:space="preserve"> 5</w:t>
      </w:r>
      <w:r>
        <w:rPr>
          <w:rFonts w:ascii="方正仿宋_GB2312" w:eastAsia="方正仿宋_GB2312" w:hAnsi="方正仿宋_GB2312" w:cs="方正仿宋_GB2312" w:hint="eastAsia"/>
        </w:rPr>
        <w:t>年，并严格按照相关信息安全规定管理。</w:t>
      </w:r>
    </w:p>
    <w:p w:rsidR="006D632C" w:rsidRDefault="006D632C">
      <w:pPr>
        <w:adjustRightInd/>
        <w:spacing w:line="480" w:lineRule="exact"/>
        <w:rPr>
          <w:rFonts w:ascii="宋体" w:hAnsi="宋体"/>
          <w:b/>
          <w:bCs/>
          <w:color w:val="000000"/>
        </w:rPr>
      </w:pPr>
    </w:p>
    <w:p w:rsidR="006D632C" w:rsidRDefault="006D632C">
      <w:pPr>
        <w:adjustRightInd/>
        <w:spacing w:line="480" w:lineRule="exact"/>
        <w:rPr>
          <w:rFonts w:ascii="宋体" w:hAnsi="宋体"/>
          <w:b/>
          <w:bCs/>
          <w:color w:val="000000"/>
        </w:rPr>
      </w:pPr>
    </w:p>
    <w:bookmarkEnd w:id="57"/>
    <w:bookmarkEnd w:id="58"/>
    <w:p w:rsidR="006D632C" w:rsidRDefault="005E2CB3">
      <w:pPr>
        <w:jc w:val="center"/>
        <w:rPr>
          <w:rFonts w:ascii="宋体" w:hAnsi="宋体"/>
          <w:color w:val="000000"/>
        </w:rPr>
      </w:pPr>
      <w:r>
        <w:rPr>
          <w:rFonts w:ascii="宋体" w:hAnsi="宋体" w:hint="eastAsia"/>
          <w:color w:val="000000"/>
        </w:rPr>
        <w:t>--------------------</w:t>
      </w:r>
    </w:p>
    <w:sectPr w:rsidR="006D632C">
      <w:headerReference w:type="default" r:id="rId14"/>
      <w:footerReference w:type="default" r:id="rId15"/>
      <w:pgSz w:w="11906" w:h="16838"/>
      <w:pgMar w:top="1928" w:right="1138" w:bottom="1138" w:left="1138"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CB3" w:rsidRDefault="005E2CB3">
      <w:pPr>
        <w:spacing w:line="240" w:lineRule="auto"/>
      </w:pPr>
      <w:r>
        <w:separator/>
      </w:r>
    </w:p>
  </w:endnote>
  <w:endnote w:type="continuationSeparator" w:id="0">
    <w:p w:rsidR="005E2CB3" w:rsidRDefault="005E2C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embedRegular r:id="rId1" w:subsetted="1" w:fontKey="{10BA1F30-5E1F-4B0B-AE06-A0B3315D601B}"/>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2312">
    <w:charset w:val="86"/>
    <w:family w:val="auto"/>
    <w:pitch w:val="default"/>
    <w:sig w:usb0="A00002BF" w:usb1="184F6CFA" w:usb2="00000012" w:usb3="00000000" w:csb0="00040001" w:csb1="00000000"/>
    <w:embedRegular r:id="rId2" w:subsetted="1" w:fontKey="{9B49DA2F-DA57-4688-A0CF-1FB3B7AB440F}"/>
    <w:embedBold r:id="rId3" w:subsetted="1" w:fontKey="{5AA941F3-F2BC-4942-BEB9-5CB7337D0B8A}"/>
    <w:embedItalic r:id="rId4" w:subsetted="1" w:fontKey="{A47690E1-09EE-40C3-8276-DA0BD5C8DAD6}"/>
  </w:font>
  <w:font w:name="___WRD_EMBED_SUB_41">
    <w:altName w:val="Arial Unicode MS"/>
    <w:panose1 w:val="02000000000000000000"/>
    <w:charset w:val="86"/>
    <w:family w:val="auto"/>
    <w:pitch w:val="default"/>
    <w:sig w:usb0="00000000" w:usb1="184F6CFA" w:usb2="00000012" w:usb3="00000000" w:csb0="00040001" w:csb1="00000000"/>
  </w:font>
  <w:font w:name="DejaVu Math TeX Gyre">
    <w:panose1 w:val="02000503000000000000"/>
    <w:charset w:val="00"/>
    <w:family w:val="auto"/>
    <w:pitch w:val="variable"/>
    <w:sig w:usb0="A10000EF" w:usb1="4201F9EE" w:usb2="02000000" w:usb3="00000000" w:csb0="00000193" w:csb1="00000000"/>
    <w:embedItalic r:id="rId5" w:subsetted="1" w:fontKey="{D79D2E77-A661-4320-9510-88E0588F181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32C" w:rsidRDefault="005E2CB3">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32C" w:rsidRDefault="006D632C">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32C" w:rsidRDefault="005E2CB3">
    <w:pPr>
      <w:pStyle w:val="afffff"/>
    </w:pPr>
    <w:r>
      <w:fldChar w:fldCharType="begin"/>
    </w:r>
    <w:r>
      <w:instrText>PAGE   \* MERGEFORMAT</w:instrText>
    </w:r>
    <w:r>
      <w:fldChar w:fldCharType="separate"/>
    </w:r>
    <w:r w:rsidR="00635A1C" w:rsidRPr="00635A1C">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CB3" w:rsidRDefault="005E2CB3">
      <w:pPr>
        <w:spacing w:line="240" w:lineRule="auto"/>
      </w:pPr>
      <w:r>
        <w:separator/>
      </w:r>
    </w:p>
  </w:footnote>
  <w:footnote w:type="continuationSeparator" w:id="0">
    <w:p w:rsidR="005E2CB3" w:rsidRDefault="005E2CB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32C" w:rsidRDefault="005E2CB3">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32C" w:rsidRDefault="006D632C">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32C" w:rsidRDefault="005E2CB3">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35A1C">
      <w:rPr>
        <w:noProof/>
      </w:rPr>
      <w:t>DB XX/T XXXX</w:t>
    </w:r>
    <w:r w:rsidR="00635A1C">
      <w:rPr>
        <w:noProof/>
      </w:rPr>
      <w:t>—</w:t>
    </w:r>
    <w:r w:rsidR="00635A1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5MTY2MDQyOTBlMDE3NGZhODgwMTU4MGQ0ZDJmYTgifQ=="/>
  </w:docVars>
  <w:rsids>
    <w:rsidRoot w:val="005C0AE9"/>
    <w:rsid w:val="B226A94F"/>
    <w:rsid w:val="EFF750C1"/>
    <w:rsid w:val="F5D94B6B"/>
    <w:rsid w:val="FD9B3543"/>
    <w:rsid w:val="FE2A874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DCF"/>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12E"/>
    <w:rsid w:val="0016770A"/>
    <w:rsid w:val="00170804"/>
    <w:rsid w:val="001708E9"/>
    <w:rsid w:val="0017340B"/>
    <w:rsid w:val="00173FB1"/>
    <w:rsid w:val="00176DFD"/>
    <w:rsid w:val="00183DF6"/>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4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70D"/>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0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7367"/>
    <w:rsid w:val="00470775"/>
    <w:rsid w:val="004746B1"/>
    <w:rsid w:val="0047527A"/>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883"/>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DCA"/>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AE9"/>
    <w:rsid w:val="005C29B8"/>
    <w:rsid w:val="005C5F21"/>
    <w:rsid w:val="005C7156"/>
    <w:rsid w:val="005D0C75"/>
    <w:rsid w:val="005D4171"/>
    <w:rsid w:val="005D6A95"/>
    <w:rsid w:val="005D6B2C"/>
    <w:rsid w:val="005D6D9C"/>
    <w:rsid w:val="005E2335"/>
    <w:rsid w:val="005E2CB3"/>
    <w:rsid w:val="005E34CA"/>
    <w:rsid w:val="005E3C18"/>
    <w:rsid w:val="005E6812"/>
    <w:rsid w:val="005E7881"/>
    <w:rsid w:val="005E78E0"/>
    <w:rsid w:val="005F0D9C"/>
    <w:rsid w:val="005F284E"/>
    <w:rsid w:val="005F4712"/>
    <w:rsid w:val="005F4F6F"/>
    <w:rsid w:val="006015CE"/>
    <w:rsid w:val="00604784"/>
    <w:rsid w:val="00606419"/>
    <w:rsid w:val="00607D29"/>
    <w:rsid w:val="00607D4B"/>
    <w:rsid w:val="00612952"/>
    <w:rsid w:val="00614CC1"/>
    <w:rsid w:val="00615A9D"/>
    <w:rsid w:val="00617387"/>
    <w:rsid w:val="006205D6"/>
    <w:rsid w:val="006252D8"/>
    <w:rsid w:val="006259BC"/>
    <w:rsid w:val="0062636B"/>
    <w:rsid w:val="00632182"/>
    <w:rsid w:val="00632AE0"/>
    <w:rsid w:val="00633C17"/>
    <w:rsid w:val="00634D9E"/>
    <w:rsid w:val="00635A1C"/>
    <w:rsid w:val="00636E3E"/>
    <w:rsid w:val="006379F7"/>
    <w:rsid w:val="00637E4D"/>
    <w:rsid w:val="00640620"/>
    <w:rsid w:val="00641A1F"/>
    <w:rsid w:val="00645904"/>
    <w:rsid w:val="00647A2E"/>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32C"/>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2EE"/>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3DB"/>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469"/>
    <w:rsid w:val="008E5518"/>
    <w:rsid w:val="008E6A84"/>
    <w:rsid w:val="008F0CDC"/>
    <w:rsid w:val="008F17A3"/>
    <w:rsid w:val="008F1ED3"/>
    <w:rsid w:val="008F23A5"/>
    <w:rsid w:val="008F4C29"/>
    <w:rsid w:val="008F70BD"/>
    <w:rsid w:val="008F788F"/>
    <w:rsid w:val="008F7EA2"/>
    <w:rsid w:val="00902722"/>
    <w:rsid w:val="009027BC"/>
    <w:rsid w:val="009062E6"/>
    <w:rsid w:val="00906488"/>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618"/>
    <w:rsid w:val="00A67866"/>
    <w:rsid w:val="00A70B07"/>
    <w:rsid w:val="00A723F8"/>
    <w:rsid w:val="00A755D4"/>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3F3"/>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6B15"/>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2B6"/>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77D"/>
    <w:rsid w:val="00CD0B8B"/>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642"/>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E5B"/>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5638"/>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82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2F66"/>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3027"/>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6DC"/>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E35FD1"/>
    <w:rsid w:val="25994AA9"/>
    <w:rsid w:val="28E90D4E"/>
    <w:rsid w:val="2CD56CD4"/>
    <w:rsid w:val="37422246"/>
    <w:rsid w:val="3A886292"/>
    <w:rsid w:val="44E1148A"/>
    <w:rsid w:val="46812B2F"/>
    <w:rsid w:val="51875690"/>
    <w:rsid w:val="59D93E6F"/>
    <w:rsid w:val="5B6652EF"/>
    <w:rsid w:val="61E24A24"/>
    <w:rsid w:val="747A3B4A"/>
    <w:rsid w:val="7FFF3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CBEC586-C3C4-469A-B70E-169367B8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80">
    <w:name w:val="toc 8"/>
    <w:basedOn w:val="afff5"/>
    <w:next w:val="afff5"/>
    <w:uiPriority w:val="39"/>
    <w:unhideWhenUsed/>
    <w:qFormat/>
    <w:pPr>
      <w:adjustRightInd/>
      <w:spacing w:line="240" w:lineRule="auto"/>
      <w:ind w:leftChars="1400" w:left="2940"/>
    </w:pPr>
    <w:rPr>
      <w:rFonts w:asciiTheme="minorHAnsi" w:eastAsiaTheme="minorEastAsia" w:hAnsiTheme="minorHAnsi" w:cstheme="minorBidi"/>
      <w:szCs w:val="22"/>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90">
    <w:name w:val="toc 9"/>
    <w:basedOn w:val="afff5"/>
    <w:next w:val="afff5"/>
    <w:uiPriority w:val="39"/>
    <w:unhideWhenUsed/>
    <w:qFormat/>
    <w:pPr>
      <w:adjustRightInd/>
      <w:spacing w:line="240" w:lineRule="auto"/>
      <w:ind w:leftChars="1600" w:left="3360"/>
    </w:pPr>
    <w:rPr>
      <w:rFonts w:asciiTheme="minorHAnsi" w:eastAsiaTheme="minorEastAsia" w:hAnsiTheme="minorHAnsi" w:cstheme="minorBidi"/>
      <w:szCs w:val="22"/>
    </w:rPr>
  </w:style>
  <w:style w:type="paragraph" w:styleId="affff1">
    <w:name w:val="Normal (Web)"/>
    <w:qFormat/>
    <w:pPr>
      <w:spacing w:beforeAutospacing="1" w:afterAutospacing="1"/>
    </w:pPr>
    <w:rPr>
      <w:sz w:val="24"/>
      <w:szCs w:val="24"/>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basedOn w:val="afff6"/>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3"/>
    <w:uiPriority w:val="99"/>
    <w:semiHidden/>
    <w:qFormat/>
    <w:rPr>
      <w:b/>
      <w:bCs/>
      <w:kern w:val="2"/>
      <w:sz w:val="21"/>
      <w:szCs w:val="21"/>
    </w:rPr>
  </w:style>
  <w:style w:type="paragraph" w:customStyle="1" w:styleId="TableParagraph">
    <w:name w:val="Table Paragraph"/>
    <w:basedOn w:val="afff5"/>
    <w:uiPriority w:val="1"/>
    <w:qFormat/>
    <w:pPr>
      <w:autoSpaceDE w:val="0"/>
      <w:autoSpaceDN w:val="0"/>
      <w:adjustRightInd/>
      <w:spacing w:line="292" w:lineRule="exact"/>
      <w:jc w:val="center"/>
    </w:pPr>
    <w:rPr>
      <w:rFonts w:ascii="宋体" w:hAnsi="宋体" w:cs="宋体"/>
      <w:kern w:val="0"/>
      <w:sz w:val="22"/>
      <w:szCs w:val="22"/>
      <w:lang w:val="zh-CN" w:bidi="zh-CN"/>
    </w:rPr>
  </w:style>
  <w:style w:type="paragraph" w:customStyle="1" w:styleId="TOC1">
    <w:name w:val="TOC 标题1"/>
    <w:basedOn w:val="1"/>
    <w:next w:val="afff5"/>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UnresolvedMention">
    <w:name w:val="Unresolved Mention"/>
    <w:basedOn w:val="afff6"/>
    <w:uiPriority w:val="99"/>
    <w:semiHidden/>
    <w:unhideWhenUsed/>
    <w:qFormat/>
    <w:rPr>
      <w:color w:val="605E5C"/>
      <w:shd w:val="clear" w:color="auto" w:fill="E1DFDD"/>
    </w:r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9EB49D896FC415CB324E0B35C308DF9"/>
        <w:category>
          <w:name w:val="常规"/>
          <w:gallery w:val="placeholder"/>
        </w:category>
        <w:types>
          <w:type w:val="bbPlcHdr"/>
        </w:types>
        <w:behaviors>
          <w:behavior w:val="content"/>
        </w:behaviors>
        <w:guid w:val="{63835E77-B3AA-4C3E-B502-8BE559BEFDDA}"/>
      </w:docPartPr>
      <w:docPartBody>
        <w:p w:rsidR="00F21CC1" w:rsidRDefault="0074477B">
          <w:pPr>
            <w:pStyle w:val="89EB49D896FC415CB324E0B35C308DF9"/>
          </w:pPr>
          <w:r>
            <w:rPr>
              <w:rStyle w:val="a3"/>
              <w:rFonts w:hint="eastAsia"/>
            </w:rPr>
            <w:t>单击或点击此处输入文字。</w:t>
          </w:r>
        </w:p>
      </w:docPartBody>
    </w:docPart>
    <w:docPart>
      <w:docPartPr>
        <w:name w:val="FC5C280559DC4CEFA1E76A1A717BEA07"/>
        <w:category>
          <w:name w:val="常规"/>
          <w:gallery w:val="placeholder"/>
        </w:category>
        <w:types>
          <w:type w:val="bbPlcHdr"/>
        </w:types>
        <w:behaviors>
          <w:behavior w:val="content"/>
        </w:behaviors>
        <w:guid w:val="{CE50AC14-D9FE-4A22-9E8B-A5F33369448F}"/>
      </w:docPartPr>
      <w:docPartBody>
        <w:p w:rsidR="00F21CC1" w:rsidRDefault="0074477B">
          <w:pPr>
            <w:pStyle w:val="FC5C280559DC4CEFA1E76A1A717BEA07"/>
          </w:pPr>
          <w:r>
            <w:rPr>
              <w:rStyle w:val="a3"/>
              <w:rFonts w:hint="eastAsia"/>
            </w:rPr>
            <w:t>选择一项。</w:t>
          </w:r>
        </w:p>
      </w:docPartBody>
    </w:docPart>
    <w:docPart>
      <w:docPartPr>
        <w:name w:val="{7cb0e3cb-86bd-4387-b327-5fb182801c8d}"/>
        <w:category>
          <w:name w:val="常规"/>
          <w:gallery w:val="placeholder"/>
        </w:category>
        <w:types>
          <w:type w:val="bbPlcHdr"/>
        </w:types>
        <w:behaviors>
          <w:behavior w:val="content"/>
        </w:behaviors>
        <w:guid w:val="{7CB0E3CB-86BD-4387-B327-5FB182801C8D}"/>
      </w:docPartPr>
      <w:docPartBody>
        <w:p w:rsidR="00F21CC1" w:rsidRDefault="0074477B">
          <w:pPr>
            <w:pStyle w:val="D81FA47C295B4B5BA63E75F83825823E"/>
          </w:pPr>
          <w:r>
            <w:rPr>
              <w:rStyle w:val="1"/>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2312">
    <w:charset w:val="86"/>
    <w:family w:val="auto"/>
    <w:pitch w:val="default"/>
    <w:sig w:usb0="A00002BF" w:usb1="184F6CFA" w:usb2="00000012" w:usb3="00000000" w:csb0="00040001" w:csb1="00000000"/>
  </w:font>
  <w:font w:name="___WRD_EMBED_SUB_41">
    <w:altName w:val="Arial Unicode MS"/>
    <w:panose1 w:val="02000000000000000000"/>
    <w:charset w:val="86"/>
    <w:family w:val="auto"/>
    <w:pitch w:val="default"/>
    <w:sig w:usb0="00000000" w:usb1="184F6CFA" w:usb2="00000012" w:usb3="00000000" w:csb0="00040001" w:csb1="00000000"/>
  </w:font>
  <w:font w:name="DejaVu Math TeX Gyre">
    <w:panose1 w:val="02000503000000000000"/>
    <w:charset w:val="00"/>
    <w:family w:val="auto"/>
    <w:pitch w:val="variable"/>
    <w:sig w:usb0="A10000EF" w:usb1="4201F9EE" w:usb2="02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B9D"/>
    <w:rsid w:val="0008375A"/>
    <w:rsid w:val="0010505E"/>
    <w:rsid w:val="00162B9D"/>
    <w:rsid w:val="0021519B"/>
    <w:rsid w:val="003964EE"/>
    <w:rsid w:val="00627143"/>
    <w:rsid w:val="0074477B"/>
    <w:rsid w:val="00815957"/>
    <w:rsid w:val="00882517"/>
    <w:rsid w:val="00990BA9"/>
    <w:rsid w:val="00DF7023"/>
    <w:rsid w:val="00F21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9EB49D896FC415CB324E0B35C308DF9">
    <w:name w:val="89EB49D896FC415CB324E0B35C308DF9"/>
    <w:qFormat/>
    <w:pPr>
      <w:widowControl w:val="0"/>
      <w:jc w:val="both"/>
    </w:pPr>
    <w:rPr>
      <w:kern w:val="2"/>
      <w:sz w:val="21"/>
      <w:szCs w:val="22"/>
    </w:rPr>
  </w:style>
  <w:style w:type="paragraph" w:customStyle="1" w:styleId="FC5C280559DC4CEFA1E76A1A717BEA07">
    <w:name w:val="FC5C280559DC4CEFA1E76A1A717BEA07"/>
    <w:qFormat/>
    <w:pPr>
      <w:widowControl w:val="0"/>
      <w:jc w:val="both"/>
    </w:pPr>
    <w:rPr>
      <w:kern w:val="2"/>
      <w:sz w:val="21"/>
      <w:szCs w:val="22"/>
    </w:rPr>
  </w:style>
  <w:style w:type="paragraph" w:customStyle="1" w:styleId="D81FA47C295B4B5BA63E75F83825823E">
    <w:name w:val="D81FA47C295B4B5BA63E75F83825823E"/>
    <w:qFormat/>
    <w:pPr>
      <w:widowControl w:val="0"/>
      <w:jc w:val="both"/>
    </w:pPr>
    <w:rPr>
      <w:kern w:val="2"/>
      <w:sz w:val="21"/>
      <w:szCs w:val="22"/>
    </w:rPr>
  </w:style>
  <w:style w:type="character" w:customStyle="1" w:styleId="1">
    <w:name w:val="占位符文本1"/>
    <w:basedOn w:val="a0"/>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1DD98F-5827-48CF-88EE-D27C4DE31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1515</Words>
  <Characters>8636</Characters>
  <Application>Microsoft Office Word</Application>
  <DocSecurity>0</DocSecurity>
  <Lines>71</Lines>
  <Paragraphs>20</Paragraphs>
  <ScaleCrop>false</ScaleCrop>
  <Company>PCMI</Company>
  <LinksUpToDate>false</LinksUpToDate>
  <CharactersWithSpaces>10131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王莉</dc:creator>
  <dc:description>&lt;config cover="true" show_menu="true" version="1.0.0" doctype="SDKXY"&gt;_x000d_
&lt;/config&gt;</dc:description>
  <cp:lastModifiedBy>Lenovo</cp:lastModifiedBy>
  <cp:revision>13</cp:revision>
  <cp:lastPrinted>2020-09-01T02:00:00Z</cp:lastPrinted>
  <dcterms:created xsi:type="dcterms:W3CDTF">2023-03-11T22:50:00Z</dcterms:created>
  <dcterms:modified xsi:type="dcterms:W3CDTF">2025-07-02T05:39:00Z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6D3CD7DD988FAAD075435168509B8DF7_43</vt:lpwstr>
  </property>
  <property fmtid="{D5CDD505-2E9C-101B-9397-08002B2CF9AE}" pid="16" name="KSOTemplateDocerSaveRecord">
    <vt:lpwstr>eyJoZGlkIjoiMjE1MGZmOTRhZjllMGExZDlkZTMzYmYzNTljMTkwODUiLCJ1c2VySWQiOiI0MzYwMTU0NjQifQ==</vt:lpwstr>
  </property>
</Properties>
</file>