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rPr>
          <w:rFonts w:hint="eastAsia"/>
        </w:rPr>
        <w:sectPr>
          <w:headerReference r:id="rId7" w:type="first"/>
          <w:footerReference r:id="rId10" w:type="first"/>
          <w:headerReference r:id="rId5" w:type="default"/>
          <w:footerReference r:id="rId8" w:type="default"/>
          <w:headerReference r:id="rId6" w:type="even"/>
          <w:footerReference r:id="rId9" w:type="even"/>
          <w:pgSz w:w="11907" w:h="16839"/>
          <w:pgMar w:top="567" w:right="1134" w:bottom="1134" w:left="1418" w:header="0" w:footer="0" w:gutter="0"/>
          <w:pgNumType w:start="1"/>
          <w:cols w:space="0" w:num="1"/>
          <w:titlePg/>
          <w:docGrid w:type="lines" w:linePitch="312" w:charSpace="0"/>
        </w:sectPr>
      </w:pPr>
      <w:bookmarkStart w:id="0" w:name="SectionMark0"/>
      <w:r>
        <mc:AlternateContent>
          <mc:Choice Requires="wps">
            <w:drawing>
              <wp:anchor distT="0" distB="0" distL="114300" distR="114300" simplePos="0" relativeHeight="251667456" behindDoc="0" locked="0" layoutInCell="1" allowOverlap="1">
                <wp:simplePos x="0" y="0"/>
                <wp:positionH relativeFrom="column">
                  <wp:posOffset>-133350</wp:posOffset>
                </wp:positionH>
                <wp:positionV relativeFrom="paragraph">
                  <wp:posOffset>2338705</wp:posOffset>
                </wp:positionV>
                <wp:extent cx="6121400" cy="0"/>
                <wp:effectExtent l="14605" t="12700" r="7620" b="6350"/>
                <wp:wrapNone/>
                <wp:docPr id="1063029260" name="Line 10"/>
                <wp:cNvGraphicFramePr/>
                <a:graphic xmlns:a="http://schemas.openxmlformats.org/drawingml/2006/main">
                  <a:graphicData uri="http://schemas.microsoft.com/office/word/2010/wordprocessingShape">
                    <wps:wsp>
                      <wps:cNvCnPr>
                        <a:cxnSpLocks noChangeShapeType="true"/>
                      </wps:cNvCnPr>
                      <wps:spPr bwMode="auto">
                        <a:xfrm>
                          <a:off x="0" y="0"/>
                          <a:ext cx="6121400" cy="0"/>
                        </a:xfrm>
                        <a:prstGeom prst="line">
                          <a:avLst/>
                        </a:prstGeom>
                        <a:noFill/>
                        <a:ln w="12700" cmpd="sng">
                          <a:solidFill>
                            <a:srgbClr val="800008"/>
                          </a:solidFill>
                          <a:round/>
                        </a:ln>
                      </wps:spPr>
                      <wps:bodyPr/>
                    </wps:wsp>
                  </a:graphicData>
                </a:graphic>
              </wp:anchor>
            </w:drawing>
          </mc:Choice>
          <mc:Fallback>
            <w:pict>
              <v:line id="Line 10" o:spid="_x0000_s1026" o:spt="20" style="position:absolute;left:0pt;margin-left:-10.5pt;margin-top:184.15pt;height:0pt;width:482pt;z-index:251667456;mso-width-relative:page;mso-height-relative:page;" filled="f" stroked="t" coordsize="21600,21600" o:gfxdata="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O5C0LLXAAAACwEAAA8AAAAAAAAAAQAg&#10;AAAAOAAAAGRycy9kb3ducmV2LnhtbFBLAQIUABQAAAAIAIdO4kDTe/4XwAEAAGoDAAAOAAAAAAAA&#10;AAEAIAAAADwBAABkcnMvZTJvRG9jLnhtbFBLBQYAAAAABgAGAFkBAABu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-180975</wp:posOffset>
                </wp:positionH>
                <wp:positionV relativeFrom="paragraph">
                  <wp:posOffset>9013825</wp:posOffset>
                </wp:positionV>
                <wp:extent cx="6121400" cy="0"/>
                <wp:effectExtent l="14605" t="10795" r="7620" b="8255"/>
                <wp:wrapNone/>
                <wp:docPr id="2088625133" name="Line 11"/>
                <wp:cNvGraphicFramePr/>
                <a:graphic xmlns:a="http://schemas.openxmlformats.org/drawingml/2006/main">
                  <a:graphicData uri="http://schemas.microsoft.com/office/word/2010/wordprocessingShape">
                    <wps:wsp>
                      <wps:cNvCnPr>
                        <a:cxnSpLocks noChangeShapeType="true"/>
                      </wps:cNvCnPr>
                      <wps:spPr bwMode="auto">
                        <a:xfrm>
                          <a:off x="0" y="0"/>
                          <a:ext cx="6121400" cy="0"/>
                        </a:xfrm>
                        <a:prstGeom prst="line">
                          <a:avLst/>
                        </a:prstGeom>
                        <a:noFill/>
                        <a:ln w="12700" cmpd="sng">
                          <a:solidFill>
                            <a:srgbClr val="800008"/>
                          </a:solidFill>
                          <a:round/>
                        </a:ln>
                      </wps:spPr>
                      <wps:bodyPr/>
                    </wps:wsp>
                  </a:graphicData>
                </a:graphic>
              </wp:anchor>
            </w:drawing>
          </mc:Choice>
          <mc:Fallback>
            <w:pict>
              <v:line id="Line 11" o:spid="_x0000_s1026" o:spt="20" style="position:absolute;left:0pt;margin-left:-14.25pt;margin-top:709.75pt;height:0pt;width:482pt;z-index:251668480;mso-width-relative:page;mso-height-relative:page;" filled="f" stroked="t" coordsize="21600,21600" o:gfxdata="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B0ER9p1wAAAA0BAAAPAAAAAAAAAAEA&#10;IAAAADgAAABkcnMvZG93bnJldi54bWxQSwECFAAUAAAACACHTuJA4m3yvsEBAABqAwAADgAAAAAA&#10;AAABACAAAAA8AQAAZHJzL2Uyb0RvYy54bWxQSwUGAAAAAAYABgBZAQAAbwU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page">
                  <wp:posOffset>860425</wp:posOffset>
                </wp:positionH>
                <wp:positionV relativeFrom="margin">
                  <wp:posOffset>9246870</wp:posOffset>
                </wp:positionV>
                <wp:extent cx="6120130" cy="448310"/>
                <wp:effectExtent l="0" t="0" r="13970" b="8890"/>
                <wp:wrapNone/>
                <wp:docPr id="348298069" name="fmFrame7"/>
                <wp:cNvGraphicFramePr/>
                <a:graphic xmlns:a="http://schemas.openxmlformats.org/drawingml/2006/main">
                  <a:graphicData uri="http://schemas.microsoft.com/office/word/2010/wordprocessingShape">
                    <wps:wsp>
                      <wps:cNvSpPr txBox="true">
                        <a:spLocks noChangeArrowheads="true"/>
                      </wps:cNvSpPr>
                      <wps:spPr bwMode="auto">
                        <a:xfrm>
                          <a:off x="0" y="0"/>
                          <a:ext cx="6120130" cy="448310"/>
                        </a:xfrm>
                        <a:prstGeom prst="rect">
                          <a:avLst/>
                        </a:prstGeom>
                        <a:solidFill>
                          <a:srgbClr val="FFFFFF"/>
                        </a:solidFill>
                        <a:ln>
                          <a:noFill/>
                        </a:ln>
                      </wps:spPr>
                      <wps:txbx>
                        <w:txbxContent>
                          <w:p>
                            <w:pPr>
                              <w:pStyle w:val="16"/>
                              <w:rPr>
                                <w:rFonts w:hint="eastAsia"/>
                              </w:rPr>
                            </w:pPr>
                            <w:r>
                              <w:rPr>
                                <w:rFonts w:hint="eastAsia"/>
                              </w:rPr>
                              <w:t>安徽省市场监督管理局</w:t>
                            </w:r>
                            <w:r>
                              <w:rPr>
                                <w:rStyle w:val="11"/>
                                <w:rFonts w:hint="eastAsia"/>
                              </w:rPr>
                              <w:t xml:space="preserve"> 发布</w:t>
                            </w:r>
                          </w:p>
                        </w:txbxContent>
                      </wps:txbx>
                      <wps:bodyPr rot="0" vert="horz" wrap="square" lIns="0" tIns="0" rIns="0" bIns="0" anchor="t" anchorCtr="false" upright="true">
                        <a:noAutofit/>
                      </wps:bodyPr>
                    </wps:wsp>
                  </a:graphicData>
                </a:graphic>
              </wp:anchor>
            </w:drawing>
          </mc:Choice>
          <mc:Fallback>
            <w:pict>
              <v:shape id="fmFrame7" o:spid="_x0000_s1026" o:spt="202" type="#_x0000_t202" style="position:absolute;left:0pt;margin-left:67.75pt;margin-top:728.1pt;height:35.3pt;width:481.9pt;mso-position-horizontal-relative:page;mso-position-vertical-relative:margin;z-index:251666432;mso-width-relative:page;mso-height-relative:page;" fillcolor="#FFFFFF" filled="t" stroked="f" coordsize="21600,21600" o:gfxdata="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efZc1dsAAAAO&#10;AQAADwAAAAAAAAABACAAAAA4AAAAZHJzL2Rvd25yZXYueG1sUEsBAhQAFAAAAAgAh07iQE83aW4D&#10;AgAA8gMAAA4AAAAAAAAAAQAgAAAAQAEAAGRycy9lMm9Eb2MueG1sUEsFBgAAAAAGAAYAWQEAALUF&#10;AAAAAA==&#10;">
                <v:fill on="t" focussize="0,0"/>
                <v:stroke on="f"/>
                <v:imagedata o:title=""/>
                <o:lock v:ext="edit" aspectratio="f"/>
                <v:textbox inset="0mm,0mm,0mm,0mm">
                  <w:txbxContent>
                    <w:p>
                      <w:pPr>
                        <w:pStyle w:val="16"/>
                        <w:rPr>
                          <w:rFonts w:hint="eastAsia"/>
                        </w:rPr>
                      </w:pPr>
                      <w:r>
                        <w:rPr>
                          <w:rFonts w:hint="eastAsia"/>
                        </w:rPr>
                        <w:t>安徽省市场监督管理局</w:t>
                      </w:r>
                      <w:r>
                        <w:rPr>
                          <w:rStyle w:val="11"/>
                          <w:rFonts w:hint="eastAsia"/>
                        </w:rPr>
                        <w:t xml:space="preserve"> 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3776980</wp:posOffset>
                </wp:positionH>
                <wp:positionV relativeFrom="margin">
                  <wp:posOffset>8658860</wp:posOffset>
                </wp:positionV>
                <wp:extent cx="2019300" cy="312420"/>
                <wp:effectExtent l="635" t="0" r="0" b="3175"/>
                <wp:wrapNone/>
                <wp:docPr id="270837705" name="fmFrame6"/>
                <wp:cNvGraphicFramePr/>
                <a:graphic xmlns:a="http://schemas.openxmlformats.org/drawingml/2006/main">
                  <a:graphicData uri="http://schemas.microsoft.com/office/word/2010/wordprocessingShape">
                    <wps:wsp>
                      <wps:cNvSpPr txBox="true">
                        <a:spLocks noChangeArrowheads="true"/>
                      </wps:cNvSpPr>
                      <wps:spPr bwMode="auto">
                        <a:xfrm>
                          <a:off x="0" y="0"/>
                          <a:ext cx="2019300" cy="312420"/>
                        </a:xfrm>
                        <a:prstGeom prst="rect">
                          <a:avLst/>
                        </a:prstGeom>
                        <a:solidFill>
                          <a:srgbClr val="FFFFFF"/>
                        </a:solidFill>
                        <a:ln>
                          <a:noFill/>
                        </a:ln>
                      </wps:spPr>
                      <wps:txbx>
                        <w:txbxContent>
                          <w:p>
                            <w:pPr>
                              <w:pStyle w:val="14"/>
                              <w:rPr>
                                <w:rFonts w:hint="eastAsia"/>
                              </w:rPr>
                            </w:pPr>
                            <w:r>
                              <w:rPr>
                                <w:rFonts w:hint="eastAsia"/>
                              </w:rPr>
                              <w:t>20××-××-××实施</w:t>
                            </w:r>
                          </w:p>
                        </w:txbxContent>
                      </wps:txbx>
                      <wps:bodyPr rot="0" vert="horz" wrap="square" lIns="0" tIns="0" rIns="0" bIns="0" anchor="t" anchorCtr="false" upright="true">
                        <a:noAutofit/>
                      </wps:bodyPr>
                    </wps:wsp>
                  </a:graphicData>
                </a:graphic>
              </wp:anchor>
            </w:drawing>
          </mc:Choice>
          <mc:Fallback>
            <w:pict>
              <v:shape id="fmFrame6" o:spid="_x0000_s1026" o:spt="202" type="#_x0000_t202" style="position:absolute;left:0pt;margin-left:297.4pt;margin-top:681.8pt;height:24.6pt;width:159pt;mso-position-horizontal-relative:margin;mso-position-vertical-relative:margin;z-index:251665408;mso-width-relative:page;mso-height-relative:page;" fillcolor="#FFFFFF" filled="t" stroked="f" coordsize="21600,21600" o:gfxdata="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WAAAAZHJzL1BLAQIUABQAAAAIAIdO4kD0mcbu2gAAAA0B&#10;AAAPAAAAAAAAAAEAIAAAADgAAABkcnMvZG93bnJldi54bWxQSwECFAAUAAAACACHTuJA1A5icwMC&#10;AADyAwAADgAAAAAAAAABACAAAAA/AQAAZHJzL2Uyb0RvYy54bWxQSwUGAAAAAAYABgBZAQAAtAUA&#10;AAAA&#10;">
                <v:fill on="t" focussize="0,0"/>
                <v:stroke on="f"/>
                <v:imagedata o:title=""/>
                <o:lock v:ext="edit" aspectratio="f"/>
                <v:textbox inset="0mm,0mm,0mm,0mm">
                  <w:txbxContent>
                    <w:p>
                      <w:pPr>
                        <w:pStyle w:val="14"/>
                        <w:rPr>
                          <w:rFonts w:hint="eastAsia"/>
                        </w:rPr>
                      </w:pPr>
                      <w:r>
                        <w:rPr>
                          <w:rFonts w:hint="eastAsia"/>
                        </w:rPr>
                        <w:t>20××-××-××实施</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19050</wp:posOffset>
                </wp:positionH>
                <wp:positionV relativeFrom="margin">
                  <wp:posOffset>8658860</wp:posOffset>
                </wp:positionV>
                <wp:extent cx="2019300" cy="312420"/>
                <wp:effectExtent l="0" t="0" r="4445" b="3175"/>
                <wp:wrapNone/>
                <wp:docPr id="1573587013" name="fmFrame5"/>
                <wp:cNvGraphicFramePr/>
                <a:graphic xmlns:a="http://schemas.openxmlformats.org/drawingml/2006/main">
                  <a:graphicData uri="http://schemas.microsoft.com/office/word/2010/wordprocessingShape">
                    <wps:wsp>
                      <wps:cNvSpPr txBox="true">
                        <a:spLocks noChangeArrowheads="true"/>
                      </wps:cNvSpPr>
                      <wps:spPr bwMode="auto">
                        <a:xfrm>
                          <a:off x="0" y="0"/>
                          <a:ext cx="2019300" cy="312420"/>
                        </a:xfrm>
                        <a:prstGeom prst="rect">
                          <a:avLst/>
                        </a:prstGeom>
                        <a:solidFill>
                          <a:srgbClr val="FFFFFF"/>
                        </a:solidFill>
                        <a:ln>
                          <a:noFill/>
                        </a:ln>
                      </wps:spPr>
                      <wps:txbx>
                        <w:txbxContent>
                          <w:p>
                            <w:pPr>
                              <w:pStyle w:val="15"/>
                              <w:rPr>
                                <w:rFonts w:hint="eastAsia"/>
                              </w:rPr>
                            </w:pPr>
                            <w:r>
                              <w:rPr>
                                <w:rFonts w:hint="eastAsia"/>
                              </w:rPr>
                              <w:t>20××-××-××发布</w:t>
                            </w:r>
                          </w:p>
                        </w:txbxContent>
                      </wps:txbx>
                      <wps:bodyPr rot="0" vert="horz" wrap="square" lIns="0" tIns="0" rIns="0" bIns="0" anchor="t" anchorCtr="false" upright="true">
                        <a:noAutofit/>
                      </wps:bodyPr>
                    </wps:wsp>
                  </a:graphicData>
                </a:graphic>
              </wp:anchor>
            </w:drawing>
          </mc:Choice>
          <mc:Fallback>
            <w:pict>
              <v:shape id="fmFrame5" o:spid="_x0000_s1026" o:spt="202" type="#_x0000_t202" style="position:absolute;left:0pt;margin-left:1.5pt;margin-top:681.8pt;height:24.6pt;width:159pt;mso-position-horizontal-relative:margin;mso-position-vertical-relative:margin;z-index:251664384;mso-width-relative:page;mso-height-relative:page;" fillcolor="#FFFFFF" filled="t" stroked="f" coordsize="21600,21600" o:gfxdata="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BYAAABkcnMvUEsBAhQAFAAAAAgAh07iQKlnMN/ZAAAACwEA&#10;AA8AAAAAAAAAAQAgAAAAOAAAAGRycy9kb3ducmV2LnhtbFBLAQIUABQAAAAIAIdO4kDeGoctAwIA&#10;APMDAAAOAAAAAAAAAAEAIAAAAD4BAABkcnMvZTJvRG9jLnhtbFBLBQYAAAAABgAGAFkBAACzBQAA&#10;AAA=&#10;">
                <v:fill on="t" focussize="0,0"/>
                <v:stroke on="f"/>
                <v:imagedata o:title=""/>
                <o:lock v:ext="edit" aspectratio="f"/>
                <v:textbox inset="0mm,0mm,0mm,0mm">
                  <w:txbxContent>
                    <w:p>
                      <w:pPr>
                        <w:pStyle w:val="15"/>
                        <w:rPr>
                          <w:rFonts w:hint="eastAsia"/>
                        </w:rPr>
                      </w:pPr>
                      <w:r>
                        <w:rPr>
                          <w:rFonts w:hint="eastAsia"/>
                        </w:rPr>
                        <w:t>20××-××-××发布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-113030</wp:posOffset>
                </wp:positionH>
                <wp:positionV relativeFrom="margin">
                  <wp:posOffset>3762375</wp:posOffset>
                </wp:positionV>
                <wp:extent cx="5969000" cy="4681220"/>
                <wp:effectExtent l="0" t="4445" r="0" b="635"/>
                <wp:wrapNone/>
                <wp:docPr id="17696162" name="fmFrame4"/>
                <wp:cNvGraphicFramePr/>
                <a:graphic xmlns:a="http://schemas.openxmlformats.org/drawingml/2006/main">
                  <a:graphicData uri="http://schemas.microsoft.com/office/word/2010/wordprocessingShape">
                    <wps:wsp>
                      <wps:cNvSpPr txBox="true">
                        <a:spLocks noChangeArrowheads="true"/>
                      </wps:cNvSpPr>
                      <wps:spPr bwMode="auto">
                        <a:xfrm>
                          <a:off x="0" y="0"/>
                          <a:ext cx="5969000" cy="4681220"/>
                        </a:xfrm>
                        <a:prstGeom prst="rect">
                          <a:avLst/>
                        </a:prstGeom>
                        <a:solidFill>
                          <a:srgbClr val="FFFFFF"/>
                        </a:solidFill>
                        <a:ln>
                          <a:noFill/>
                        </a:ln>
                      </wps:spPr>
                      <wps:txbx>
                        <w:txbxContent>
                          <w:p>
                            <w:pPr>
                              <w:pStyle w:val="18"/>
                              <w:adjustRightInd w:val="0"/>
                              <w:snapToGrid w:val="0"/>
                              <w:spacing w:line="360" w:lineRule="auto"/>
                              <w:rPr>
                                <w:rFonts w:hint="eastAsia"/>
                              </w:rPr>
                            </w:pPr>
                            <w:r>
                              <w:rPr>
                                <w:rFonts w:hint="eastAsia"/>
                              </w:rPr>
                              <w:t>蓝莓水肥一体化栽培技术规程</w:t>
                            </w:r>
                          </w:p>
                          <w:p>
                            <w:pPr>
                              <w:pStyle w:val="18"/>
                              <w:spacing w:line="240" w:lineRule="auto"/>
                              <w:rPr>
                                <w:rFonts w:hint="eastAsia" w:ascii="Times New Roman"/>
                                <w:sz w:val="30"/>
                                <w:szCs w:val="30"/>
                                <w:lang w:val="en"/>
                              </w:rPr>
                            </w:pPr>
                            <w:r>
                              <w:rPr>
                                <w:rFonts w:hint="eastAsia" w:ascii="Times New Roman"/>
                                <w:sz w:val="30"/>
                                <w:szCs w:val="30"/>
                              </w:rPr>
                              <w:t xml:space="preserve"> Technique code of practice for integrated cultivation of </w:t>
                            </w:r>
                            <w:r>
                              <w:rPr>
                                <w:rFonts w:ascii="Times New Roman"/>
                                <w:sz w:val="30"/>
                                <w:szCs w:val="30"/>
                              </w:rPr>
                              <w:t>blueberry</w:t>
                            </w:r>
                            <w:r>
                              <w:rPr>
                                <w:rFonts w:hint="eastAsia" w:ascii="Times New Roman"/>
                                <w:sz w:val="30"/>
                                <w:szCs w:val="30"/>
                              </w:rPr>
                              <w:t xml:space="preserve"> with water and fertilizer </w:t>
                            </w:r>
                          </w:p>
                          <w:p>
                            <w:pPr>
                              <w:pStyle w:val="13"/>
                              <w:rPr>
                                <w:rFonts w:hint="eastAsia"/>
                              </w:rPr>
                            </w:pPr>
                          </w:p>
                          <w:p>
                            <w:pPr>
                              <w:pStyle w:val="28"/>
                              <w:rPr>
                                <w:rFonts w:hint="eastAsia"/>
                              </w:rPr>
                            </w:pPr>
                            <w:r>
                              <w:rPr>
                                <w:rFonts w:hint="eastAsia"/>
                              </w:rPr>
                              <w:t>（征求意见稿）</w:t>
                            </w:r>
                          </w:p>
                          <w:p>
                            <w:pPr>
                              <w:pStyle w:val="28"/>
                              <w:rPr>
                                <w:rFonts w:hint="eastAsia"/>
                              </w:rPr>
                            </w:pPr>
                          </w:p>
                          <w:p>
                            <w:pPr>
                              <w:pStyle w:val="17"/>
                              <w:rPr>
                                <w:rFonts w:hint="eastAsia"/>
                              </w:rPr>
                            </w:pPr>
                          </w:p>
                        </w:txbxContent>
                      </wps:txbx>
                      <wps:bodyPr rot="0" vert="horz" wrap="square" lIns="0" tIns="0" rIns="0" bIns="0" anchor="t" anchorCtr="false" upright="true">
                        <a:noAutofit/>
                      </wps:bodyPr>
                    </wps:wsp>
                  </a:graphicData>
                </a:graphic>
              </wp:anchor>
            </w:drawing>
          </mc:Choice>
          <mc:Fallback>
            <w:pict>
              <v:shape id="fmFrame4" o:spid="_x0000_s1026" o:spt="202" type="#_x0000_t202" style="position:absolute;left:0pt;margin-left:-8.9pt;margin-top:296.25pt;height:368.6pt;width:470pt;mso-position-horizontal-relative:margin;mso-position-vertical-relative:margin;z-index:251663360;mso-width-relative:page;mso-height-relative:page;" fillcolor="#FFFFFF" filled="t" stroked="f" coordsize="21600,21600" o:gfxdata="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UNlNudsAAAAM&#10;AQAADwAAAAAAAAABACAAAAA4AAAAZHJzL2Rvd25yZXYueG1sUEsBAhQAFAAAAAgAh07iQNyKSgED&#10;AgAA8gMAAA4AAAAAAAAAAQAgAAAAQAEAAGRycy9lMm9Eb2MueG1sUEsFBgAAAAAGAAYAWQEAALUF&#10;AAAAAA==&#10;">
                <v:fill on="t" focussize="0,0"/>
                <v:stroke on="f"/>
                <v:imagedata o:title=""/>
                <o:lock v:ext="edit" aspectratio="f"/>
                <v:textbox inset="0mm,0mm,0mm,0mm">
                  <w:txbxContent>
                    <w:p>
                      <w:pPr>
                        <w:pStyle w:val="18"/>
                        <w:adjustRightInd w:val="0"/>
                        <w:snapToGrid w:val="0"/>
                        <w:spacing w:line="360" w:lineRule="auto"/>
                        <w:rPr>
                          <w:rFonts w:hint="eastAsia"/>
                        </w:rPr>
                      </w:pPr>
                      <w:r>
                        <w:rPr>
                          <w:rFonts w:hint="eastAsia"/>
                        </w:rPr>
                        <w:t>蓝莓水肥一体化栽培技术规程</w:t>
                      </w:r>
                    </w:p>
                    <w:p>
                      <w:pPr>
                        <w:pStyle w:val="18"/>
                        <w:spacing w:line="240" w:lineRule="auto"/>
                        <w:rPr>
                          <w:rFonts w:hint="eastAsia" w:ascii="Times New Roman"/>
                          <w:sz w:val="30"/>
                          <w:szCs w:val="30"/>
                          <w:lang w:val="en"/>
                        </w:rPr>
                      </w:pPr>
                      <w:r>
                        <w:rPr>
                          <w:rFonts w:hint="eastAsia" w:ascii="Times New Roman"/>
                          <w:sz w:val="30"/>
                          <w:szCs w:val="30"/>
                        </w:rPr>
                        <w:t xml:space="preserve"> Technique code of practice for integrated cultivation of </w:t>
                      </w:r>
                      <w:r>
                        <w:rPr>
                          <w:rFonts w:ascii="Times New Roman"/>
                          <w:sz w:val="30"/>
                          <w:szCs w:val="30"/>
                        </w:rPr>
                        <w:t>blueberry</w:t>
                      </w:r>
                      <w:r>
                        <w:rPr>
                          <w:rFonts w:hint="eastAsia" w:ascii="Times New Roman"/>
                          <w:sz w:val="30"/>
                          <w:szCs w:val="30"/>
                        </w:rPr>
                        <w:t xml:space="preserve"> with water and fertilizer </w:t>
                      </w:r>
                    </w:p>
                    <w:p>
                      <w:pPr>
                        <w:pStyle w:val="13"/>
                        <w:rPr>
                          <w:rFonts w:hint="eastAsia"/>
                        </w:rPr>
                      </w:pPr>
                    </w:p>
                    <w:p>
                      <w:pPr>
                        <w:pStyle w:val="28"/>
                        <w:rPr>
                          <w:rFonts w:hint="eastAsia"/>
                        </w:rPr>
                      </w:pPr>
                      <w:r>
                        <w:rPr>
                          <w:rFonts w:hint="eastAsia"/>
                        </w:rPr>
                        <w:t>（征求意见稿）</w:t>
                      </w:r>
                    </w:p>
                    <w:p>
                      <w:pPr>
                        <w:pStyle w:val="28"/>
                        <w:rPr>
                          <w:rFonts w:hint="eastAsia"/>
                        </w:rPr>
                      </w:pPr>
                    </w:p>
                    <w:p>
                      <w:pPr>
                        <w:pStyle w:val="17"/>
                        <w:rPr>
                          <w:rFonts w:hint="eastAsia"/>
                        </w:rPr>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-123825</wp:posOffset>
                </wp:positionH>
                <wp:positionV relativeFrom="margin">
                  <wp:posOffset>1510665</wp:posOffset>
                </wp:positionV>
                <wp:extent cx="6121400" cy="958850"/>
                <wp:effectExtent l="0" t="3810" r="0" b="0"/>
                <wp:wrapNone/>
                <wp:docPr id="916125173" name="fmFrame3"/>
                <wp:cNvGraphicFramePr/>
                <a:graphic xmlns:a="http://schemas.openxmlformats.org/drawingml/2006/main">
                  <a:graphicData uri="http://schemas.microsoft.com/office/word/2010/wordprocessingShape">
                    <wps:wsp>
                      <wps:cNvSpPr txBox="true">
                        <a:spLocks noChangeArrowheads="true"/>
                      </wps:cNvSpPr>
                      <wps:spPr bwMode="auto">
                        <a:xfrm>
                          <a:off x="0" y="0"/>
                          <a:ext cx="6121400" cy="958850"/>
                        </a:xfrm>
                        <a:prstGeom prst="rect">
                          <a:avLst/>
                        </a:prstGeom>
                        <a:solidFill>
                          <a:srgbClr val="FFFFFF"/>
                        </a:solidFill>
                        <a:ln>
                          <a:noFill/>
                        </a:ln>
                      </wps:spPr>
                      <wps:txbx>
                        <w:txbxContent>
                          <w:p>
                            <w:pPr>
                              <w:pStyle w:val="21"/>
                              <w:wordWrap w:val="0"/>
                              <w:spacing w:before="0" w:line="600" w:lineRule="exact"/>
                              <w:rPr>
                                <w:rFonts w:hint="eastAsia"/>
                                <w:sz w:val="32"/>
                                <w:szCs w:val="32"/>
                              </w:rPr>
                            </w:pPr>
                          </w:p>
                          <w:p>
                            <w:pPr>
                              <w:pStyle w:val="21"/>
                              <w:wordWrap w:val="0"/>
                              <w:spacing w:before="0" w:line="600" w:lineRule="exact"/>
                              <w:rPr>
                                <w:rFonts w:hint="eastAsia"/>
                                <w:sz w:val="32"/>
                                <w:szCs w:val="32"/>
                              </w:rPr>
                            </w:pPr>
                            <w:r>
                              <w:rPr>
                                <w:sz w:val="32"/>
                                <w:szCs w:val="32"/>
                              </w:rPr>
                              <w:t>DB</w:t>
                            </w:r>
                            <w:r>
                              <w:rPr>
                                <w:rFonts w:hint="eastAsia"/>
                                <w:sz w:val="32"/>
                                <w:szCs w:val="32"/>
                              </w:rPr>
                              <w:t xml:space="preserve"> </w:t>
                            </w:r>
                            <w:r>
                              <w:rPr>
                                <w:sz w:val="32"/>
                                <w:szCs w:val="32"/>
                              </w:rPr>
                              <w:t>34/T ××××—20</w:t>
                            </w:r>
                            <w:r>
                              <w:rPr>
                                <w:rFonts w:hint="eastAsia"/>
                                <w:sz w:val="32"/>
                                <w:szCs w:val="32"/>
                              </w:rPr>
                              <w:t>24</w:t>
                            </w:r>
                          </w:p>
                          <w:p>
                            <w:pPr>
                              <w:pStyle w:val="21"/>
                              <w:rPr>
                                <w:rFonts w:hint="eastAsia"/>
                              </w:rPr>
                            </w:pPr>
                          </w:p>
                          <w:p>
                            <w:pPr>
                              <w:pStyle w:val="21"/>
                              <w:rPr>
                                <w:rFonts w:hint="eastAsia"/>
                              </w:rPr>
                            </w:pPr>
                          </w:p>
                          <w:p>
                            <w:pPr>
                              <w:pStyle w:val="21"/>
                              <w:rPr>
                                <w:rFonts w:hint="eastAsia"/>
                              </w:rPr>
                            </w:pPr>
                          </w:p>
                          <w:p>
                            <w:pPr>
                              <w:pStyle w:val="21"/>
                              <w:rPr>
                                <w:rFonts w:hint="eastAsia"/>
                              </w:rPr>
                            </w:pPr>
                          </w:p>
                          <w:p>
                            <w:pPr>
                              <w:pStyle w:val="21"/>
                              <w:wordWrap w:val="0"/>
                              <w:rPr>
                                <w:rFonts w:hint="eastAsia"/>
                              </w:rPr>
                            </w:pPr>
                            <w:r>
                              <w:rPr>
                                <w:rFonts w:hint="eastAsia"/>
                              </w:rPr>
                              <w:t xml:space="preserve">HDSFASDF EWREWRdaitui Daitui </w:t>
                            </w:r>
                          </w:p>
                        </w:txbxContent>
                      </wps:txbx>
                      <wps:bodyPr rot="0" vert="horz" wrap="square" lIns="0" tIns="0" rIns="0" bIns="0" anchor="t" anchorCtr="false" upright="true">
                        <a:noAutofit/>
                      </wps:bodyPr>
                    </wps:wsp>
                  </a:graphicData>
                </a:graphic>
              </wp:anchor>
            </w:drawing>
          </mc:Choice>
          <mc:Fallback>
            <w:pict>
              <v:shape id="fmFrame3" o:spid="_x0000_s1026" o:spt="202" type="#_x0000_t202" style="position:absolute;left:0pt;margin-left:-9.75pt;margin-top:118.95pt;height:75.5pt;width:482pt;mso-position-horizontal-relative:margin;mso-position-vertical-relative:margin;z-index:251662336;mso-width-relative:page;mso-height-relative:page;" fillcolor="#FFFFFF" filled="t" stroked="f" coordsize="21600,21600" o:gfxdata="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wyxRQdsAAAAL&#10;AQAADwAAAAAAAAABACAAAAA4AAAAZHJzL2Rvd25yZXYueG1sUEsBAhQAFAAAAAgAh07iQKBYHA4D&#10;AgAA8gMAAA4AAAAAAAAAAQAgAAAAQAEAAGRycy9lMm9Eb2MueG1sUEsFBgAAAAAGAAYAWQEAALUF&#10;AAAAAA==&#10;">
                <v:fill on="t" focussize="0,0"/>
                <v:stroke on="f"/>
                <v:imagedata o:title=""/>
                <o:lock v:ext="edit" aspectratio="f"/>
                <v:textbox inset="0mm,0mm,0mm,0mm">
                  <w:txbxContent>
                    <w:p>
                      <w:pPr>
                        <w:pStyle w:val="21"/>
                        <w:wordWrap w:val="0"/>
                        <w:spacing w:before="0" w:line="600" w:lineRule="exact"/>
                        <w:rPr>
                          <w:rFonts w:hint="eastAsia"/>
                          <w:sz w:val="32"/>
                          <w:szCs w:val="32"/>
                        </w:rPr>
                      </w:pPr>
                    </w:p>
                    <w:p>
                      <w:pPr>
                        <w:pStyle w:val="21"/>
                        <w:wordWrap w:val="0"/>
                        <w:spacing w:before="0" w:line="600" w:lineRule="exact"/>
                        <w:rPr>
                          <w:rFonts w:hint="eastAsia"/>
                          <w:sz w:val="32"/>
                          <w:szCs w:val="32"/>
                        </w:rPr>
                      </w:pPr>
                      <w:r>
                        <w:rPr>
                          <w:sz w:val="32"/>
                          <w:szCs w:val="32"/>
                        </w:rPr>
                        <w:t>DB</w:t>
                      </w:r>
                      <w:r>
                        <w:rPr>
                          <w:rFonts w:hint="eastAsia"/>
                          <w:sz w:val="32"/>
                          <w:szCs w:val="32"/>
                        </w:rPr>
                        <w:t xml:space="preserve"> </w:t>
                      </w:r>
                      <w:r>
                        <w:rPr>
                          <w:sz w:val="32"/>
                          <w:szCs w:val="32"/>
                        </w:rPr>
                        <w:t>34/T ××××—20</w:t>
                      </w:r>
                      <w:r>
                        <w:rPr>
                          <w:rFonts w:hint="eastAsia"/>
                          <w:sz w:val="32"/>
                          <w:szCs w:val="32"/>
                        </w:rPr>
                        <w:t>24</w:t>
                      </w:r>
                    </w:p>
                    <w:p>
                      <w:pPr>
                        <w:pStyle w:val="21"/>
                        <w:rPr>
                          <w:rFonts w:hint="eastAsia"/>
                        </w:rPr>
                      </w:pPr>
                    </w:p>
                    <w:p>
                      <w:pPr>
                        <w:pStyle w:val="21"/>
                        <w:rPr>
                          <w:rFonts w:hint="eastAsia"/>
                        </w:rPr>
                      </w:pPr>
                    </w:p>
                    <w:p>
                      <w:pPr>
                        <w:pStyle w:val="21"/>
                        <w:rPr>
                          <w:rFonts w:hint="eastAsia"/>
                        </w:rPr>
                      </w:pPr>
                    </w:p>
                    <w:p>
                      <w:pPr>
                        <w:pStyle w:val="21"/>
                        <w:rPr>
                          <w:rFonts w:hint="eastAsia"/>
                        </w:rPr>
                      </w:pPr>
                    </w:p>
                    <w:p>
                      <w:pPr>
                        <w:pStyle w:val="21"/>
                        <w:wordWrap w:val="0"/>
                        <w:rPr>
                          <w:rFonts w:hint="eastAsia"/>
                        </w:rPr>
                      </w:pPr>
                      <w:r>
                        <w:rPr>
                          <w:rFonts w:hint="eastAsia"/>
                        </w:rPr>
                        <w:t xml:space="preserve">HDSFASDF EWREWRdaitui Daitui </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1905" t="635" r="4445" b="3175"/>
                <wp:wrapNone/>
                <wp:docPr id="412074076" name="fmFrame8"/>
                <wp:cNvGraphicFramePr/>
                <a:graphic xmlns:a="http://schemas.openxmlformats.org/drawingml/2006/main">
                  <a:graphicData uri="http://schemas.microsoft.com/office/word/2010/wordprocessingShape">
                    <wps:wsp>
                      <wps:cNvSpPr txBox="true">
                        <a:spLocks noChangeArrowheads="true"/>
                      </wps:cNvSpPr>
                      <wps:spPr bwMode="auto">
                        <a:xfrm>
                          <a:off x="0" y="0"/>
                          <a:ext cx="3175000" cy="720090"/>
                        </a:xfrm>
                        <a:prstGeom prst="rect">
                          <a:avLst/>
                        </a:prstGeom>
                        <a:solidFill>
                          <a:srgbClr val="FFFFFF"/>
                        </a:solidFill>
                        <a:ln>
                          <a:noFill/>
                        </a:ln>
                      </wps:spPr>
                      <wps:txbx>
                        <w:txbxContent>
                          <w:p>
                            <w:pPr>
                              <w:pStyle w:val="12"/>
                              <w:rPr>
                                <w:rFonts w:hint="eastAsia"/>
                              </w:rPr>
                            </w:pPr>
                            <w:r>
                              <w:t>DB34</w:t>
                            </w:r>
                          </w:p>
                        </w:txbxContent>
                      </wps:txbx>
                      <wps:bodyPr rot="0" vert="horz" wrap="square" lIns="0" tIns="0" rIns="0" bIns="0" anchor="t" anchorCtr="false" upright="true">
                        <a:noAutofit/>
                      </wps:bodyPr>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SVk7PNgAAAAKAQAA&#10;DwAAAAAAAAABACAAAAA4AAAAZHJzL2Rvd25yZXYueG1sUEsBAhQAFAAAAAgAh07iQHi4pb8DAgAA&#10;8gMAAA4AAAAAAAAAAQAgAAAAPQEAAGRycy9lMm9Eb2MueG1sUEsFBgAAAAAGAAYAWQEAALIFAAAA&#10;AA==&#10;">
                <v:fill on="t" focussize="0,0"/>
                <v:stroke on="f"/>
                <v:imagedata o:title=""/>
                <o:lock v:ext="edit" aspectratio="f"/>
                <v:textbox inset="0mm,0mm,0mm,0mm">
                  <w:txbxContent>
                    <w:p>
                      <w:pPr>
                        <w:pStyle w:val="12"/>
                        <w:rPr>
                          <w:rFonts w:hint="eastAsia"/>
                        </w:rPr>
                      </w:pPr>
                      <w:r>
                        <w:t>DB34</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-95250</wp:posOffset>
                </wp:positionH>
                <wp:positionV relativeFrom="margin">
                  <wp:posOffset>1039495</wp:posOffset>
                </wp:positionV>
                <wp:extent cx="6120130" cy="391160"/>
                <wp:effectExtent l="0" t="0" r="0" b="0"/>
                <wp:wrapNone/>
                <wp:docPr id="1476148198" name="fmFrame2"/>
                <wp:cNvGraphicFramePr/>
                <a:graphic xmlns:a="http://schemas.openxmlformats.org/drawingml/2006/main">
                  <a:graphicData uri="http://schemas.microsoft.com/office/word/2010/wordprocessingShape">
                    <wps:wsp>
                      <wps:cNvSpPr txBox="true">
                        <a:spLocks noChangeArrowheads="true"/>
                      </wps:cNvSpPr>
                      <wps:spPr bwMode="auto">
                        <a:xfrm>
                          <a:off x="0" y="0"/>
                          <a:ext cx="6120130" cy="391160"/>
                        </a:xfrm>
                        <a:prstGeom prst="rect">
                          <a:avLst/>
                        </a:prstGeom>
                        <a:solidFill>
                          <a:srgbClr val="FFFFFF"/>
                        </a:solidFill>
                        <a:ln>
                          <a:noFill/>
                        </a:ln>
                      </wps:spPr>
                      <wps:txbx>
                        <w:txbxContent>
                          <w:p>
                            <w:pPr>
                              <w:pStyle w:val="25"/>
                              <w:rPr>
                                <w:rFonts w:hint="eastAsia"/>
                              </w:rPr>
                            </w:pPr>
                            <w:r>
                              <w:rPr>
                                <w:rFonts w:hint="eastAsia"/>
                              </w:rPr>
                              <w:t>安徽省地方标准</w:t>
                            </w:r>
                          </w:p>
                        </w:txbxContent>
                      </wps:txbx>
                      <wps:bodyPr rot="0" vert="horz" wrap="square" lIns="0" tIns="0" rIns="0" bIns="0" anchor="t" anchorCtr="false" upright="true">
                        <a:noAutofit/>
                      </wps:bodyPr>
                    </wps:wsp>
                  </a:graphicData>
                </a:graphic>
              </wp:anchor>
            </w:drawing>
          </mc:Choice>
          <mc:Fallback>
            <w:pict>
              <v:shape id="fmFrame2" o:spid="_x0000_s1026" o:spt="202" type="#_x0000_t202" style="position:absolute;left:0pt;margin-left:-7.5pt;margin-top:81.85pt;height:30.8pt;width:481.9pt;mso-position-horizontal-relative:margin;mso-position-vertical-relative:margin;z-index:251660288;mso-width-relative:page;mso-height-relative:page;" fillcolor="#FFFFFF" filled="t" stroked="f" coordsize="21600,21600" o:gfxdata="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WAAAAZHJzL1BLAQIUABQAAAAIAIdO4kDzKeHB2gAAAAsB&#10;AAAPAAAAAAAAAAEAIAAAADgAAABkcnMvZG93bnJldi54bWxQSwECFAAUAAAACACHTuJAEWc4QAMC&#10;AADzAwAADgAAAAAAAAABACAAAAA/AQAAZHJzL2Uyb0RvYy54bWxQSwUGAAAAAAYABgBZAQAAtAUA&#10;AAAA&#10;">
                <v:fill on="t" focussize="0,0"/>
                <v:stroke on="f"/>
                <v:imagedata o:title=""/>
                <o:lock v:ext="edit" aspectratio="f"/>
                <v:textbox inset="0mm,0mm,0mm,0mm">
                  <w:txbxContent>
                    <w:p>
                      <w:pPr>
                        <w:pStyle w:val="25"/>
                        <w:rPr>
                          <w:rFonts w:hint="eastAsia"/>
                        </w:rPr>
                      </w:pPr>
                      <w:r>
                        <w:rPr>
                          <w:rFonts w:hint="eastAsia"/>
                        </w:rPr>
                        <w:t>安徽省地方标准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1270"/>
                <wp:wrapNone/>
                <wp:docPr id="1842691815" name="fmFrame1"/>
                <wp:cNvGraphicFramePr/>
                <a:graphic xmlns:a="http://schemas.openxmlformats.org/drawingml/2006/main">
                  <a:graphicData uri="http://schemas.microsoft.com/office/word/2010/wordprocessingShape">
                    <wps:wsp>
                      <wps:cNvSpPr txBox="true">
                        <a:spLocks noChangeArrowheads="true"/>
                      </wps:cNvSpPr>
                      <wps:spPr bwMode="auto">
                        <a:xfrm>
                          <a:off x="0" y="0"/>
                          <a:ext cx="2540000" cy="657860"/>
                        </a:xfrm>
                        <a:prstGeom prst="rect">
                          <a:avLst/>
                        </a:prstGeom>
                        <a:solidFill>
                          <a:srgbClr val="FFFFFF"/>
                        </a:solidFill>
                        <a:ln>
                          <a:noFill/>
                        </a:ln>
                      </wps:spPr>
                      <wps:txbx>
                        <w:txbxContent>
                          <w:p>
                            <w:pPr>
                              <w:pStyle w:val="24"/>
                              <w:rPr>
                                <w:rFonts w:hint="eastAsia"/>
                              </w:rPr>
                            </w:pPr>
                            <w:r>
                              <w:rPr>
                                <w:rFonts w:hint="eastAsia"/>
                              </w:rPr>
                              <w:t>ICS 65.020.20</w:t>
                            </w:r>
                          </w:p>
                          <w:p>
                            <w:pPr>
                              <w:pStyle w:val="24"/>
                              <w:rPr>
                                <w:rFonts w:hint="eastAsia"/>
                              </w:rPr>
                            </w:pPr>
                            <w:r>
                              <w:rPr>
                                <w:rFonts w:hint="eastAsia"/>
                              </w:rPr>
                              <w:t>B 61</w:t>
                            </w:r>
                          </w:p>
                        </w:txbxContent>
                      </wps:txbx>
                      <wps:bodyPr rot="0" vert="horz" wrap="square" lIns="0" tIns="0" rIns="0" bIns="0" anchor="t" anchorCtr="false" upright="true">
                        <a:noAutofit/>
                      </wps:bodyPr>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BYAAABkcnMvUEsBAhQAFAAAAAgAh07iQMXsy+DTAAAABQEAAA8AAAAA&#10;AAAAAQAgAAAAOAAAAGRycy9kb3ducmV2LnhtbFBLAQIUABQAAAAIAIdO4kBesrrhAwIAAPMDAAAO&#10;AAAAAAAAAAEAIAAAADgBAABkcnMvZTJvRG9jLnhtbFBLBQYAAAAABgAGAFkBAACtBQAAAAA=&#10;">
                <v:fill on="t" focussize="0,0"/>
                <v:stroke on="f"/>
                <v:imagedata o:title=""/>
                <o:lock v:ext="edit" aspectratio="f"/>
                <v:textbox inset="0mm,0mm,0mm,0mm">
                  <w:txbxContent>
                    <w:p>
                      <w:pPr>
                        <w:pStyle w:val="24"/>
                        <w:rPr>
                          <w:rFonts w:hint="eastAsia"/>
                        </w:rPr>
                      </w:pPr>
                      <w:r>
                        <w:rPr>
                          <w:rFonts w:hint="eastAsia"/>
                        </w:rPr>
                        <w:t>ICS 65.020.20</w:t>
                      </w:r>
                    </w:p>
                    <w:p>
                      <w:pPr>
                        <w:pStyle w:val="24"/>
                        <w:rPr>
                          <w:rFonts w:hint="eastAsia"/>
                        </w:rPr>
                      </w:pPr>
                      <w:r>
                        <w:rPr>
                          <w:rFonts w:hint="eastAsia"/>
                        </w:rPr>
                        <w:t>B 61</w:t>
                      </w:r>
                    </w:p>
                  </w:txbxContent>
                </v:textbox>
                <w10:anchorlock/>
              </v:shape>
            </w:pict>
          </mc:Fallback>
        </mc:AlternateContent>
      </w:r>
    </w:p>
    <w:bookmarkEnd w:id="0"/>
    <w:p>
      <w:pPr>
        <w:spacing w:line="20" w:lineRule="exact"/>
        <w:rPr>
          <w:rFonts w:hint="eastAsia" w:ascii="黑体" w:hAnsi="黑体" w:eastAsia="黑体"/>
          <w:sz w:val="32"/>
          <w:szCs w:val="32"/>
        </w:rPr>
      </w:pPr>
      <w:bookmarkStart w:id="1" w:name="BookMark4"/>
    </w:p>
    <w:p>
      <w:pPr>
        <w:shd w:val="clear" w:color="FFFFFF" w:fill="FFFFFF"/>
        <w:spacing w:before="640" w:after="560" w:line="460" w:lineRule="exact"/>
        <w:jc w:val="center"/>
        <w:outlineLvl w:val="0"/>
        <w:rPr>
          <w:rFonts w:ascii="黑体" w:hAnsi="Times New Roman" w:eastAsia="黑体" w:cs="Times New Roman"/>
          <w:sz w:val="32"/>
        </w:rPr>
      </w:pPr>
      <w:r>
        <w:rPr>
          <w:rFonts w:hint="eastAsia" w:ascii="黑体" w:hAnsi="Times New Roman" w:eastAsia="黑体" w:cs="Times New Roman"/>
          <w:sz w:val="32"/>
        </w:rPr>
        <w:t>前  言</w:t>
      </w:r>
    </w:p>
    <w:p>
      <w:pPr>
        <w:spacing w:after="0" w:line="360" w:lineRule="exact"/>
        <w:ind w:firstLine="420" w:firstLineChars="200"/>
        <w:rPr>
          <w:rFonts w:hint="eastAsia" w:ascii="Calibri" w:hAnsi="宋体" w:eastAsia="宋体" w:cs="Times New Roman"/>
          <w:color w:val="000000"/>
          <w:szCs w:val="21"/>
        </w:rPr>
      </w:pPr>
      <w:r>
        <w:rPr>
          <w:rFonts w:hint="eastAsia" w:ascii="Calibri" w:hAnsi="宋体" w:eastAsia="宋体" w:cs="Times New Roman"/>
          <w:color w:val="000000"/>
          <w:szCs w:val="21"/>
        </w:rPr>
        <w:t>本文件按照GB/T 1.1—2020《标准化工作导则 第1部分：标准化文件的结构和起草规则》的规定起草。</w:t>
      </w:r>
    </w:p>
    <w:p>
      <w:pPr>
        <w:spacing w:after="0" w:line="360" w:lineRule="exact"/>
        <w:ind w:firstLine="420" w:firstLineChars="200"/>
        <w:rPr>
          <w:rFonts w:hint="eastAsia" w:ascii="Calibri" w:hAnsi="宋体" w:eastAsia="宋体" w:cs="Times New Roman"/>
          <w:color w:val="000000"/>
          <w:szCs w:val="21"/>
        </w:rPr>
      </w:pPr>
      <w:r>
        <w:rPr>
          <w:rFonts w:hint="eastAsia" w:ascii="Calibri" w:hAnsi="宋体" w:eastAsia="宋体" w:cs="Times New Roman"/>
          <w:color w:val="000000"/>
          <w:szCs w:val="21"/>
        </w:rPr>
        <w:t>请注意本文件的某些内容可能涉及专利。本文件的发布机构不承担识别专利的责任。</w:t>
      </w:r>
    </w:p>
    <w:p>
      <w:pPr>
        <w:spacing w:after="0" w:line="360" w:lineRule="exact"/>
        <w:ind w:firstLine="407" w:firstLineChars="194"/>
        <w:rPr>
          <w:rFonts w:hint="eastAsia" w:ascii="Calibri" w:hAnsi="宋体" w:eastAsia="宋体" w:cs="Times New Roman"/>
          <w:color w:val="000000"/>
          <w:szCs w:val="21"/>
        </w:rPr>
      </w:pPr>
      <w:r>
        <w:rPr>
          <w:rFonts w:hint="eastAsia" w:ascii="Calibri" w:hAnsi="宋体" w:eastAsia="宋体" w:cs="Times New Roman"/>
          <w:color w:val="000000"/>
          <w:szCs w:val="21"/>
        </w:rPr>
        <w:t>本文件由</w:t>
      </w:r>
      <w:r>
        <w:rPr>
          <w:rFonts w:hint="eastAsia" w:ascii="宋体" w:hAnsi="宋体" w:eastAsia="宋体" w:cs="Times New Roman"/>
          <w:color w:val="000000"/>
          <w:szCs w:val="21"/>
        </w:rPr>
        <w:t>滁州市农业农村技术推广中心负责</w:t>
      </w:r>
      <w:r>
        <w:rPr>
          <w:rFonts w:hint="eastAsia" w:ascii="Calibri" w:hAnsi="宋体" w:eastAsia="宋体" w:cs="Times New Roman"/>
          <w:color w:val="000000"/>
          <w:szCs w:val="21"/>
        </w:rPr>
        <w:t>提出。</w:t>
      </w:r>
    </w:p>
    <w:p>
      <w:pPr>
        <w:spacing w:after="0" w:line="360" w:lineRule="exact"/>
        <w:ind w:firstLine="407" w:firstLineChars="194"/>
        <w:rPr>
          <w:rFonts w:hint="eastAsia" w:ascii="Calibri" w:hAnsi="宋体" w:eastAsia="宋体" w:cs="Times New Roman"/>
          <w:color w:val="000000"/>
          <w:szCs w:val="21"/>
        </w:rPr>
      </w:pPr>
      <w:r>
        <w:rPr>
          <w:rFonts w:hint="eastAsia" w:ascii="Calibri" w:hAnsi="宋体" w:eastAsia="宋体" w:cs="Times New Roman"/>
          <w:color w:val="000000"/>
          <w:szCs w:val="21"/>
        </w:rPr>
        <w:t>本文件由安徽省农业标准化技术委员会归口。</w:t>
      </w:r>
    </w:p>
    <w:p>
      <w:pPr>
        <w:spacing w:after="0" w:line="360" w:lineRule="exact"/>
        <w:ind w:firstLine="407" w:firstLineChars="194"/>
        <w:rPr>
          <w:rFonts w:hint="eastAsia" w:ascii="Calibri" w:hAnsi="宋体" w:eastAsia="宋体" w:cs="Times New Roman"/>
          <w:color w:val="000000"/>
          <w:szCs w:val="21"/>
        </w:rPr>
      </w:pPr>
      <w:r>
        <w:rPr>
          <w:rFonts w:hint="eastAsia" w:ascii="Calibri" w:hAnsi="宋体" w:eastAsia="宋体" w:cs="Times New Roman"/>
          <w:color w:val="000000"/>
          <w:szCs w:val="21"/>
        </w:rPr>
        <w:t>本文件负责起草单位：</w:t>
      </w:r>
      <w:r>
        <w:rPr>
          <w:rFonts w:hint="eastAsia" w:ascii="宋体" w:hAnsi="宋体" w:eastAsia="宋体" w:cs="Times New Roman"/>
          <w:color w:val="000000"/>
          <w:szCs w:val="21"/>
        </w:rPr>
        <w:t>滁州市农业农村技术推广中心</w:t>
      </w:r>
      <w:r>
        <w:rPr>
          <w:rFonts w:hint="eastAsia" w:ascii="Calibri" w:hAnsi="宋体" w:eastAsia="宋体" w:cs="Times New Roman"/>
          <w:color w:val="000000"/>
          <w:szCs w:val="21"/>
        </w:rPr>
        <w:t>、安徽省农业科学院园艺研究所、滁州市南谯区沃林蓝莓种植专业合作社、安徽省农业技术推广总站。</w:t>
      </w:r>
    </w:p>
    <w:p>
      <w:pPr>
        <w:autoSpaceDE w:val="0"/>
        <w:autoSpaceDN w:val="0"/>
        <w:spacing w:after="0" w:line="240" w:lineRule="auto"/>
        <w:ind w:firstLine="420" w:firstLineChars="200"/>
        <w:rPr>
          <w:rFonts w:ascii="Times New Roman" w:hAnsi="Times New Roman" w:eastAsia="宋体" w:cs="Times New Roman"/>
          <w:szCs w:val="21"/>
        </w:rPr>
      </w:pPr>
      <w:r>
        <w:rPr>
          <w:rFonts w:hint="eastAsia" w:ascii="宋体" w:hAnsi="宋体" w:eastAsia="宋体" w:cs="Times New Roman"/>
          <w:color w:val="000000"/>
          <w:szCs w:val="21"/>
        </w:rPr>
        <w:t>本</w:t>
      </w:r>
      <w:r>
        <w:rPr>
          <w:rFonts w:hint="eastAsia" w:ascii="Calibri" w:hAnsi="宋体" w:eastAsia="宋体" w:cs="Times New Roman"/>
          <w:color w:val="000000"/>
          <w:szCs w:val="21"/>
        </w:rPr>
        <w:t>文件</w:t>
      </w:r>
      <w:r>
        <w:rPr>
          <w:rFonts w:hint="eastAsia" w:ascii="宋体" w:hAnsi="宋体" w:eastAsia="宋体" w:cs="Times New Roman"/>
          <w:color w:val="000000"/>
          <w:szCs w:val="21"/>
        </w:rPr>
        <w:t>起草人：江平、秦改花、陈伟、郑冬梅、任勤、黎积誉、李斐、曹榛、童恩莲、汤雷鸣、史平三、卢德清、赵树仿、何炎、杨春、金叶、</w:t>
      </w:r>
      <w:r>
        <w:rPr>
          <w:rFonts w:hint="eastAsia" w:ascii="宋体" w:hAnsi="宋体" w:eastAsia="宋体" w:cs="Times New Roman"/>
          <w:color w:val="000000"/>
          <w:szCs w:val="21"/>
        </w:rPr>
        <w:t>张雯</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rPr>
        <w:t>张贤辉</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rPr>
        <w:t>梁冬梅。</w:t>
      </w:r>
    </w:p>
    <w:p>
      <w:pPr>
        <w:spacing w:after="0" w:line="240" w:lineRule="auto"/>
        <w:rPr>
          <w:rFonts w:ascii="Calibri" w:hAnsi="Calibri" w:eastAsia="宋体" w:cs="Times New Roman"/>
          <w:szCs w:val="22"/>
        </w:rPr>
      </w:pPr>
    </w:p>
    <w:p>
      <w:pPr>
        <w:spacing w:after="0" w:line="240" w:lineRule="auto"/>
        <w:rPr>
          <w:rFonts w:ascii="Calibri" w:hAnsi="Calibri" w:eastAsia="宋体" w:cs="Times New Roman"/>
          <w:szCs w:val="2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hint="eastAsia" w:ascii="黑体" w:hAnsi="黑体" w:eastAsia="黑体"/>
          <w:sz w:val="32"/>
          <w:szCs w:val="32"/>
        </w:rPr>
      </w:pPr>
    </w:p>
    <w:p>
      <w:pPr>
        <w:spacing w:line="20" w:lineRule="exact"/>
        <w:jc w:val="center"/>
        <w:rPr>
          <w:rFonts w:hint="eastAsia" w:ascii="黑体" w:hAnsi="黑体" w:eastAsia="黑体"/>
          <w:sz w:val="32"/>
          <w:szCs w:val="32"/>
        </w:rPr>
      </w:pPr>
    </w:p>
    <w:sdt>
      <w:sdtPr>
        <w:tag w:val="NEW_STAND_NAME"/>
        <w:id w:val="595910757"/>
        <w:placeholder>
          <w:docPart w:val="E5E0690331794D8F9560007F436D9C13"/>
        </w:placeholder>
      </w:sdtPr>
      <w:sdtContent>
        <w:p>
          <w:pPr>
            <w:pStyle w:val="37"/>
            <w:spacing w:before="3" w:beforeLines="1" w:after="686" w:afterLines="220"/>
            <w:rPr>
              <w:rFonts w:hint="eastAsia"/>
            </w:rPr>
          </w:pPr>
          <w:bookmarkStart w:id="2" w:name="NEW_STAND_NAME"/>
          <w:r>
            <w:rPr>
              <w:rFonts w:hint="eastAsia"/>
            </w:rPr>
            <w:t>蓝莓水肥一体化栽培技术规程</w:t>
          </w:r>
        </w:p>
      </w:sdtContent>
    </w:sdt>
    <w:bookmarkEnd w:id="2"/>
    <w:p>
      <w:pPr>
        <w:pStyle w:val="34"/>
        <w:spacing w:before="312" w:after="312"/>
      </w:pPr>
      <w:bookmarkStart w:id="3" w:name="_Toc24884211"/>
      <w:bookmarkStart w:id="4" w:name="_Toc26986530"/>
      <w:bookmarkStart w:id="5" w:name="_Toc97191423"/>
      <w:bookmarkStart w:id="6" w:name="_Toc26986771"/>
      <w:bookmarkStart w:id="7" w:name="_Toc17233333"/>
      <w:bookmarkStart w:id="8" w:name="_Toc26648465"/>
      <w:bookmarkStart w:id="9" w:name="_Toc24884218"/>
      <w:bookmarkStart w:id="10" w:name="_Toc26718930"/>
      <w:bookmarkStart w:id="11" w:name="_Toc17233325"/>
      <w:r>
        <w:rPr>
          <w:rFonts w:hint="eastAsia"/>
        </w:rPr>
        <w:t>范围</w:t>
      </w:r>
      <w:bookmarkEnd w:id="3"/>
      <w:bookmarkEnd w:id="4"/>
      <w:bookmarkEnd w:id="5"/>
      <w:bookmarkEnd w:id="6"/>
      <w:bookmarkEnd w:id="7"/>
      <w:bookmarkEnd w:id="8"/>
      <w:bookmarkEnd w:id="9"/>
      <w:bookmarkEnd w:id="10"/>
      <w:bookmarkEnd w:id="11"/>
    </w:p>
    <w:p>
      <w:pPr>
        <w:pStyle w:val="29"/>
        <w:ind w:firstLine="420"/>
      </w:pPr>
      <w:bookmarkStart w:id="12" w:name="_Toc17233334"/>
      <w:bookmarkStart w:id="13" w:name="_Toc24884212"/>
      <w:bookmarkStart w:id="14" w:name="_Toc26648466"/>
      <w:bookmarkStart w:id="15" w:name="_Toc24884219"/>
      <w:bookmarkStart w:id="16" w:name="_Toc17233326"/>
      <w:r>
        <w:rPr>
          <w:rFonts w:hint="eastAsia"/>
        </w:rPr>
        <w:t>本文件规定了蓝莓水肥一体化栽培的园地选择与规划、品种</w:t>
      </w:r>
      <w:r>
        <w:rPr>
          <w:rFonts w:hint="eastAsia"/>
          <w:lang w:val="en-US" w:eastAsia="zh-CN"/>
        </w:rPr>
        <w:t>与苗木</w:t>
      </w:r>
      <w:r>
        <w:rPr>
          <w:rFonts w:hint="eastAsia"/>
        </w:rPr>
        <w:t>选择、定植、基质配置、肥水一体化管理、整形修剪、花果管理、病虫害防控等方面的操作要求。</w:t>
      </w:r>
    </w:p>
    <w:p>
      <w:pPr>
        <w:pStyle w:val="29"/>
        <w:ind w:firstLine="420"/>
      </w:pPr>
      <w:r>
        <w:rPr>
          <w:rFonts w:hint="eastAsia"/>
        </w:rPr>
        <w:t>本文件适用于蓝莓水肥一体化全基质栽培。</w:t>
      </w:r>
    </w:p>
    <w:p>
      <w:pPr>
        <w:pStyle w:val="34"/>
        <w:spacing w:before="312" w:after="312"/>
      </w:pPr>
      <w:bookmarkStart w:id="17" w:name="_Toc26986531"/>
      <w:bookmarkStart w:id="18" w:name="_Toc26718931"/>
      <w:bookmarkStart w:id="19" w:name="_Toc26986772"/>
      <w:bookmarkStart w:id="20" w:name="_Toc97191424"/>
      <w:r>
        <w:rPr>
          <w:rFonts w:hint="eastAsia"/>
        </w:rPr>
        <w:t>规范性引用文件</w:t>
      </w:r>
      <w:bookmarkEnd w:id="12"/>
      <w:bookmarkEnd w:id="13"/>
      <w:bookmarkEnd w:id="14"/>
      <w:bookmarkEnd w:id="15"/>
      <w:bookmarkEnd w:id="16"/>
      <w:bookmarkEnd w:id="17"/>
      <w:bookmarkEnd w:id="18"/>
      <w:bookmarkEnd w:id="19"/>
      <w:bookmarkEnd w:id="20"/>
    </w:p>
    <w:sdt>
      <w:sdtPr>
        <w:rPr>
          <w:rFonts w:hint="eastAsia"/>
        </w:rPr>
        <w:id w:val="715848253"/>
        <w:placeholder>
          <w:docPart w:val="9B03BF3A5A5941CC9D41945E78761D0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2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9"/>
        <w:ind w:firstLine="420"/>
      </w:pPr>
      <w:r>
        <w:rPr>
          <w:rFonts w:hint="eastAsia"/>
        </w:rPr>
        <w:t>GB 5084  农田灌溉水质量标准</w:t>
      </w:r>
    </w:p>
    <w:p>
      <w:pPr>
        <w:pStyle w:val="29"/>
        <w:ind w:firstLine="420"/>
      </w:pPr>
      <w:r>
        <w:rPr>
          <w:rFonts w:hint="eastAsia"/>
        </w:rPr>
        <w:t>GB/T 27658  蓝莓</w:t>
      </w:r>
    </w:p>
    <w:p>
      <w:pPr>
        <w:pStyle w:val="29"/>
        <w:ind w:firstLine="420"/>
      </w:pPr>
      <w:r>
        <w:rPr>
          <w:rFonts w:hint="eastAsia"/>
        </w:rPr>
        <w:t>NY/T 496  肥料合理使用准则 通则</w:t>
      </w:r>
    </w:p>
    <w:p>
      <w:pPr>
        <w:pStyle w:val="29"/>
        <w:ind w:firstLine="420"/>
      </w:pPr>
      <w:r>
        <w:rPr>
          <w:rFonts w:hint="eastAsia"/>
        </w:rPr>
        <w:t>NY/T 1276  农药安全使用规范 总则</w:t>
      </w:r>
    </w:p>
    <w:p>
      <w:pPr>
        <w:pStyle w:val="29"/>
        <w:ind w:firstLine="420"/>
      </w:pPr>
      <w:r>
        <w:rPr>
          <w:rFonts w:hint="eastAsia"/>
        </w:rPr>
        <w:t>NY /T 3849  设施蓝莓生产技术规程</w:t>
      </w:r>
    </w:p>
    <w:p>
      <w:pPr>
        <w:pStyle w:val="29"/>
        <w:ind w:firstLine="420"/>
      </w:pPr>
      <w:r>
        <w:rPr>
          <w:rFonts w:hint="eastAsia"/>
        </w:rPr>
        <w:t>NY/T 5010  无公害农产品 种植业产地环境条件</w:t>
      </w:r>
    </w:p>
    <w:p>
      <w:pPr>
        <w:pStyle w:val="29"/>
        <w:ind w:firstLine="420"/>
      </w:pPr>
      <w:r>
        <w:rPr>
          <w:rFonts w:hint="eastAsia"/>
        </w:rPr>
        <w:t>DB34/T 1580 蓝莓生产技术规程</w:t>
      </w:r>
    </w:p>
    <w:p>
      <w:pPr>
        <w:pStyle w:val="34"/>
        <w:spacing w:before="312" w:after="312"/>
      </w:pPr>
      <w:bookmarkStart w:id="21" w:name="_Toc97191425"/>
      <w:r>
        <w:rPr>
          <w:rFonts w:hint="eastAsia"/>
          <w:szCs w:val="21"/>
        </w:rPr>
        <w:t>术语和定义</w:t>
      </w:r>
      <w:bookmarkEnd w:id="21"/>
    </w:p>
    <w:sdt>
      <w:sdtPr>
        <w:id w:val="-1909835108"/>
        <w:placeholder>
          <w:docPart w:val="979AC9332AC64E9CAB0D79127FBA67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29"/>
            <w:ind w:firstLine="420"/>
          </w:pPr>
          <w:bookmarkStart w:id="22" w:name="_Toc26986532"/>
          <w:bookmarkEnd w:id="22"/>
          <w:r>
            <w:rPr>
              <w:rFonts w:hint="eastAsia"/>
            </w:rPr>
            <w:t>水肥一体化：将肥料按作物需肥规律配兑成肥液，与灌溉水一起通过管道定时定量均匀提供给</w:t>
          </w:r>
          <w:r>
            <w:rPr>
              <w:rFonts w:hint="eastAsia"/>
              <w:lang w:val="en-US" w:eastAsia="zh-CN"/>
            </w:rPr>
            <w:t>植株</w:t>
          </w:r>
          <w:r>
            <w:rPr>
              <w:rFonts w:hint="eastAsia"/>
            </w:rPr>
            <w:t>。</w:t>
          </w:r>
        </w:p>
      </w:sdtContent>
    </w:sdt>
    <w:p>
      <w:pPr>
        <w:pStyle w:val="34"/>
        <w:spacing w:before="312" w:after="312"/>
      </w:pPr>
      <w:r>
        <w:rPr>
          <w:rFonts w:hint="eastAsia"/>
        </w:rPr>
        <w:t>园地选择与规划</w:t>
      </w:r>
    </w:p>
    <w:p>
      <w:pPr>
        <w:pStyle w:val="35"/>
        <w:tabs>
          <w:tab w:val="clear" w:pos="360"/>
        </w:tabs>
        <w:spacing w:before="156" w:after="156"/>
      </w:pPr>
      <w:r>
        <w:rPr>
          <w:rFonts w:hint="eastAsia"/>
        </w:rPr>
        <w:t>园地选择</w:t>
      </w:r>
    </w:p>
    <w:p>
      <w:pPr>
        <w:pStyle w:val="29"/>
        <w:ind w:firstLine="420"/>
      </w:pPr>
      <w:r>
        <w:rPr>
          <w:rFonts w:hint="eastAsia"/>
        </w:rPr>
        <w:t>选择地势相对平坦，排水良好，水源充足，水质、空气无污染的地方建园。园区及周围的大气、灌溉水应符合NY/T 5010 的要求。</w:t>
      </w:r>
    </w:p>
    <w:p>
      <w:pPr>
        <w:pStyle w:val="35"/>
        <w:tabs>
          <w:tab w:val="clear" w:pos="360"/>
        </w:tabs>
        <w:spacing w:before="156" w:after="156"/>
      </w:pPr>
      <w:r>
        <w:rPr>
          <w:rFonts w:hint="eastAsia"/>
        </w:rPr>
        <w:t>园地规划</w:t>
      </w:r>
    </w:p>
    <w:p>
      <w:pPr>
        <w:pStyle w:val="30"/>
        <w:spacing w:before="156" w:after="156"/>
      </w:pPr>
      <w:r>
        <w:rPr>
          <w:rFonts w:hint="eastAsia"/>
        </w:rPr>
        <w:t>总体布局</w:t>
      </w:r>
    </w:p>
    <w:p>
      <w:pPr>
        <w:pStyle w:val="29"/>
        <w:ind w:firstLine="420"/>
      </w:pPr>
      <w:r>
        <w:rPr>
          <w:rFonts w:hint="eastAsia"/>
        </w:rPr>
        <w:t>园区主要包含种植小区、道路系统、排水系统、水肥一体化系统</w:t>
      </w:r>
      <w:r>
        <w:rPr>
          <w:rFonts w:hint="eastAsia"/>
          <w:lang w:eastAsia="zh-CN"/>
        </w:rPr>
        <w:t>、</w:t>
      </w:r>
      <w:r>
        <w:rPr>
          <w:rFonts w:hint="eastAsia"/>
        </w:rPr>
        <w:t>工具房</w:t>
      </w:r>
      <w:r>
        <w:rPr>
          <w:rFonts w:hint="eastAsia"/>
          <w:lang w:val="en-US" w:eastAsia="zh-CN"/>
        </w:rPr>
        <w:t>及</w:t>
      </w:r>
      <w:r>
        <w:rPr>
          <w:rFonts w:hint="eastAsia"/>
        </w:rPr>
        <w:t>储藏库等附属设施。</w:t>
      </w:r>
    </w:p>
    <w:p>
      <w:pPr>
        <w:pStyle w:val="30"/>
        <w:spacing w:before="156" w:after="156"/>
      </w:pPr>
      <w:r>
        <w:rPr>
          <w:rFonts w:hint="eastAsia"/>
        </w:rPr>
        <w:t>小区划分</w:t>
      </w:r>
    </w:p>
    <w:p>
      <w:pPr>
        <w:pStyle w:val="29"/>
        <w:ind w:firstLine="420"/>
      </w:pPr>
      <w:r>
        <w:rPr>
          <w:rFonts w:hint="eastAsia"/>
        </w:rPr>
        <w:t>小区大小以3333.5㎡～6667㎡为宜，栽植行采用南北走向，行长35.0 m～45.0 m，行宽2～2.5m。</w:t>
      </w:r>
    </w:p>
    <w:p>
      <w:pPr>
        <w:pStyle w:val="35"/>
        <w:tabs>
          <w:tab w:val="clear" w:pos="360"/>
        </w:tabs>
        <w:spacing w:before="156" w:after="156"/>
      </w:pPr>
      <w:r>
        <w:rPr>
          <w:rFonts w:hint="eastAsia"/>
        </w:rPr>
        <w:t>园地建设</w:t>
      </w:r>
    </w:p>
    <w:p>
      <w:pPr>
        <w:pStyle w:val="30"/>
        <w:spacing w:before="156" w:after="156"/>
      </w:pPr>
      <w:r>
        <w:rPr>
          <w:rFonts w:hint="eastAsia"/>
        </w:rPr>
        <w:t>土地平整</w:t>
      </w:r>
    </w:p>
    <w:p>
      <w:pPr>
        <w:pStyle w:val="29"/>
        <w:ind w:firstLine="420"/>
      </w:pPr>
      <w:r>
        <w:rPr>
          <w:rFonts w:hint="eastAsia"/>
        </w:rPr>
        <w:t>园区整体种植区域尽量平整，去除田地的杂草和碎石。可以全园铺防草地布，也可以行内覆膜。</w:t>
      </w:r>
    </w:p>
    <w:p>
      <w:pPr>
        <w:pStyle w:val="30"/>
        <w:spacing w:before="156" w:after="156"/>
      </w:pPr>
      <w:r>
        <w:rPr>
          <w:rFonts w:hint="eastAsia"/>
        </w:rPr>
        <w:t>配套设施</w:t>
      </w:r>
    </w:p>
    <w:p>
      <w:pPr>
        <w:pStyle w:val="29"/>
        <w:ind w:firstLine="420"/>
      </w:pPr>
      <w:r>
        <w:rPr>
          <w:rFonts w:hint="eastAsia"/>
        </w:rPr>
        <w:t>水肥一体化全基质栽培</w:t>
      </w:r>
      <w:r>
        <w:rPr>
          <w:rFonts w:hint="eastAsia"/>
          <w:lang w:val="en-US" w:eastAsia="zh-CN"/>
        </w:rPr>
        <w:t>的园区需要</w:t>
      </w:r>
      <w:r>
        <w:rPr>
          <w:rFonts w:hint="eastAsia"/>
        </w:rPr>
        <w:t>架设</w:t>
      </w:r>
      <w:r>
        <w:rPr>
          <w:rFonts w:hint="eastAsia"/>
          <w:lang w:val="en-US" w:eastAsia="zh-CN"/>
        </w:rPr>
        <w:t>大棚或避雨棚，实现避雨栽培。同时架设防鸟网，防止</w:t>
      </w:r>
      <w:r>
        <w:rPr>
          <w:rFonts w:hint="eastAsia"/>
        </w:rPr>
        <w:t>果实成熟时</w:t>
      </w:r>
      <w:r>
        <w:rPr>
          <w:rFonts w:hint="eastAsia"/>
          <w:lang w:val="en-US" w:eastAsia="zh-CN"/>
        </w:rPr>
        <w:t>的鸟害</w:t>
      </w:r>
      <w:r>
        <w:rPr>
          <w:rFonts w:hint="eastAsia"/>
        </w:rPr>
        <w:t>。</w:t>
      </w:r>
    </w:p>
    <w:p>
      <w:pPr>
        <w:pStyle w:val="35"/>
        <w:tabs>
          <w:tab w:val="clear" w:pos="360"/>
        </w:tabs>
        <w:spacing w:before="156" w:after="156"/>
      </w:pPr>
      <w:r>
        <w:rPr>
          <w:rFonts w:hint="eastAsia"/>
        </w:rPr>
        <w:t>排灌系统</w:t>
      </w:r>
    </w:p>
    <w:p>
      <w:pPr>
        <w:pStyle w:val="30"/>
        <w:spacing w:before="156" w:after="156"/>
      </w:pPr>
      <w:r>
        <w:rPr>
          <w:rFonts w:hint="eastAsia"/>
        </w:rPr>
        <w:t>排水系统</w:t>
      </w:r>
    </w:p>
    <w:p>
      <w:pPr>
        <w:pStyle w:val="29"/>
        <w:ind w:firstLine="420"/>
      </w:pPr>
      <w:r>
        <w:rPr>
          <w:rFonts w:hint="eastAsia"/>
        </w:rPr>
        <w:t>根据</w:t>
      </w:r>
      <w:r>
        <w:rPr>
          <w:rFonts w:hint="eastAsia"/>
          <w:lang w:val="en-US" w:eastAsia="zh-CN"/>
        </w:rPr>
        <w:t>小区</w:t>
      </w:r>
      <w:r>
        <w:rPr>
          <w:rFonts w:hint="eastAsia"/>
        </w:rPr>
        <w:t>面积大小设置排水沟，连接园区外排水沟渠，方向与道路一致，沟面宽 0.6 m～0.8 m、 沟底宽 0.3 m～0.5 m、 深 0.3 m～0.5 m。</w:t>
      </w:r>
    </w:p>
    <w:p>
      <w:pPr>
        <w:pStyle w:val="30"/>
        <w:spacing w:before="156" w:after="156"/>
      </w:pPr>
      <w:r>
        <w:rPr>
          <w:rFonts w:hint="eastAsia"/>
        </w:rPr>
        <w:t>灌溉水</w:t>
      </w:r>
    </w:p>
    <w:p>
      <w:pPr>
        <w:spacing w:line="240" w:lineRule="auto"/>
        <w:ind w:firstLine="420" w:firstLineChars="200"/>
        <w:rPr>
          <w:rFonts w:ascii="宋体" w:hAnsi="Times New Roman" w:eastAsia="宋体" w:cs="Times New Roman"/>
          <w:kern w:val="0"/>
          <w:szCs w:val="20"/>
        </w:rPr>
      </w:pPr>
      <w:r>
        <w:rPr>
          <w:rFonts w:hint="eastAsia" w:ascii="宋体" w:hAnsi="Times New Roman" w:eastAsia="宋体" w:cs="Times New Roman"/>
          <w:kern w:val="0"/>
          <w:szCs w:val="20"/>
        </w:rPr>
        <w:t>灌溉用水应符合GB5084要求，还应满足总Na含量低于46mg·kg-1，总HCO</w:t>
      </w:r>
      <w:r>
        <w:rPr>
          <w:rFonts w:hint="eastAsia" w:ascii="宋体" w:hAnsi="Times New Roman" w:eastAsia="宋体" w:cs="Times New Roman"/>
          <w:kern w:val="0"/>
          <w:szCs w:val="20"/>
          <w:vertAlign w:val="subscript"/>
        </w:rPr>
        <w:t>3</w:t>
      </w:r>
      <w:r>
        <w:rPr>
          <w:rFonts w:hint="eastAsia" w:ascii="宋体" w:hAnsi="Times New Roman" w:eastAsia="宋体" w:cs="Times New Roman"/>
          <w:kern w:val="0"/>
          <w:szCs w:val="20"/>
        </w:rPr>
        <w:t>+含量低于91.5mg·kg</w:t>
      </w:r>
      <w:r>
        <w:rPr>
          <w:rFonts w:hint="eastAsia" w:ascii="宋体" w:hAnsi="Times New Roman" w:eastAsia="宋体" w:cs="Times New Roman"/>
          <w:kern w:val="0"/>
          <w:szCs w:val="20"/>
          <w:vertAlign w:val="superscript"/>
        </w:rPr>
        <w:t>-1</w:t>
      </w:r>
      <w:r>
        <w:rPr>
          <w:rFonts w:hint="eastAsia" w:ascii="宋体" w:hAnsi="Times New Roman" w:eastAsia="宋体" w:cs="Times New Roman"/>
          <w:kern w:val="0"/>
          <w:szCs w:val="20"/>
        </w:rPr>
        <w:t>，总Cl</w:t>
      </w:r>
      <w:r>
        <w:rPr>
          <w:rFonts w:hint="eastAsia" w:ascii="宋体" w:hAnsi="Times New Roman" w:eastAsia="宋体" w:cs="Times New Roman"/>
          <w:kern w:val="0"/>
          <w:szCs w:val="20"/>
          <w:vertAlign w:val="superscript"/>
          <w:lang w:val="en-US" w:eastAsia="zh-CN"/>
        </w:rPr>
        <w:t>-</w:t>
      </w:r>
      <w:r>
        <w:rPr>
          <w:rFonts w:hint="eastAsia" w:ascii="宋体" w:hAnsi="Times New Roman" w:eastAsia="宋体" w:cs="Times New Roman"/>
          <w:kern w:val="0"/>
          <w:szCs w:val="20"/>
        </w:rPr>
        <w:t>含量低于142mg·kg</w:t>
      </w:r>
      <w:r>
        <w:rPr>
          <w:rFonts w:hint="eastAsia" w:ascii="宋体" w:hAnsi="Times New Roman" w:eastAsia="宋体" w:cs="Times New Roman"/>
          <w:kern w:val="0"/>
          <w:szCs w:val="20"/>
          <w:vertAlign w:val="subscript"/>
        </w:rPr>
        <w:t>-1</w:t>
      </w:r>
      <w:r>
        <w:rPr>
          <w:rFonts w:hint="eastAsia" w:ascii="宋体" w:hAnsi="Times New Roman" w:eastAsia="宋体" w:cs="Times New Roman"/>
          <w:kern w:val="0"/>
          <w:szCs w:val="20"/>
        </w:rPr>
        <w:t>，EC值小于0.5mS/cm。</w:t>
      </w:r>
    </w:p>
    <w:p>
      <w:pPr>
        <w:pStyle w:val="34"/>
        <w:spacing w:before="312" w:after="312"/>
      </w:pPr>
      <w:r>
        <w:rPr>
          <w:rFonts w:hint="eastAsia"/>
        </w:rPr>
        <w:t>品种</w:t>
      </w:r>
      <w:r>
        <w:rPr>
          <w:rFonts w:hint="eastAsia"/>
          <w:lang w:val="en-US" w:eastAsia="zh-CN"/>
        </w:rPr>
        <w:t>与苗木</w:t>
      </w:r>
      <w:r>
        <w:rPr>
          <w:rFonts w:hint="eastAsia"/>
        </w:rPr>
        <w:t>选择</w:t>
      </w:r>
    </w:p>
    <w:p>
      <w:pPr>
        <w:pStyle w:val="29"/>
        <w:ind w:firstLine="420"/>
      </w:pPr>
      <w:r>
        <w:rPr>
          <w:rFonts w:hint="eastAsia"/>
          <w:lang w:val="en-US" w:eastAsia="zh-CN"/>
        </w:rPr>
        <w:t>根据</w:t>
      </w:r>
      <w:r>
        <w:rPr>
          <w:rFonts w:hint="eastAsia"/>
        </w:rPr>
        <w:t>DB 34/T 1580</w:t>
      </w:r>
      <w:r>
        <w:rPr>
          <w:rFonts w:hint="eastAsia"/>
          <w:lang w:eastAsia="zh-CN"/>
        </w:rPr>
        <w:t>，</w:t>
      </w:r>
      <w:r>
        <w:rPr>
          <w:rFonts w:hint="eastAsia"/>
        </w:rPr>
        <w:t>选择适宜当地种植</w:t>
      </w:r>
      <w:r>
        <w:rPr>
          <w:rFonts w:hint="eastAsia"/>
          <w:lang w:val="en-US" w:eastAsia="zh-CN"/>
        </w:rPr>
        <w:t>的</w:t>
      </w:r>
      <w:r>
        <w:rPr>
          <w:rFonts w:hint="eastAsia"/>
        </w:rPr>
        <w:t>丰产、抗逆品种。</w:t>
      </w:r>
    </w:p>
    <w:p>
      <w:pPr>
        <w:pStyle w:val="29"/>
        <w:ind w:firstLine="420"/>
      </w:pPr>
      <w:r>
        <w:rPr>
          <w:rFonts w:hint="eastAsia"/>
          <w:lang w:val="en-US" w:eastAsia="zh-CN"/>
        </w:rPr>
        <w:t>苗木</w:t>
      </w:r>
      <w:r>
        <w:rPr>
          <w:rFonts w:hint="eastAsia"/>
        </w:rPr>
        <w:t>选择根系发达、顶芽饱满、无病虫害</w:t>
      </w:r>
      <w:r>
        <w:rPr>
          <w:rFonts w:hint="eastAsia"/>
          <w:lang w:val="en-US" w:eastAsia="zh-CN"/>
        </w:rPr>
        <w:t>和机械损伤</w:t>
      </w:r>
      <w:r>
        <w:rPr>
          <w:rFonts w:hint="eastAsia"/>
        </w:rPr>
        <w:t>的苗木。苗高 50 cm 以上、主茎直径 0.6 cm 以上的2～3年生的健壮苗木为佳。</w:t>
      </w:r>
    </w:p>
    <w:p>
      <w:pPr>
        <w:pStyle w:val="34"/>
        <w:spacing w:before="312" w:after="312"/>
      </w:pPr>
      <w:r>
        <w:rPr>
          <w:rFonts w:hint="eastAsia"/>
        </w:rPr>
        <w:t>定植</w:t>
      </w:r>
      <w:bookmarkEnd w:id="1"/>
    </w:p>
    <w:p>
      <w:pPr>
        <w:pStyle w:val="35"/>
        <w:tabs>
          <w:tab w:val="clear" w:pos="360"/>
        </w:tabs>
        <w:spacing w:before="156" w:after="156"/>
      </w:pPr>
      <w:r>
        <w:rPr>
          <w:rFonts w:hint="eastAsia"/>
        </w:rPr>
        <w:t>定植时间</w:t>
      </w:r>
    </w:p>
    <w:p>
      <w:pPr>
        <w:pStyle w:val="29"/>
        <w:ind w:firstLine="420"/>
      </w:pPr>
      <w:r>
        <w:rPr>
          <w:rFonts w:hint="eastAsia"/>
        </w:rPr>
        <w:t>穴盘苗全年均可种植，以3月～4月最佳。</w:t>
      </w:r>
    </w:p>
    <w:p>
      <w:pPr>
        <w:pStyle w:val="35"/>
        <w:tabs>
          <w:tab w:val="clear" w:pos="360"/>
        </w:tabs>
        <w:spacing w:before="156" w:after="156"/>
      </w:pPr>
      <w:r>
        <w:rPr>
          <w:rFonts w:hint="eastAsia"/>
        </w:rPr>
        <w:t>定植密度</w:t>
      </w:r>
    </w:p>
    <w:p>
      <w:pPr>
        <w:pStyle w:val="29"/>
        <w:ind w:firstLine="420"/>
        <w:rPr>
          <w:rFonts w:hint="eastAsia"/>
          <w:lang w:val="en"/>
        </w:rPr>
      </w:pPr>
      <w:r>
        <w:rPr>
          <w:rFonts w:hint="eastAsia"/>
          <w:lang w:val="en"/>
        </w:rPr>
        <w:t>全基质盆栽，株距0.5～1.0m，行距2.0～2.5m，每667m</w:t>
      </w:r>
      <w:r>
        <w:rPr>
          <w:rFonts w:hint="eastAsia"/>
          <w:vertAlign w:val="superscript"/>
          <w:lang w:val="en"/>
        </w:rPr>
        <w:t>2</w:t>
      </w:r>
      <w:r>
        <w:rPr>
          <w:rFonts w:hint="eastAsia"/>
          <w:lang w:val="en"/>
        </w:rPr>
        <w:t>放置400～450盆。</w:t>
      </w:r>
    </w:p>
    <w:p>
      <w:pPr>
        <w:pStyle w:val="34"/>
        <w:spacing w:before="312" w:after="312"/>
      </w:pPr>
      <w:r>
        <w:rPr>
          <w:rFonts w:hint="eastAsia"/>
        </w:rPr>
        <w:t>基质配置</w:t>
      </w:r>
    </w:p>
    <w:p>
      <w:pPr>
        <w:pStyle w:val="29"/>
        <w:ind w:firstLine="420"/>
        <w:rPr>
          <w:rFonts w:hint="eastAsia"/>
          <w:lang w:val="en"/>
        </w:rPr>
      </w:pPr>
      <w:r>
        <w:rPr>
          <w:rFonts w:hint="eastAsia"/>
        </w:rPr>
        <w:t>基质应选择疏松透气、有机质丰富</w:t>
      </w:r>
      <w:r>
        <w:rPr>
          <w:rFonts w:hint="eastAsia"/>
          <w:lang w:val="en-US" w:eastAsia="zh-CN"/>
        </w:rPr>
        <w:t>的</w:t>
      </w:r>
      <w:r>
        <w:rPr>
          <w:rFonts w:hint="eastAsia"/>
        </w:rPr>
        <w:t>酸性材料。以草炭、酸性土壤、珍珠岩、蛭石按4：4：1：1比例配置为宜。</w:t>
      </w:r>
    </w:p>
    <w:p>
      <w:pPr>
        <w:pStyle w:val="34"/>
        <w:spacing w:before="312" w:after="312"/>
        <w:rPr>
          <w:lang w:val="en"/>
        </w:rPr>
      </w:pPr>
      <w:r>
        <w:rPr>
          <w:rFonts w:hint="eastAsia"/>
          <w:lang w:val="en"/>
        </w:rPr>
        <w:t>水肥一体化管理</w:t>
      </w:r>
    </w:p>
    <w:p>
      <w:pPr>
        <w:pStyle w:val="35"/>
        <w:tabs>
          <w:tab w:val="clear" w:pos="360"/>
        </w:tabs>
        <w:spacing w:before="156" w:after="156"/>
        <w:rPr>
          <w:lang w:val="en"/>
        </w:rPr>
      </w:pPr>
      <w:r>
        <w:rPr>
          <w:rFonts w:hint="eastAsia"/>
          <w:lang w:val="en"/>
        </w:rPr>
        <w:t>管理原则</w:t>
      </w:r>
    </w:p>
    <w:p>
      <w:pPr>
        <w:pStyle w:val="29"/>
        <w:ind w:firstLine="420"/>
      </w:pPr>
      <w:r>
        <w:rPr>
          <w:rFonts w:hint="eastAsia"/>
        </w:rPr>
        <w:t>实行水肥一体化管理，每次浇水都附带肥料。</w:t>
      </w:r>
      <w:r>
        <w:rPr>
          <w:rFonts w:hint="eastAsia"/>
          <w:lang w:val="en-US" w:eastAsia="zh-CN"/>
        </w:rPr>
        <w:t>肥料</w:t>
      </w:r>
      <w:r>
        <w:rPr>
          <w:rFonts w:hint="eastAsia"/>
        </w:rPr>
        <w:t>浓度以电导率计，</w:t>
      </w:r>
      <w:r>
        <w:rPr>
          <w:rFonts w:hint="eastAsia"/>
          <w:lang w:val="en-US" w:eastAsia="zh-CN"/>
        </w:rPr>
        <w:t>根据各生长期的需求规律配置营养</w:t>
      </w:r>
      <w:r>
        <w:rPr>
          <w:rFonts w:hint="eastAsia"/>
        </w:rPr>
        <w:t>。</w:t>
      </w:r>
      <w:r>
        <w:rPr>
          <w:rFonts w:hint="eastAsia"/>
          <w:lang w:val="en-US" w:eastAsia="zh-CN"/>
        </w:rPr>
        <w:t>灌溉水的</w:t>
      </w:r>
      <w:r>
        <w:rPr>
          <w:rFonts w:hint="eastAsia"/>
        </w:rPr>
        <w:t>水温</w:t>
      </w:r>
      <w:r>
        <w:rPr>
          <w:rFonts w:hint="eastAsia"/>
          <w:lang w:val="en-US" w:eastAsia="zh-CN"/>
        </w:rPr>
        <w:t>要</w:t>
      </w:r>
      <w:r>
        <w:rPr>
          <w:rFonts w:hint="eastAsia"/>
        </w:rPr>
        <w:t>接近基质温度。</w:t>
      </w:r>
    </w:p>
    <w:p>
      <w:pPr>
        <w:pStyle w:val="30"/>
        <w:numPr>
          <w:ilvl w:val="3"/>
          <w:numId w:val="0"/>
        </w:numPr>
        <w:spacing w:before="156" w:after="156"/>
      </w:pPr>
      <w:r>
        <w:rPr>
          <w:rFonts w:hint="eastAsia"/>
          <w:lang w:val="en-US" w:eastAsia="zh-CN"/>
        </w:rPr>
        <w:t>8</w:t>
      </w:r>
      <w:r>
        <w:rPr>
          <w:rFonts w:hint="eastAsia"/>
        </w:rPr>
        <w:t>.2  水肥一体化系统</w:t>
      </w:r>
    </w:p>
    <w:p>
      <w:pPr>
        <w:autoSpaceDE w:val="0"/>
        <w:autoSpaceDN w:val="0"/>
        <w:ind w:firstLine="420" w:firstLineChars="200"/>
        <w:rPr>
          <w:rFonts w:hint="eastAsia"/>
        </w:rPr>
      </w:pPr>
      <w:bookmarkStart w:id="24" w:name="_GoBack"/>
      <w:r>
        <w:rPr>
          <w:rFonts w:hint="eastAsia" w:ascii="宋体" w:hAnsi="Times New Roman" w:eastAsia="宋体" w:cs="Times New Roman"/>
          <w:kern w:val="0"/>
          <w:szCs w:val="20"/>
        </w:rPr>
        <w:t>水肥一体化系统包括潜水泵、过滤机、施肥机、肥料桶、田间输水管及支管等。肥料桶</w:t>
      </w:r>
      <w:r>
        <w:rPr>
          <w:rFonts w:ascii="宋体" w:hAnsi="Times New Roman" w:eastAsia="宋体" w:cs="Times New Roman"/>
          <w:kern w:val="0"/>
          <w:szCs w:val="20"/>
        </w:rPr>
        <w:t>设置 a、b 两个母液桶，</w:t>
      </w:r>
      <w:r>
        <w:rPr>
          <w:rFonts w:hint="eastAsia" w:ascii="宋体" w:hAnsi="Times New Roman" w:eastAsia="宋体" w:cs="Times New Roman"/>
          <w:kern w:val="0"/>
          <w:szCs w:val="20"/>
          <w:lang w:val="en-US" w:eastAsia="zh-CN"/>
        </w:rPr>
        <w:t>以</w:t>
      </w:r>
      <w:r>
        <w:rPr>
          <w:rFonts w:ascii="宋体" w:hAnsi="Times New Roman" w:eastAsia="宋体" w:cs="Times New Roman"/>
          <w:kern w:val="0"/>
          <w:szCs w:val="20"/>
        </w:rPr>
        <w:t>避免无机盐在高浓度下相互反应，生成难溶于水的无机盐。</w:t>
      </w:r>
      <w:bookmarkEnd w:id="24"/>
    </w:p>
    <w:p>
      <w:pPr>
        <w:pStyle w:val="35"/>
        <w:numPr>
          <w:ilvl w:val="2"/>
          <w:numId w:val="0"/>
        </w:numPr>
        <w:tabs>
          <w:tab w:val="clear" w:pos="360"/>
        </w:tabs>
        <w:spacing w:before="156" w:after="156"/>
      </w:pPr>
      <w:r>
        <w:rPr>
          <w:rFonts w:hint="eastAsia"/>
          <w:lang w:val="en-US" w:eastAsia="zh-CN"/>
        </w:rPr>
        <w:t>8</w:t>
      </w:r>
      <w:r>
        <w:rPr>
          <w:rFonts w:hint="eastAsia"/>
        </w:rPr>
        <w:t>.3 肥料选用</w:t>
      </w:r>
    </w:p>
    <w:p>
      <w:pPr>
        <w:pStyle w:val="29"/>
        <w:ind w:firstLine="420"/>
      </w:pPr>
      <w:r>
        <w:rPr>
          <w:rFonts w:hint="eastAsia"/>
        </w:rPr>
        <w:t>肥料的选择应符合NY/T496的规定。蓝莓对肥料的要求严格，氮源以铵态氮为最佳，氯离子对蓝莓生长有影响，应选择硝酸铵钙、硝酸钾；铵态氮硫酸铵、磷酸一铵、磷酸二铵、磷酸二氢钾；硫酸钾、硝酸钾、磷酸二氢钾。</w:t>
      </w:r>
    </w:p>
    <w:p>
      <w:pPr>
        <w:pStyle w:val="35"/>
        <w:numPr>
          <w:ilvl w:val="2"/>
          <w:numId w:val="0"/>
        </w:numPr>
        <w:tabs>
          <w:tab w:val="clear" w:pos="360"/>
        </w:tabs>
        <w:spacing w:before="156" w:after="156"/>
      </w:pPr>
      <w:r>
        <w:rPr>
          <w:rFonts w:hint="eastAsia"/>
          <w:lang w:val="en-US" w:eastAsia="zh-CN"/>
        </w:rPr>
        <w:t>8</w:t>
      </w:r>
      <w:r>
        <w:rPr>
          <w:rFonts w:hint="eastAsia"/>
        </w:rPr>
        <w:t>.4 水肥管理</w:t>
      </w:r>
    </w:p>
    <w:p>
      <w:pPr>
        <w:pStyle w:val="29"/>
        <w:ind w:firstLine="420"/>
      </w:pPr>
      <w:r>
        <w:rPr>
          <w:rFonts w:hint="eastAsia"/>
        </w:rPr>
        <w:t>采用自动滴灌系统，配置好的母液使用时根据灌溉水的具体情况调整稀释倍数，使滴灌终端出水电导率在蓝莓生长前期保持在 0.8 mS/cm～1.0 mS/cm，结果期保持在1.0 mS/cm～1.5 mS/cm 。夏季每天 4 次，每次5～8 分钟滴水肥量，冬季每天 1～2次，每次5分钟。每月需灌清水洗涤1次。</w:t>
      </w:r>
    </w:p>
    <w:p>
      <w:pPr>
        <w:pStyle w:val="34"/>
        <w:spacing w:before="312" w:after="312"/>
      </w:pPr>
      <w:r>
        <w:rPr>
          <w:rFonts w:hint="eastAsia"/>
        </w:rPr>
        <w:t>整形修剪</w:t>
      </w:r>
    </w:p>
    <w:p>
      <w:pPr>
        <w:pStyle w:val="35"/>
        <w:tabs>
          <w:tab w:val="clear" w:pos="360"/>
        </w:tabs>
        <w:spacing w:before="156" w:after="156"/>
      </w:pPr>
      <w:r>
        <w:rPr>
          <w:rFonts w:hint="eastAsia"/>
        </w:rPr>
        <w:t>幼树修剪</w:t>
      </w:r>
    </w:p>
    <w:p>
      <w:pPr>
        <w:pStyle w:val="29"/>
        <w:ind w:firstLine="420"/>
      </w:pPr>
      <w:r>
        <w:rPr>
          <w:rFonts w:hint="eastAsia"/>
        </w:rPr>
        <w:t>幼年树修剪以扩大树冠和增加分枝为主。幼树定植后，选取强壮主枝留10～15 cm 短截，促发新枝，其余细弱小枝疏除。当年秋冬季修剪时，将</w:t>
      </w:r>
      <w:r>
        <w:rPr>
          <w:rFonts w:hint="eastAsia"/>
          <w:lang w:val="en-US" w:eastAsia="zh-CN"/>
        </w:rPr>
        <w:t>基部萌发新梢</w:t>
      </w:r>
      <w:r>
        <w:rPr>
          <w:rFonts w:hint="eastAsia"/>
        </w:rPr>
        <w:t>和</w:t>
      </w:r>
      <w:r>
        <w:rPr>
          <w:rFonts w:hint="eastAsia"/>
          <w:lang w:val="en-US" w:eastAsia="zh-CN"/>
        </w:rPr>
        <w:t>上部</w:t>
      </w:r>
      <w:r>
        <w:rPr>
          <w:rFonts w:hint="eastAsia"/>
        </w:rPr>
        <w:t>新梢上生长的二次枝在其半木质化位置进行摘心，促进花芽形成。</w:t>
      </w:r>
    </w:p>
    <w:p>
      <w:pPr>
        <w:pStyle w:val="35"/>
        <w:tabs>
          <w:tab w:val="clear" w:pos="360"/>
        </w:tabs>
        <w:spacing w:before="156" w:after="156"/>
      </w:pPr>
      <w:r>
        <w:rPr>
          <w:rFonts w:hint="eastAsia"/>
        </w:rPr>
        <w:t>成年树修剪</w:t>
      </w:r>
    </w:p>
    <w:p>
      <w:pPr>
        <w:pStyle w:val="29"/>
        <w:ind w:firstLine="420"/>
      </w:pPr>
      <w:r>
        <w:rPr>
          <w:rFonts w:hint="eastAsia"/>
        </w:rPr>
        <w:t>以疏枝为主，疏除过密枝、细弱枝、病虫枝、交叉枝等。树势较开张品种疏枝时去弱留强，直立品种去中心干，留中等枝。弱小枝抹除花芽，使其转壮。</w:t>
      </w:r>
    </w:p>
    <w:p>
      <w:pPr>
        <w:pStyle w:val="34"/>
        <w:spacing w:before="312" w:after="312"/>
      </w:pPr>
      <w:r>
        <w:rPr>
          <w:rFonts w:hint="eastAsia"/>
        </w:rPr>
        <w:t>花果管理</w:t>
      </w:r>
    </w:p>
    <w:p>
      <w:pPr>
        <w:pStyle w:val="29"/>
        <w:ind w:firstLine="420"/>
      </w:pPr>
      <w:r>
        <w:rPr>
          <w:rFonts w:hint="eastAsia"/>
        </w:rPr>
        <w:t>花果管理参照DB 34/T 1580执行。</w:t>
      </w:r>
    </w:p>
    <w:p>
      <w:pPr>
        <w:pStyle w:val="34"/>
        <w:spacing w:before="312" w:after="312"/>
      </w:pPr>
      <w:r>
        <w:rPr>
          <w:rFonts w:hint="eastAsia"/>
        </w:rPr>
        <w:t>病虫害防控</w:t>
      </w:r>
    </w:p>
    <w:p>
      <w:pPr>
        <w:pStyle w:val="35"/>
        <w:tabs>
          <w:tab w:val="clear" w:pos="360"/>
        </w:tabs>
        <w:spacing w:before="156" w:after="156"/>
      </w:pPr>
      <w:r>
        <w:rPr>
          <w:rFonts w:hint="eastAsia"/>
        </w:rPr>
        <w:t>防治原则</w:t>
      </w:r>
    </w:p>
    <w:p>
      <w:pPr>
        <w:pStyle w:val="29"/>
        <w:ind w:firstLine="420"/>
      </w:pPr>
      <w:r>
        <w:rPr>
          <w:rFonts w:hint="eastAsia"/>
        </w:rPr>
        <w:t>预防为主，综合防治，优先采用农业防治、物理防治和生物防治，科学合理使用化学防治。</w:t>
      </w:r>
    </w:p>
    <w:p>
      <w:pPr>
        <w:pStyle w:val="35"/>
        <w:tabs>
          <w:tab w:val="clear" w:pos="360"/>
        </w:tabs>
        <w:spacing w:before="156" w:after="156"/>
      </w:pPr>
      <w:r>
        <w:rPr>
          <w:rFonts w:hint="eastAsia"/>
        </w:rPr>
        <w:t>防控方法</w:t>
      </w:r>
    </w:p>
    <w:p>
      <w:pPr>
        <w:pStyle w:val="29"/>
        <w:ind w:firstLine="420"/>
      </w:pPr>
      <w:r>
        <w:rPr>
          <w:rFonts w:hint="eastAsia"/>
        </w:rPr>
        <w:t>防控方法参照NY/T 1276、NY /T 3849执行。</w:t>
      </w:r>
    </w:p>
    <w:p>
      <w:pPr>
        <w:pStyle w:val="29"/>
        <w:ind w:firstLine="420"/>
      </w:pPr>
    </w:p>
    <w:p>
      <w:pPr>
        <w:pStyle w:val="29"/>
        <w:ind w:firstLine="420"/>
      </w:pPr>
    </w:p>
    <w:p>
      <w:pPr>
        <w:pStyle w:val="29"/>
        <w:ind w:firstLine="420"/>
      </w:pPr>
    </w:p>
    <w:p>
      <w:pPr>
        <w:spacing w:line="500" w:lineRule="exact"/>
        <w:rPr>
          <w:rFonts w:ascii="Times New Roman" w:hAnsi="Times New Roman" w:eastAsia="仿宋_GB2312" w:cs="Times New Roman"/>
          <w:szCs w:val="21"/>
        </w:rPr>
      </w:pPr>
    </w:p>
    <w:p>
      <w:pPr>
        <w:widowControl/>
        <w:jc w:val="center"/>
        <w:rPr>
          <w:rFonts w:ascii="Times New Roman" w:hAnsi="Times New Roman" w:eastAsia="宋体" w:cs="Times New Roman"/>
          <w:szCs w:val="21"/>
        </w:rPr>
      </w:pPr>
      <w:r>
        <w:rPr>
          <w:rFonts w:hint="eastAsia" w:ascii="Times New Roman" w:hAnsi="Times New Roman" w:eastAsia="宋体" w:cs="Times New Roman"/>
          <w:szCs w:val="21"/>
        </w:rPr>
        <w:t>附录A</w:t>
      </w:r>
    </w:p>
    <w:p>
      <w:pPr>
        <w:widowControl/>
        <w:jc w:val="center"/>
        <w:rPr>
          <w:rFonts w:ascii="Times New Roman" w:hAnsi="Times New Roman" w:eastAsia="宋体" w:cs="Times New Roman"/>
          <w:szCs w:val="21"/>
        </w:rPr>
      </w:pPr>
      <w:r>
        <w:rPr>
          <w:rFonts w:hint="eastAsia" w:ascii="Times New Roman" w:hAnsi="Times New Roman" w:eastAsia="宋体" w:cs="Times New Roman"/>
          <w:szCs w:val="21"/>
        </w:rPr>
        <w:t>（资料性）</w:t>
      </w:r>
    </w:p>
    <w:p>
      <w:pPr>
        <w:adjustRightInd w:val="0"/>
        <w:snapToGrid w:val="0"/>
        <w:ind w:firstLine="630" w:firstLineChars="300"/>
        <w:rPr>
          <w:rFonts w:ascii="Times New Roman" w:hAnsi="Times New Roman" w:eastAsia="宋体" w:cs="Times New Roman"/>
          <w:szCs w:val="21"/>
        </w:rPr>
      </w:pPr>
      <w:r>
        <w:rPr>
          <w:rFonts w:ascii="Times New Roman" w:hAnsi="Times New Roman" w:eastAsia="宋体" w:cs="Times New Roman"/>
          <w:szCs w:val="21"/>
        </w:rPr>
        <w:t>目前还没有公开的蓝莓专用配方，建议根据蓝莓生长情况结合当地的气候条件选择营养液配方，</w:t>
      </w:r>
    </w:p>
    <w:p>
      <w:pPr>
        <w:adjustRightInd w:val="0"/>
        <w:snapToGrid w:val="0"/>
        <w:ind w:firstLine="210" w:firstLineChars="100"/>
        <w:rPr>
          <w:rFonts w:ascii="Times New Roman" w:hAnsi="Times New Roman" w:eastAsia="宋体" w:cs="Times New Roman"/>
          <w:szCs w:val="21"/>
        </w:rPr>
      </w:pPr>
      <w:r>
        <w:rPr>
          <w:rFonts w:ascii="Times New Roman" w:hAnsi="Times New Roman" w:eastAsia="宋体" w:cs="Times New Roman"/>
          <w:szCs w:val="21"/>
        </w:rPr>
        <w:t>使用前先进行小面积试验再进行大面积使用。</w:t>
      </w:r>
      <w:r>
        <w:rPr>
          <w:rFonts w:hint="eastAsia" w:ascii="Times New Roman" w:hAnsi="Times New Roman" w:eastAsia="宋体" w:cs="Times New Roman"/>
          <w:szCs w:val="21"/>
        </w:rPr>
        <w:t>下面是滁州地区蓝莓水肥一体化栽培配方，供参考。</w:t>
      </w:r>
    </w:p>
    <w:tbl>
      <w:tblPr>
        <w:tblStyle w:val="6"/>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2"/>
        <w:gridCol w:w="4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22" w:type="dxa"/>
            <w:vAlign w:val="center"/>
          </w:tcPr>
          <w:p>
            <w:pPr>
              <w:widowControl/>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生长时期</w:t>
            </w:r>
          </w:p>
        </w:tc>
        <w:tc>
          <w:tcPr>
            <w:tcW w:w="4422" w:type="dxa"/>
            <w:vAlign w:val="center"/>
          </w:tcPr>
          <w:p>
            <w:pPr>
              <w:widowControl/>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营养液配方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22" w:type="dxa"/>
            <w:vAlign w:val="center"/>
          </w:tcPr>
          <w:p>
            <w:pPr>
              <w:widowControl/>
              <w:jc w:val="left"/>
              <w:rPr>
                <w:rFonts w:ascii="Times New Roman" w:hAnsi="Times New Roman" w:eastAsia="宋体" w:cs="Times New Roman"/>
                <w:kern w:val="0"/>
                <w:sz w:val="20"/>
                <w:szCs w:val="21"/>
              </w:rPr>
            </w:pPr>
          </w:p>
          <w:p>
            <w:pPr>
              <w:widowControl/>
              <w:ind w:firstLine="1600" w:firstLineChars="800"/>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生长阶段</w:t>
            </w:r>
          </w:p>
        </w:tc>
        <w:tc>
          <w:tcPr>
            <w:tcW w:w="4422" w:type="dxa"/>
          </w:tcPr>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N（NO</w:t>
            </w:r>
            <w:r>
              <w:rPr>
                <w:rFonts w:hint="eastAsia" w:ascii="方正宋体S-超大字符集" w:hAnsi="方正宋体S-超大字符集" w:eastAsia="方正宋体S-超大字符集" w:cs="方正宋体S-超大字符集"/>
                <w:kern w:val="0"/>
                <w:sz w:val="20"/>
                <w:szCs w:val="21"/>
                <w:vertAlign w:val="superscript"/>
              </w:rPr>
              <w:t>3-</w:t>
            </w:r>
            <w:r>
              <w:rPr>
                <w:rFonts w:hint="eastAsia" w:ascii="方正宋体S-超大字符集" w:hAnsi="方正宋体S-超大字符集" w:eastAsia="方正宋体S-超大字符集" w:cs="方正宋体S-超大字符集"/>
                <w:kern w:val="0"/>
                <w:sz w:val="20"/>
                <w:szCs w:val="21"/>
              </w:rPr>
              <w:t>） 5.3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N（NH</w:t>
            </w:r>
            <w:r>
              <w:rPr>
                <w:rFonts w:hint="eastAsia" w:ascii="方正宋体S-超大字符集" w:hAnsi="方正宋体S-超大字符集" w:eastAsia="方正宋体S-超大字符集" w:cs="方正宋体S-超大字符集"/>
                <w:kern w:val="0"/>
                <w:sz w:val="20"/>
                <w:szCs w:val="21"/>
                <w:vertAlign w:val="superscript"/>
              </w:rPr>
              <w:t>4+</w:t>
            </w:r>
            <w:r>
              <w:rPr>
                <w:rFonts w:hint="eastAsia" w:ascii="方正宋体S-超大字符集" w:hAnsi="方正宋体S-超大字符集" w:eastAsia="方正宋体S-超大字符集" w:cs="方正宋体S-超大字符集"/>
                <w:kern w:val="0"/>
                <w:sz w:val="20"/>
                <w:szCs w:val="21"/>
              </w:rPr>
              <w:t>） 8.7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K</w:t>
            </w:r>
            <w:r>
              <w:rPr>
                <w:rFonts w:hint="eastAsia" w:ascii="方正宋体S-超大字符集" w:hAnsi="方正宋体S-超大字符集" w:eastAsia="方正宋体S-超大字符集" w:cs="方正宋体S-超大字符集"/>
                <w:kern w:val="0"/>
                <w:sz w:val="20"/>
                <w:szCs w:val="21"/>
                <w:vertAlign w:val="superscript"/>
              </w:rPr>
              <w:t xml:space="preserve">+ </w:t>
            </w:r>
            <w:r>
              <w:rPr>
                <w:rFonts w:hint="eastAsia" w:ascii="方正宋体S-超大字符集" w:hAnsi="方正宋体S-超大字符集" w:eastAsia="方正宋体S-超大字符集" w:cs="方正宋体S-超大字符集"/>
                <w:kern w:val="0"/>
                <w:sz w:val="20"/>
                <w:szCs w:val="21"/>
              </w:rPr>
              <w:t xml:space="preserve"> 4.6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P</w:t>
            </w:r>
            <w:r>
              <w:rPr>
                <w:rFonts w:hint="eastAsia" w:ascii="方正宋体S-超大字符集" w:hAnsi="方正宋体S-超大字符集" w:eastAsia="方正宋体S-超大字符集" w:cs="方正宋体S-超大字符集"/>
                <w:kern w:val="0"/>
                <w:sz w:val="20"/>
                <w:szCs w:val="21"/>
                <w:lang w:eastAsia="zh-CN"/>
              </w:rPr>
              <w:t>（</w:t>
            </w:r>
            <w:r>
              <w:rPr>
                <w:rFonts w:hint="eastAsia" w:ascii="方正宋体S-超大字符集" w:hAnsi="方正宋体S-超大字符集" w:eastAsia="方正宋体S-超大字符集" w:cs="方正宋体S-超大字符集"/>
                <w:kern w:val="0"/>
                <w:sz w:val="20"/>
                <w:szCs w:val="21"/>
                <w:lang w:val="en-US" w:eastAsia="zh-CN"/>
              </w:rPr>
              <w:t>PO</w:t>
            </w:r>
            <w:r>
              <w:rPr>
                <w:rFonts w:hint="eastAsia" w:ascii="方正宋体S-超大字符集" w:hAnsi="方正宋体S-超大字符集" w:eastAsia="方正宋体S-超大字符集" w:cs="方正宋体S-超大字符集"/>
                <w:kern w:val="0"/>
                <w:sz w:val="20"/>
                <w:szCs w:val="21"/>
                <w:vertAlign w:val="subscript"/>
                <w:lang w:val="en-US" w:eastAsia="zh-CN"/>
              </w:rPr>
              <w:t>3</w:t>
            </w:r>
            <w:r>
              <w:rPr>
                <w:rFonts w:hint="eastAsia" w:ascii="方正宋体S-超大字符集" w:hAnsi="方正宋体S-超大字符集" w:eastAsia="方正宋体S-超大字符集" w:cs="方正宋体S-超大字符集"/>
                <w:kern w:val="0"/>
                <w:sz w:val="20"/>
                <w:szCs w:val="21"/>
                <w:vertAlign w:val="superscript"/>
                <w:lang w:val="en-US" w:eastAsia="zh-CN"/>
              </w:rPr>
              <w:t>-3</w:t>
            </w:r>
            <w:r>
              <w:rPr>
                <w:rFonts w:hint="eastAsia" w:ascii="方正宋体S-超大字符集" w:hAnsi="方正宋体S-超大字符集" w:eastAsia="方正宋体S-超大字符集" w:cs="方正宋体S-超大字符集"/>
                <w:kern w:val="0"/>
                <w:sz w:val="20"/>
                <w:szCs w:val="21"/>
                <w:lang w:eastAsia="zh-CN"/>
              </w:rPr>
              <w:t>）</w:t>
            </w:r>
            <w:r>
              <w:rPr>
                <w:rFonts w:hint="eastAsia" w:ascii="方正宋体S-超大字符集" w:hAnsi="方正宋体S-超大字符集" w:eastAsia="方正宋体S-超大字符集" w:cs="方正宋体S-超大字符集"/>
                <w:kern w:val="0"/>
                <w:sz w:val="20"/>
                <w:szCs w:val="21"/>
              </w:rPr>
              <w:t xml:space="preserve">  2.0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Mg</w:t>
            </w:r>
            <w:r>
              <w:rPr>
                <w:rFonts w:hint="eastAsia" w:ascii="方正宋体S-超大字符集" w:hAnsi="方正宋体S-超大字符集" w:eastAsia="方正宋体S-超大字符集" w:cs="方正宋体S-超大字符集"/>
                <w:kern w:val="0"/>
                <w:sz w:val="20"/>
                <w:szCs w:val="21"/>
                <w:vertAlign w:val="superscript"/>
              </w:rPr>
              <w:t>2+</w:t>
            </w:r>
            <w:r>
              <w:rPr>
                <w:rFonts w:hint="eastAsia" w:ascii="方正宋体S-超大字符集" w:hAnsi="方正宋体S-超大字符集" w:eastAsia="方正宋体S-超大字符集" w:cs="方正宋体S-超大字符集"/>
                <w:kern w:val="0"/>
                <w:sz w:val="20"/>
                <w:szCs w:val="21"/>
              </w:rPr>
              <w:t xml:space="preserve">  1.5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Ca</w:t>
            </w:r>
            <w:r>
              <w:rPr>
                <w:rFonts w:hint="eastAsia" w:ascii="方正宋体S-超大字符集" w:hAnsi="方正宋体S-超大字符集" w:eastAsia="方正宋体S-超大字符集" w:cs="方正宋体S-超大字符集"/>
                <w:kern w:val="0"/>
                <w:sz w:val="20"/>
                <w:szCs w:val="21"/>
                <w:vertAlign w:val="superscript"/>
                <w:lang w:val="en-US" w:eastAsia="zh-CN"/>
              </w:rPr>
              <w:t>2+</w:t>
            </w:r>
            <w:r>
              <w:rPr>
                <w:rFonts w:hint="eastAsia" w:ascii="方正宋体S-超大字符集" w:hAnsi="方正宋体S-超大字符集" w:eastAsia="方正宋体S-超大字符集" w:cs="方正宋体S-超大字符集"/>
                <w:kern w:val="0"/>
                <w:sz w:val="20"/>
                <w:szCs w:val="21"/>
              </w:rPr>
              <w:t xml:space="preserve">  3.5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S</w:t>
            </w:r>
            <w:r>
              <w:rPr>
                <w:rFonts w:hint="eastAsia" w:ascii="方正宋体S-超大字符集" w:hAnsi="方正宋体S-超大字符集" w:eastAsia="方正宋体S-超大字符集" w:cs="方正宋体S-超大字符集"/>
                <w:kern w:val="0"/>
                <w:sz w:val="20"/>
                <w:szCs w:val="21"/>
                <w:lang w:val="en-US" w:eastAsia="zh-CN"/>
              </w:rPr>
              <w:t>(SO</w:t>
            </w:r>
            <w:r>
              <w:rPr>
                <w:rFonts w:hint="eastAsia" w:ascii="方正宋体S-超大字符集" w:hAnsi="方正宋体S-超大字符集" w:eastAsia="方正宋体S-超大字符集" w:cs="方正宋体S-超大字符集"/>
                <w:kern w:val="0"/>
                <w:sz w:val="20"/>
                <w:szCs w:val="21"/>
                <w:vertAlign w:val="subscript"/>
                <w:lang w:val="en-US" w:eastAsia="zh-CN"/>
              </w:rPr>
              <w:t>4</w:t>
            </w:r>
            <w:r>
              <w:rPr>
                <w:rFonts w:hint="eastAsia" w:ascii="方正宋体S-超大字符集" w:hAnsi="方正宋体S-超大字符集" w:eastAsia="方正宋体S-超大字符集" w:cs="方正宋体S-超大字符集"/>
                <w:kern w:val="0"/>
                <w:sz w:val="20"/>
                <w:szCs w:val="21"/>
                <w:vertAlign w:val="superscript"/>
                <w:lang w:val="en-US" w:eastAsia="zh-CN"/>
              </w:rPr>
              <w:t>2-</w:t>
            </w:r>
            <w:r>
              <w:rPr>
                <w:rFonts w:hint="eastAsia" w:ascii="方正宋体S-超大字符集" w:hAnsi="方正宋体S-超大字符集" w:eastAsia="方正宋体S-超大字符集" w:cs="方正宋体S-超大字符集"/>
                <w:kern w:val="0"/>
                <w:sz w:val="20"/>
                <w:szCs w:val="21"/>
                <w:lang w:val="en-US" w:eastAsia="zh-CN"/>
              </w:rPr>
              <w:t>)</w:t>
            </w:r>
            <w:r>
              <w:rPr>
                <w:rFonts w:hint="eastAsia" w:ascii="方正宋体S-超大字符集" w:hAnsi="方正宋体S-超大字符集" w:eastAsia="方正宋体S-超大字符集" w:cs="方正宋体S-超大字符集"/>
                <w:kern w:val="0"/>
                <w:sz w:val="20"/>
                <w:szCs w:val="21"/>
              </w:rPr>
              <w:t xml:space="preserve">  4.7 mmol/L。</w:t>
            </w:r>
          </w:p>
          <w:p>
            <w:pPr>
              <w:widowControl/>
              <w:jc w:val="left"/>
              <w:rPr>
                <w:rFonts w:hint="eastAsia" w:ascii="方正宋体S-超大字符集" w:hAnsi="方正宋体S-超大字符集" w:eastAsia="方正宋体S-超大字符集" w:cs="方正宋体S-超大字符集"/>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22" w:type="dxa"/>
            <w:vAlign w:val="center"/>
          </w:tcPr>
          <w:p>
            <w:pPr>
              <w:widowControl/>
              <w:jc w:val="left"/>
              <w:rPr>
                <w:rFonts w:ascii="Times New Roman" w:hAnsi="Times New Roman" w:eastAsia="宋体" w:cs="Times New Roman"/>
                <w:kern w:val="0"/>
                <w:sz w:val="20"/>
                <w:szCs w:val="21"/>
              </w:rPr>
            </w:pPr>
          </w:p>
          <w:p>
            <w:pPr>
              <w:widowControl/>
              <w:ind w:firstLine="1400" w:firstLineChars="700"/>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花芽分化阶段</w:t>
            </w:r>
          </w:p>
        </w:tc>
        <w:tc>
          <w:tcPr>
            <w:tcW w:w="4422" w:type="dxa"/>
          </w:tcPr>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N（NO3-） 2.4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N（NH4+） 3.6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K 5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P 2.0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Mg 1.5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Ca 3.5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S 4.0  mmol/L。</w:t>
            </w:r>
          </w:p>
          <w:p>
            <w:pPr>
              <w:widowControl/>
              <w:jc w:val="left"/>
              <w:rPr>
                <w:rFonts w:hint="eastAsia" w:ascii="方正宋体S-超大字符集" w:hAnsi="方正宋体S-超大字符集" w:eastAsia="方正宋体S-超大字符集" w:cs="方正宋体S-超大字符集"/>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22" w:type="dxa"/>
            <w:vAlign w:val="center"/>
          </w:tcPr>
          <w:p>
            <w:pPr>
              <w:widowControl/>
              <w:jc w:val="left"/>
              <w:rPr>
                <w:rFonts w:ascii="Times New Roman" w:hAnsi="Times New Roman" w:eastAsia="宋体" w:cs="Times New Roman"/>
                <w:kern w:val="0"/>
                <w:sz w:val="20"/>
                <w:szCs w:val="21"/>
              </w:rPr>
            </w:pPr>
          </w:p>
          <w:p>
            <w:pPr>
              <w:widowControl/>
              <w:jc w:val="left"/>
              <w:rPr>
                <w:rFonts w:ascii="Times New Roman" w:hAnsi="Times New Roman" w:eastAsia="宋体" w:cs="Times New Roman"/>
                <w:kern w:val="0"/>
                <w:sz w:val="20"/>
                <w:szCs w:val="21"/>
              </w:rPr>
            </w:pPr>
          </w:p>
          <w:p>
            <w:pPr>
              <w:widowControl/>
              <w:ind w:firstLine="1400" w:firstLineChars="700"/>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结果阶段</w:t>
            </w:r>
          </w:p>
        </w:tc>
        <w:tc>
          <w:tcPr>
            <w:tcW w:w="4422" w:type="dxa"/>
          </w:tcPr>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N（NO3-） 3.0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N（NH4+） 6.4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K 6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P 2.4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Mg 1.6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Ca 3.5 mmol/L，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S 4.0 mmol/L。</w:t>
            </w:r>
          </w:p>
          <w:p>
            <w:pPr>
              <w:widowControl/>
              <w:jc w:val="left"/>
              <w:rPr>
                <w:rFonts w:hint="eastAsia" w:ascii="方正宋体S-超大字符集" w:hAnsi="方正宋体S-超大字符集" w:eastAsia="方正宋体S-超大字符集" w:cs="方正宋体S-超大字符集"/>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22" w:type="dxa"/>
            <w:vAlign w:val="center"/>
          </w:tcPr>
          <w:p>
            <w:pPr>
              <w:widowControl/>
              <w:jc w:val="left"/>
              <w:rPr>
                <w:rFonts w:ascii="Times New Roman" w:hAnsi="Times New Roman" w:eastAsia="宋体" w:cs="Times New Roman"/>
                <w:kern w:val="0"/>
                <w:sz w:val="20"/>
                <w:szCs w:val="21"/>
              </w:rPr>
            </w:pPr>
          </w:p>
          <w:p>
            <w:pPr>
              <w:widowControl/>
              <w:ind w:firstLine="1400" w:firstLineChars="700"/>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微量元素配方</w:t>
            </w:r>
          </w:p>
        </w:tc>
        <w:tc>
          <w:tcPr>
            <w:tcW w:w="4422" w:type="dxa"/>
          </w:tcPr>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ascii="方正宋体S-超大字符集" w:hAnsi="方正宋体S-超大字符集" w:eastAsia="方正宋体S-超大字符集" w:cs="方正宋体S-超大字符集"/>
                <w:kern w:val="0"/>
                <w:sz w:val="20"/>
                <w:szCs w:val="21"/>
              </w:rPr>
              <w:t>FeSO</w:t>
            </w:r>
            <w:r>
              <w:rPr>
                <w:rFonts w:ascii="Cambria Math" w:hAnsi="Cambria Math" w:eastAsia="方正宋体S-超大字符集" w:cs="Cambria Math"/>
                <w:kern w:val="0"/>
                <w:sz w:val="20"/>
                <w:szCs w:val="21"/>
              </w:rPr>
              <w:t>₄</w:t>
            </w:r>
            <w:r>
              <w:rPr>
                <w:rFonts w:hint="eastAsia" w:ascii="微软雅黑" w:hAnsi="微软雅黑" w:eastAsia="微软雅黑" w:cs="微软雅黑"/>
                <w:kern w:val="0"/>
                <w:sz w:val="20"/>
                <w:szCs w:val="21"/>
              </w:rPr>
              <w:t>·</w:t>
            </w:r>
            <w:r>
              <w:rPr>
                <w:rFonts w:ascii="方正宋体S-超大字符集" w:hAnsi="方正宋体S-超大字符集" w:eastAsia="方正宋体S-超大字符集" w:cs="方正宋体S-超大字符集"/>
                <w:kern w:val="0"/>
                <w:sz w:val="20"/>
                <w:szCs w:val="21"/>
              </w:rPr>
              <w:t>7H</w:t>
            </w:r>
            <w:r>
              <w:rPr>
                <w:rFonts w:ascii="Cambria Math" w:hAnsi="Cambria Math" w:eastAsia="方正宋体S-超大字符集" w:cs="Cambria Math"/>
                <w:kern w:val="0"/>
                <w:sz w:val="20"/>
                <w:szCs w:val="21"/>
              </w:rPr>
              <w:t>₂</w:t>
            </w:r>
            <w:r>
              <w:rPr>
                <w:rFonts w:ascii="方正宋体S-超大字符集" w:hAnsi="方正宋体S-超大字符集" w:eastAsia="方正宋体S-超大字符集" w:cs="方正宋体S-超大字符集"/>
                <w:kern w:val="0"/>
                <w:sz w:val="20"/>
                <w:szCs w:val="21"/>
              </w:rPr>
              <w:t>O</w:t>
            </w:r>
            <w:r>
              <w:rPr>
                <w:rFonts w:hint="eastAsia" w:ascii="方正宋体S-超大字符集" w:hAnsi="方正宋体S-超大字符集" w:eastAsia="方正宋体S-超大字符集" w:cs="方正宋体S-超大字符集"/>
                <w:kern w:val="0"/>
                <w:sz w:val="20"/>
                <w:szCs w:val="21"/>
              </w:rPr>
              <w:t xml:space="preserve">  27.8 Mg/L，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C</w:t>
            </w:r>
            <w:r>
              <w:rPr>
                <w:rFonts w:hint="eastAsia" w:ascii="方正宋体S-超大字符集" w:hAnsi="方正宋体S-超大字符集" w:eastAsia="方正宋体S-超大字符集" w:cs="方正宋体S-超大字符集"/>
                <w:kern w:val="0"/>
                <w:sz w:val="20"/>
                <w:szCs w:val="21"/>
                <w:vertAlign w:val="subscript"/>
              </w:rPr>
              <w:t>10</w:t>
            </w:r>
            <w:r>
              <w:rPr>
                <w:rFonts w:hint="eastAsia" w:ascii="方正宋体S-超大字符集" w:hAnsi="方正宋体S-超大字符集" w:eastAsia="方正宋体S-超大字符集" w:cs="方正宋体S-超大字符集"/>
                <w:kern w:val="0"/>
                <w:sz w:val="20"/>
                <w:szCs w:val="21"/>
              </w:rPr>
              <w:t>H</w:t>
            </w:r>
            <w:r>
              <w:rPr>
                <w:rFonts w:hint="eastAsia" w:ascii="方正宋体S-超大字符集" w:hAnsi="方正宋体S-超大字符集" w:eastAsia="方正宋体S-超大字符集" w:cs="方正宋体S-超大字符集"/>
                <w:kern w:val="0"/>
                <w:sz w:val="20"/>
                <w:szCs w:val="21"/>
                <w:vertAlign w:val="subscript"/>
              </w:rPr>
              <w:t>14</w:t>
            </w:r>
            <w:r>
              <w:rPr>
                <w:rFonts w:hint="eastAsia" w:ascii="方正宋体S-超大字符集" w:hAnsi="方正宋体S-超大字符集" w:eastAsia="方正宋体S-超大字符集" w:cs="方正宋体S-超大字符集"/>
                <w:kern w:val="0"/>
                <w:sz w:val="20"/>
                <w:szCs w:val="21"/>
              </w:rPr>
              <w:t>N</w:t>
            </w:r>
            <w:r>
              <w:rPr>
                <w:rFonts w:hint="eastAsia" w:ascii="方正宋体S-超大字符集" w:hAnsi="方正宋体S-超大字符集" w:eastAsia="方正宋体S-超大字符集" w:cs="方正宋体S-超大字符集"/>
                <w:kern w:val="0"/>
                <w:sz w:val="20"/>
                <w:szCs w:val="21"/>
                <w:vertAlign w:val="subscript"/>
              </w:rPr>
              <w:t>2</w:t>
            </w:r>
            <w:r>
              <w:rPr>
                <w:rFonts w:hint="eastAsia" w:ascii="方正宋体S-超大字符集" w:hAnsi="方正宋体S-超大字符集" w:eastAsia="方正宋体S-超大字符集" w:cs="方正宋体S-超大字符集"/>
                <w:kern w:val="0"/>
                <w:sz w:val="20"/>
                <w:szCs w:val="21"/>
              </w:rPr>
              <w:t>Na</w:t>
            </w:r>
            <w:r>
              <w:rPr>
                <w:rFonts w:hint="eastAsia" w:ascii="方正宋体S-超大字符集" w:hAnsi="方正宋体S-超大字符集" w:eastAsia="方正宋体S-超大字符集" w:cs="方正宋体S-超大字符集"/>
                <w:kern w:val="0"/>
                <w:sz w:val="20"/>
                <w:szCs w:val="21"/>
                <w:vertAlign w:val="subscript"/>
              </w:rPr>
              <w:t>2</w:t>
            </w:r>
            <w:r>
              <w:rPr>
                <w:rFonts w:hint="eastAsia" w:ascii="方正宋体S-超大字符集" w:hAnsi="方正宋体S-超大字符集" w:eastAsia="方正宋体S-超大字符集" w:cs="方正宋体S-超大字符集"/>
                <w:kern w:val="0"/>
                <w:sz w:val="20"/>
                <w:szCs w:val="21"/>
              </w:rPr>
              <w:t>O</w:t>
            </w:r>
            <w:r>
              <w:rPr>
                <w:rFonts w:hint="eastAsia" w:ascii="方正宋体S-超大字符集" w:hAnsi="方正宋体S-超大字符集" w:eastAsia="方正宋体S-超大字符集" w:cs="方正宋体S-超大字符集"/>
                <w:kern w:val="0"/>
                <w:sz w:val="20"/>
                <w:szCs w:val="21"/>
                <w:vertAlign w:val="subscript"/>
              </w:rPr>
              <w:t>8</w:t>
            </w:r>
            <w:r>
              <w:rPr>
                <w:rFonts w:hint="eastAsia" w:ascii="方正宋体S-超大字符集" w:hAnsi="方正宋体S-超大字符集" w:eastAsia="方正宋体S-超大字符集" w:cs="方正宋体S-超大字符集"/>
                <w:kern w:val="0"/>
                <w:sz w:val="20"/>
                <w:szCs w:val="21"/>
              </w:rPr>
              <w:t xml:space="preserve">  37.2 Mg/L，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H</w:t>
            </w:r>
            <w:r>
              <w:rPr>
                <w:rFonts w:hint="eastAsia" w:ascii="方正宋体S-超大字符集" w:hAnsi="方正宋体S-超大字符集" w:eastAsia="方正宋体S-超大字符集" w:cs="方正宋体S-超大字符集"/>
                <w:kern w:val="0"/>
                <w:sz w:val="20"/>
                <w:szCs w:val="21"/>
                <w:vertAlign w:val="subscript"/>
              </w:rPr>
              <w:t>3</w:t>
            </w:r>
            <w:r>
              <w:rPr>
                <w:rFonts w:hint="eastAsia" w:ascii="方正宋体S-超大字符集" w:hAnsi="方正宋体S-超大字符集" w:eastAsia="方正宋体S-超大字符集" w:cs="方正宋体S-超大字符集"/>
                <w:kern w:val="0"/>
                <w:sz w:val="20"/>
                <w:szCs w:val="21"/>
              </w:rPr>
              <w:t>BO</w:t>
            </w:r>
            <w:r>
              <w:rPr>
                <w:rFonts w:hint="eastAsia" w:ascii="方正宋体S-超大字符集" w:hAnsi="方正宋体S-超大字符集" w:eastAsia="方正宋体S-超大字符集" w:cs="方正宋体S-超大字符集"/>
                <w:kern w:val="0"/>
                <w:sz w:val="20"/>
                <w:szCs w:val="21"/>
                <w:vertAlign w:val="subscript"/>
              </w:rPr>
              <w:t>3</w:t>
            </w:r>
            <w:r>
              <w:rPr>
                <w:rFonts w:hint="eastAsia" w:ascii="方正宋体S-超大字符集" w:hAnsi="方正宋体S-超大字符集" w:eastAsia="方正宋体S-超大字符集" w:cs="方正宋体S-超大字符集"/>
                <w:kern w:val="0"/>
                <w:sz w:val="20"/>
                <w:szCs w:val="21"/>
              </w:rPr>
              <w:t xml:space="preserve">  2.86 Mg/L，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ascii="方正宋体S-超大字符集" w:hAnsi="方正宋体S-超大字符集" w:eastAsia="方正宋体S-超大字符集" w:cs="方正宋体S-超大字符集"/>
                <w:kern w:val="0"/>
                <w:sz w:val="20"/>
                <w:szCs w:val="21"/>
              </w:rPr>
              <w:t>MnSO</w:t>
            </w:r>
            <w:r>
              <w:rPr>
                <w:rFonts w:ascii="方正宋体S-超大字符集" w:hAnsi="方正宋体S-超大字符集" w:eastAsia="方正宋体S-超大字符集" w:cs="方正宋体S-超大字符集"/>
                <w:kern w:val="0"/>
                <w:sz w:val="20"/>
                <w:szCs w:val="21"/>
                <w:vertAlign w:val="subscript"/>
              </w:rPr>
              <w:t>4</w:t>
            </w:r>
            <w:r>
              <w:rPr>
                <w:rFonts w:ascii="方正宋体S-超大字符集" w:hAnsi="方正宋体S-超大字符集" w:eastAsia="方正宋体S-超大字符集" w:cs="方正宋体S-超大字符集"/>
                <w:kern w:val="0"/>
                <w:sz w:val="20"/>
                <w:szCs w:val="21"/>
              </w:rPr>
              <w:t>·4H</w:t>
            </w:r>
            <w:r>
              <w:rPr>
                <w:rFonts w:ascii="Cambria Math" w:hAnsi="Cambria Math" w:eastAsia="方正宋体S-超大字符集" w:cs="Cambria Math"/>
                <w:kern w:val="0"/>
                <w:sz w:val="20"/>
                <w:szCs w:val="21"/>
              </w:rPr>
              <w:t>₂</w:t>
            </w:r>
            <w:r>
              <w:rPr>
                <w:rFonts w:ascii="方正宋体S-超大字符集" w:hAnsi="方正宋体S-超大字符集" w:eastAsia="方正宋体S-超大字符集" w:cs="方正宋体S-超大字符集"/>
                <w:kern w:val="0"/>
                <w:sz w:val="20"/>
                <w:szCs w:val="21"/>
              </w:rPr>
              <w:t>O</w:t>
            </w:r>
            <w:r>
              <w:rPr>
                <w:rFonts w:hint="eastAsia" w:ascii="方正宋体S-超大字符集" w:hAnsi="方正宋体S-超大字符集" w:eastAsia="方正宋体S-超大字符集" w:cs="方正宋体S-超大字符集"/>
                <w:kern w:val="0"/>
                <w:sz w:val="20"/>
                <w:szCs w:val="21"/>
              </w:rPr>
              <w:t xml:space="preserve">  2.13 Mg/L，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ascii="方正宋体S-超大字符集" w:hAnsi="方正宋体S-超大字符集" w:eastAsia="方正宋体S-超大字符集" w:cs="方正宋体S-超大字符集"/>
                <w:kern w:val="0"/>
                <w:sz w:val="20"/>
                <w:szCs w:val="21"/>
              </w:rPr>
              <w:t>ZnSO</w:t>
            </w:r>
            <w:r>
              <w:rPr>
                <w:rFonts w:ascii="Cambria Math" w:hAnsi="Cambria Math" w:eastAsia="方正宋体S-超大字符集" w:cs="Cambria Math"/>
                <w:kern w:val="0"/>
                <w:sz w:val="20"/>
                <w:szCs w:val="21"/>
              </w:rPr>
              <w:t>₄</w:t>
            </w:r>
            <w:r>
              <w:rPr>
                <w:rFonts w:hint="eastAsia" w:ascii="微软雅黑" w:hAnsi="微软雅黑" w:eastAsia="微软雅黑" w:cs="微软雅黑"/>
                <w:kern w:val="0"/>
                <w:sz w:val="20"/>
                <w:szCs w:val="21"/>
              </w:rPr>
              <w:t>·</w:t>
            </w:r>
            <w:r>
              <w:rPr>
                <w:rFonts w:ascii="方正宋体S-超大字符集" w:hAnsi="方正宋体S-超大字符集" w:eastAsia="方正宋体S-超大字符集" w:cs="方正宋体S-超大字符集"/>
                <w:kern w:val="0"/>
                <w:sz w:val="20"/>
                <w:szCs w:val="21"/>
              </w:rPr>
              <w:t>7H</w:t>
            </w:r>
            <w:r>
              <w:rPr>
                <w:rFonts w:ascii="Cambria Math" w:hAnsi="Cambria Math" w:eastAsia="方正宋体S-超大字符集" w:cs="Cambria Math"/>
                <w:kern w:val="0"/>
                <w:sz w:val="20"/>
                <w:szCs w:val="21"/>
              </w:rPr>
              <w:t>₂</w:t>
            </w:r>
            <w:r>
              <w:rPr>
                <w:rFonts w:ascii="方正宋体S-超大字符集" w:hAnsi="方正宋体S-超大字符集" w:eastAsia="方正宋体S-超大字符集" w:cs="方正宋体S-超大字符集"/>
                <w:kern w:val="0"/>
                <w:sz w:val="20"/>
                <w:szCs w:val="21"/>
              </w:rPr>
              <w:t>O</w:t>
            </w:r>
            <w:r>
              <w:rPr>
                <w:rFonts w:hint="eastAsia" w:ascii="方正宋体S-超大字符集" w:hAnsi="方正宋体S-超大字符集" w:eastAsia="方正宋体S-超大字符集" w:cs="方正宋体S-超大字符集"/>
                <w:kern w:val="0"/>
                <w:sz w:val="20"/>
                <w:szCs w:val="21"/>
              </w:rPr>
              <w:t xml:space="preserve">  0.22 Mg/L，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ascii="方正宋体S-超大字符集" w:hAnsi="方正宋体S-超大字符集" w:eastAsia="方正宋体S-超大字符集" w:cs="方正宋体S-超大字符集"/>
                <w:kern w:val="0"/>
                <w:sz w:val="20"/>
                <w:szCs w:val="21"/>
              </w:rPr>
              <w:t>CuSO</w:t>
            </w:r>
            <w:r>
              <w:rPr>
                <w:rFonts w:ascii="Cambria Math" w:hAnsi="Cambria Math" w:eastAsia="方正宋体S-超大字符集" w:cs="Cambria Math"/>
                <w:kern w:val="0"/>
                <w:sz w:val="20"/>
                <w:szCs w:val="21"/>
              </w:rPr>
              <w:t>₄</w:t>
            </w:r>
            <w:r>
              <w:rPr>
                <w:rFonts w:hint="eastAsia" w:ascii="微软雅黑" w:hAnsi="微软雅黑" w:eastAsia="微软雅黑" w:cs="微软雅黑"/>
                <w:kern w:val="0"/>
                <w:sz w:val="20"/>
                <w:szCs w:val="21"/>
              </w:rPr>
              <w:t>·</w:t>
            </w:r>
            <w:r>
              <w:rPr>
                <w:rFonts w:ascii="方正宋体S-超大字符集" w:hAnsi="方正宋体S-超大字符集" w:eastAsia="方正宋体S-超大字符集" w:cs="方正宋体S-超大字符集"/>
                <w:kern w:val="0"/>
                <w:sz w:val="20"/>
                <w:szCs w:val="21"/>
              </w:rPr>
              <w:t>5H</w:t>
            </w:r>
            <w:r>
              <w:rPr>
                <w:rFonts w:ascii="Cambria Math" w:hAnsi="Cambria Math" w:eastAsia="方正宋体S-超大字符集" w:cs="Cambria Math"/>
                <w:kern w:val="0"/>
                <w:sz w:val="20"/>
                <w:szCs w:val="21"/>
              </w:rPr>
              <w:t>₂</w:t>
            </w:r>
            <w:r>
              <w:rPr>
                <w:rFonts w:ascii="方正宋体S-超大字符集" w:hAnsi="方正宋体S-超大字符集" w:eastAsia="方正宋体S-超大字符集" w:cs="方正宋体S-超大字符集"/>
                <w:kern w:val="0"/>
                <w:sz w:val="20"/>
                <w:szCs w:val="21"/>
              </w:rPr>
              <w:t>O</w:t>
            </w:r>
            <w:r>
              <w:rPr>
                <w:rFonts w:hint="eastAsia" w:ascii="方正宋体S-超大字符集" w:hAnsi="方正宋体S-超大字符集" w:eastAsia="方正宋体S-超大字符集" w:cs="方正宋体S-超大字符集"/>
                <w:kern w:val="0"/>
                <w:sz w:val="20"/>
                <w:szCs w:val="21"/>
              </w:rPr>
              <w:t xml:space="preserve">  0.08 Mg/L，</w:t>
            </w:r>
          </w:p>
          <w:p>
            <w:pPr>
              <w:widowControl/>
              <w:ind w:firstLine="420"/>
              <w:jc w:val="left"/>
              <w:rPr>
                <w:rFonts w:hint="eastAsia" w:ascii="方正宋体S-超大字符集" w:hAnsi="方正宋体S-超大字符集" w:eastAsia="方正宋体S-超大字符集" w:cs="方正宋体S-超大字符集"/>
                <w:kern w:val="0"/>
                <w:sz w:val="20"/>
                <w:szCs w:val="21"/>
              </w:rPr>
            </w:pPr>
            <w:r>
              <w:rPr>
                <w:rFonts w:hint="eastAsia" w:ascii="方正宋体S-超大字符集" w:hAnsi="方正宋体S-超大字符集" w:eastAsia="方正宋体S-超大字符集" w:cs="方正宋体S-超大字符集"/>
                <w:kern w:val="0"/>
                <w:sz w:val="20"/>
                <w:szCs w:val="21"/>
              </w:rPr>
              <w:t>(NH</w:t>
            </w:r>
            <w:r>
              <w:rPr>
                <w:rFonts w:hint="eastAsia" w:ascii="方正宋体S-超大字符集" w:hAnsi="方正宋体S-超大字符集" w:eastAsia="方正宋体S-超大字符集" w:cs="方正宋体S-超大字符集"/>
                <w:kern w:val="0"/>
                <w:sz w:val="20"/>
                <w:szCs w:val="21"/>
                <w:vertAlign w:val="subscript"/>
              </w:rPr>
              <w:t>4</w:t>
            </w:r>
            <w:r>
              <w:rPr>
                <w:rFonts w:hint="eastAsia" w:ascii="方正宋体S-超大字符集" w:hAnsi="方正宋体S-超大字符集" w:eastAsia="方正宋体S-超大字符集" w:cs="方正宋体S-超大字符集"/>
                <w:kern w:val="0"/>
                <w:sz w:val="20"/>
                <w:szCs w:val="21"/>
              </w:rPr>
              <w:t>)</w:t>
            </w:r>
            <w:r>
              <w:rPr>
                <w:rFonts w:hint="eastAsia" w:ascii="方正宋体S-超大字符集" w:hAnsi="方正宋体S-超大字符集" w:eastAsia="方正宋体S-超大字符集" w:cs="方正宋体S-超大字符集"/>
                <w:kern w:val="0"/>
                <w:sz w:val="20"/>
                <w:szCs w:val="21"/>
                <w:vertAlign w:val="subscript"/>
              </w:rPr>
              <w:t>6</w:t>
            </w:r>
            <w:r>
              <w:rPr>
                <w:rFonts w:hint="eastAsia" w:ascii="方正宋体S-超大字符集" w:hAnsi="方正宋体S-超大字符集" w:eastAsia="方正宋体S-超大字符集" w:cs="方正宋体S-超大字符集"/>
                <w:kern w:val="0"/>
                <w:sz w:val="20"/>
                <w:szCs w:val="21"/>
              </w:rPr>
              <w:t>Mo</w:t>
            </w:r>
            <w:r>
              <w:rPr>
                <w:rFonts w:hint="eastAsia" w:ascii="方正宋体S-超大字符集" w:hAnsi="方正宋体S-超大字符集" w:eastAsia="方正宋体S-超大字符集" w:cs="方正宋体S-超大字符集"/>
                <w:kern w:val="0"/>
                <w:sz w:val="20"/>
                <w:szCs w:val="21"/>
                <w:vertAlign w:val="subscript"/>
              </w:rPr>
              <w:t>7</w:t>
            </w:r>
            <w:r>
              <w:rPr>
                <w:rFonts w:hint="eastAsia" w:ascii="方正宋体S-超大字符集" w:hAnsi="方正宋体S-超大字符集" w:eastAsia="方正宋体S-超大字符集" w:cs="方正宋体S-超大字符集"/>
                <w:kern w:val="0"/>
                <w:sz w:val="20"/>
                <w:szCs w:val="21"/>
              </w:rPr>
              <w:t>O</w:t>
            </w:r>
            <w:r>
              <w:rPr>
                <w:rFonts w:hint="eastAsia" w:ascii="方正宋体S-超大字符集" w:hAnsi="方正宋体S-超大字符集" w:eastAsia="方正宋体S-超大字符集" w:cs="方正宋体S-超大字符集"/>
                <w:kern w:val="0"/>
                <w:sz w:val="20"/>
                <w:szCs w:val="21"/>
                <w:vertAlign w:val="subscript"/>
              </w:rPr>
              <w:t>24</w:t>
            </w:r>
            <w:r>
              <w:rPr>
                <w:rFonts w:hint="eastAsia" w:ascii="方正宋体S-超大字符集" w:hAnsi="方正宋体S-超大字符集" w:eastAsia="方正宋体S-超大字符集" w:cs="方正宋体S-超大字符集"/>
                <w:kern w:val="0"/>
                <w:sz w:val="20"/>
                <w:szCs w:val="21"/>
              </w:rPr>
              <w:t>·4H</w:t>
            </w:r>
            <w:r>
              <w:rPr>
                <w:rFonts w:hint="eastAsia" w:ascii="方正宋体S-超大字符集" w:hAnsi="方正宋体S-超大字符集" w:eastAsia="方正宋体S-超大字符集" w:cs="方正宋体S-超大字符集"/>
                <w:kern w:val="0"/>
                <w:sz w:val="20"/>
                <w:szCs w:val="21"/>
                <w:vertAlign w:val="subscript"/>
              </w:rPr>
              <w:t>2</w:t>
            </w:r>
            <w:r>
              <w:rPr>
                <w:rFonts w:hint="eastAsia" w:ascii="方正宋体S-超大字符集" w:hAnsi="方正宋体S-超大字符集" w:eastAsia="方正宋体S-超大字符集" w:cs="方正宋体S-超大字符集"/>
                <w:kern w:val="0"/>
                <w:sz w:val="20"/>
                <w:szCs w:val="21"/>
              </w:rPr>
              <w:t>O  0.02 Mg/L。</w:t>
            </w:r>
          </w:p>
          <w:p>
            <w:pPr>
              <w:widowControl/>
              <w:jc w:val="left"/>
              <w:rPr>
                <w:rFonts w:hint="eastAsia" w:ascii="方正宋体S-超大字符集" w:hAnsi="方正宋体S-超大字符集" w:eastAsia="方正宋体S-超大字符集" w:cs="方正宋体S-超大字符集"/>
                <w:kern w:val="0"/>
                <w:sz w:val="20"/>
                <w:szCs w:val="21"/>
              </w:rPr>
            </w:pPr>
          </w:p>
        </w:tc>
      </w:tr>
    </w:tbl>
    <w:p>
      <w:pPr>
        <w:widowControl/>
        <w:ind w:firstLine="420"/>
        <w:jc w:val="left"/>
        <w:rPr>
          <w:rFonts w:hint="eastAsia"/>
        </w:rPr>
      </w:pPr>
      <w:r>
        <w:rPr>
          <w:rFonts w:hint="eastAsia" w:ascii="Times New Roman" w:hAnsi="Times New Roman" w:eastAsia="宋体" w:cs="Times New Roman"/>
          <w:szCs w:val="21"/>
        </w:rPr>
        <w:t>备注：生产期间也可以施用乌金绿、扶它旺、鱼蛋白、黄腐酸微量元素以及叶面肥。</w:t>
      </w:r>
    </w:p>
    <w:p>
      <w:pPr>
        <w:pStyle w:val="29"/>
        <w:ind w:firstLine="0" w:firstLineChars="0"/>
        <w:jc w:val="center"/>
      </w:pPr>
      <w:bookmarkStart w:id="23" w:name="BookMark8"/>
      <w:r>
        <w:rPr>
          <w:rFonts w:hint="eastAsia"/>
        </w:rPr>
        <w:drawing>
          <wp:inline distT="0" distB="0" distL="0" distR="0">
            <wp:extent cx="1485900" cy="317500"/>
            <wp:effectExtent l="0" t="0" r="0" b="6350"/>
            <wp:docPr id="1621992967" name="图片 3"/>
            <wp:cNvGraphicFramePr/>
            <a:graphic xmlns:a="http://schemas.openxmlformats.org/drawingml/2006/main">
              <a:graphicData uri="http://schemas.openxmlformats.org/drawingml/2006/picture">
                <pic:pic xmlns:pic="http://schemas.openxmlformats.org/drawingml/2006/picture">
                  <pic:nvPicPr>
                    <pic:cNvPr id="1621992967" name="图片 3"/>
                    <pic:cNvPicPr/>
                  </pic:nvPicPr>
                  <pic:blipFill>
                    <a:blip r:embed="rId12">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23"/>
    </w:p>
    <w:p>
      <w:pPr>
        <w:rPr>
          <w:rFonts w:hint="eastAsia"/>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Cambria Math">
    <w:altName w:val="DejaVu Math TeX Gyre"/>
    <w:panose1 w:val="02040503050406030204"/>
    <w:charset w:val="00"/>
    <w:family w:val="roman"/>
    <w:pitch w:val="default"/>
    <w:sig w:usb0="00000000" w:usb1="00000000" w:usb2="02000000" w:usb3="00000000" w:csb0="2000019F" w:csb1="00000000"/>
  </w:font>
  <w:font w:name="微软雅黑">
    <w:altName w:val="方正黑体_GBK"/>
    <w:panose1 w:val="020B0503020204020204"/>
    <w:charset w:val="86"/>
    <w:family w:val="swiss"/>
    <w:pitch w:val="default"/>
    <w:sig w:usb0="00000000" w:usb1="00000000" w:usb2="00000016" w:usb3="00000000" w:csb0="0004001F" w:csb1="00000000"/>
  </w:font>
  <w:font w:name="URW Bookman">
    <w:panose1 w:val="00000400000000000000"/>
    <w:charset w:val="00"/>
    <w:family w:val="auto"/>
    <w:pitch w:val="default"/>
    <w:sig w:usb0="00000287" w:usb1="00000800" w:usb2="00000000" w:usb3="00000000" w:csb0="6000009F"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DejaVu Math TeX Gyre">
    <w:panose1 w:val="02000503000000000000"/>
    <w:charset w:val="00"/>
    <w:family w:val="auto"/>
    <w:pitch w:val="default"/>
    <w:sig w:usb0="A10000EF" w:usb1="4201F9EE" w:usb2="02000000" w:usb3="00000000" w:csb0="60000193" w:csb1="0DD40000"/>
  </w:font>
  <w:font w:name="Standard Symbols PS">
    <w:panose1 w:val="05050102010706020507"/>
    <w:charset w:val="00"/>
    <w:family w:val="auto"/>
    <w:pitch w:val="default"/>
    <w:sig w:usb0="00000003" w:usb1="00000000" w:usb2="00000000" w:usb3="00000000" w:csb0="00000001" w:csb1="00000000"/>
  </w:font>
  <w:font w:name="汉仪仿宋S">
    <w:panose1 w:val="00020600040101000101"/>
    <w:charset w:val="86"/>
    <w:family w:val="auto"/>
    <w:pitch w:val="default"/>
    <w:sig w:usb0="A00002BF" w:usb1="38CF7CFA" w:usb2="00000016" w:usb3="00000000" w:csb0="0004009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rStyle w:val="8"/>
      </w:rPr>
    </w:pPr>
    <w:r>
      <w:fldChar w:fldCharType="begin"/>
    </w:r>
    <w:r>
      <w:rPr>
        <w:rStyle w:val="8"/>
      </w:rPr>
      <w:instrText xml:space="preserve">PAGE  </w:instrText>
    </w:r>
    <w:r>
      <w:fldChar w:fldCharType="separate"/>
    </w:r>
    <w:r>
      <w:rPr>
        <w:rStyle w:val="8"/>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Style w:val="8"/>
      </w:rPr>
    </w:pPr>
    <w:r>
      <w:fldChar w:fldCharType="begin"/>
    </w:r>
    <w:r>
      <w:rPr>
        <w:rStyle w:val="8"/>
      </w:rPr>
      <w:instrText xml:space="preserve">PAGE  </w:instrText>
    </w:r>
    <w:r>
      <w:fldChar w:fldCharType="separate"/>
    </w:r>
    <w:r>
      <w:rPr>
        <w:rStyle w:val="8"/>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eastAsia"/>
      </w:rPr>
    </w:pPr>
    <w:r>
      <w:t>DB34/T ××××—20</w:t>
    </w:r>
    <w:r>
      <w:rPr>
        <w:rFonts w:hint="eastAsia"/>
      </w:rPr>
      <w:t>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lear" w:pos="4154"/>
        <w:tab w:val="clear" w:pos="8306"/>
      </w:tabs>
      <w:rPr>
        <w:rFonts w:hint="eastAsia"/>
      </w:rPr>
    </w:pPr>
    <w:r>
      <w:t>DB34/T ××××—2011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hint="eastAsia"/>
      </w:rP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36"/>
      <w:suff w:val="nothing"/>
      <w:lvlText w:val="%1"/>
      <w:lvlJc w:val="left"/>
      <w:pPr>
        <w:ind w:left="0" w:firstLine="0"/>
      </w:pPr>
      <w:rPr>
        <w:rFonts w:hint="eastAsia"/>
      </w:rPr>
    </w:lvl>
    <w:lvl w:ilvl="1" w:tentative="0">
      <w:start w:val="1"/>
      <w:numFmt w:val="decimal"/>
      <w:pStyle w:val="34"/>
      <w:suff w:val="nothing"/>
      <w:lvlText w:val="%1%2　"/>
      <w:lvlJc w:val="left"/>
      <w:pPr>
        <w:ind w:left="0" w:firstLine="0"/>
      </w:pPr>
      <w:rPr>
        <w:rFonts w:hint="eastAsia" w:ascii="黑体" w:eastAsia="黑体"/>
        <w:b w:val="0"/>
        <w:i w:val="0"/>
        <w:sz w:val="21"/>
      </w:rPr>
    </w:lvl>
    <w:lvl w:ilvl="2" w:tentative="0">
      <w:start w:val="1"/>
      <w:numFmt w:val="decimal"/>
      <w:pStyle w:val="3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30"/>
      <w:suff w:val="nothing"/>
      <w:lvlText w:val="%1%2.%3.%4　"/>
      <w:lvlJc w:val="left"/>
      <w:pPr>
        <w:ind w:left="0" w:firstLine="0"/>
      </w:pPr>
      <w:rPr>
        <w:rFonts w:hint="eastAsia" w:ascii="黑体" w:eastAsia="黑体"/>
        <w:b w:val="0"/>
        <w:i w:val="0"/>
        <w:sz w:val="21"/>
      </w:rPr>
    </w:lvl>
    <w:lvl w:ilvl="4" w:tentative="0">
      <w:start w:val="1"/>
      <w:numFmt w:val="decimal"/>
      <w:pStyle w:val="31"/>
      <w:suff w:val="nothing"/>
      <w:lvlText w:val="%1%2.%3.%4.%5　"/>
      <w:lvlJc w:val="left"/>
      <w:pPr>
        <w:ind w:left="0" w:firstLine="0"/>
      </w:pPr>
      <w:rPr>
        <w:rFonts w:hint="eastAsia" w:ascii="黑体" w:eastAsia="黑体"/>
        <w:b w:val="0"/>
        <w:i w:val="0"/>
        <w:sz w:val="21"/>
      </w:rPr>
    </w:lvl>
    <w:lvl w:ilvl="5" w:tentative="0">
      <w:start w:val="1"/>
      <w:numFmt w:val="decimal"/>
      <w:pStyle w:val="32"/>
      <w:suff w:val="nothing"/>
      <w:lvlText w:val="%1%2.%3.%4.%5.%6　"/>
      <w:lvlJc w:val="left"/>
      <w:pPr>
        <w:ind w:left="0" w:firstLine="0"/>
      </w:pPr>
      <w:rPr>
        <w:rFonts w:hint="eastAsia" w:ascii="黑体" w:eastAsia="黑体"/>
        <w:b w:val="0"/>
        <w:i w:val="0"/>
        <w:sz w:val="21"/>
      </w:rPr>
    </w:lvl>
    <w:lvl w:ilvl="6" w:tentative="0">
      <w:start w:val="1"/>
      <w:numFmt w:val="decimal"/>
      <w:pStyle w:val="3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5E2"/>
    <w:rsid w:val="000A6DD0"/>
    <w:rsid w:val="002345E2"/>
    <w:rsid w:val="003F0472"/>
    <w:rsid w:val="00623D52"/>
    <w:rsid w:val="006673B6"/>
    <w:rsid w:val="00704C3B"/>
    <w:rsid w:val="00773722"/>
    <w:rsid w:val="007767B6"/>
    <w:rsid w:val="007B4CF8"/>
    <w:rsid w:val="00B25411"/>
    <w:rsid w:val="00B977A2"/>
    <w:rsid w:val="00EC2805"/>
    <w:rsid w:val="00EC71F3"/>
    <w:rsid w:val="00F45788"/>
    <w:rsid w:val="3BE6AFE5"/>
    <w:rsid w:val="446E7524"/>
    <w:rsid w:val="51FFC220"/>
    <w:rsid w:val="55F5912D"/>
    <w:rsid w:val="57BBAD2A"/>
    <w:rsid w:val="673F54F0"/>
    <w:rsid w:val="6A6A8B1B"/>
    <w:rsid w:val="6DD61804"/>
    <w:rsid w:val="A5FF94D5"/>
    <w:rsid w:val="BCFF0B70"/>
    <w:rsid w:val="BDD90A28"/>
    <w:rsid w:val="D3FF1751"/>
    <w:rsid w:val="DFBC4603"/>
    <w:rsid w:val="DFEF127F"/>
    <w:rsid w:val="E8DB04A1"/>
    <w:rsid w:val="EADDAEA1"/>
    <w:rsid w:val="FD6F091F"/>
    <w:rsid w:val="FDFFB529"/>
    <w:rsid w:val="FF3F463F"/>
    <w:rsid w:val="FF7CA79D"/>
    <w:rsid w:val="FFEDB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等线" w:hAnsi="等线" w:eastAsia="等线" w:cs="等线"/>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40"/>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tabs>
        <w:tab w:val="center" w:pos="4153"/>
        <w:tab w:val="right" w:pos="8306"/>
      </w:tabs>
      <w:snapToGrid w:val="0"/>
      <w:jc w:val="center"/>
    </w:pPr>
    <w:rPr>
      <w:sz w:val="18"/>
      <w:szCs w:val="18"/>
    </w:rPr>
  </w:style>
  <w:style w:type="table" w:styleId="6">
    <w:name w:val="Table Grid"/>
    <w:basedOn w:val="5"/>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rPr>
      <w:rFonts w:ascii="Times New Roman" w:hAnsi="Times New Roman" w:eastAsia="宋体"/>
      <w:sz w:val="18"/>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发布"/>
    <w:qFormat/>
    <w:uiPriority w:val="0"/>
    <w:rPr>
      <w:rFonts w:ascii="黑体" w:eastAsia="黑体"/>
      <w:spacing w:val="22"/>
      <w:w w:val="100"/>
      <w:position w:val="3"/>
      <w:sz w:val="28"/>
    </w:rPr>
  </w:style>
  <w:style w:type="paragraph" w:customStyle="1" w:styleId="12">
    <w:name w:val="标准标志"/>
    <w:next w:val="1"/>
    <w:qFormat/>
    <w:uiPriority w:val="0"/>
    <w:pPr>
      <w:shd w:val="solid" w:color="FFFFFF" w:fill="FFFFFF"/>
      <w:spacing w:after="160" w:line="0" w:lineRule="atLeast"/>
      <w:jc w:val="right"/>
    </w:pPr>
    <w:rPr>
      <w:rFonts w:ascii="等线" w:hAnsi="等线" w:eastAsia="等线" w:cs="等线"/>
      <w:b/>
      <w:w w:val="130"/>
      <w:sz w:val="96"/>
      <w:lang w:val="en-US" w:eastAsia="zh-CN" w:bidi="ar-SA"/>
    </w:rPr>
  </w:style>
  <w:style w:type="paragraph" w:customStyle="1" w:styleId="13">
    <w:name w:val="封面一致性程度标识"/>
    <w:qFormat/>
    <w:uiPriority w:val="0"/>
    <w:pPr>
      <w:spacing w:before="440" w:after="160" w:line="400" w:lineRule="exact"/>
      <w:jc w:val="center"/>
    </w:pPr>
    <w:rPr>
      <w:rFonts w:ascii="宋体" w:hAnsi="等线" w:eastAsia="等线" w:cs="等线"/>
      <w:sz w:val="28"/>
      <w:lang w:val="en-US" w:eastAsia="zh-CN" w:bidi="ar-SA"/>
    </w:rPr>
  </w:style>
  <w:style w:type="paragraph" w:customStyle="1" w:styleId="14">
    <w:name w:val="实施日期"/>
    <w:basedOn w:val="15"/>
    <w:qFormat/>
    <w:uiPriority w:val="0"/>
    <w:pPr>
      <w:jc w:val="right"/>
    </w:pPr>
  </w:style>
  <w:style w:type="paragraph" w:customStyle="1" w:styleId="15">
    <w:name w:val="发布日期"/>
    <w:qFormat/>
    <w:uiPriority w:val="0"/>
    <w:pPr>
      <w:spacing w:after="160" w:line="278" w:lineRule="auto"/>
    </w:pPr>
    <w:rPr>
      <w:rFonts w:ascii="等线" w:hAnsi="等线" w:eastAsia="黑体" w:cs="等线"/>
      <w:sz w:val="28"/>
      <w:lang w:val="en-US" w:eastAsia="zh-CN" w:bidi="ar-SA"/>
    </w:rPr>
  </w:style>
  <w:style w:type="paragraph" w:customStyle="1" w:styleId="16">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7">
    <w:name w:val="封面标准文稿编辑信息"/>
    <w:qFormat/>
    <w:uiPriority w:val="0"/>
    <w:pPr>
      <w:spacing w:before="180" w:after="160" w:line="180" w:lineRule="exact"/>
      <w:jc w:val="center"/>
    </w:pPr>
    <w:rPr>
      <w:rFonts w:ascii="宋体" w:hAnsi="等线" w:eastAsia="等线" w:cs="等线"/>
      <w:sz w:val="21"/>
      <w:lang w:val="en-US" w:eastAsia="zh-CN" w:bidi="ar-SA"/>
    </w:rPr>
  </w:style>
  <w:style w:type="paragraph" w:customStyle="1" w:styleId="18">
    <w:name w:val="封面标准名称"/>
    <w:qFormat/>
    <w:uiPriority w:val="0"/>
    <w:pPr>
      <w:widowControl w:val="0"/>
      <w:spacing w:after="160" w:line="680" w:lineRule="exact"/>
      <w:jc w:val="center"/>
      <w:textAlignment w:val="center"/>
    </w:pPr>
    <w:rPr>
      <w:rFonts w:ascii="黑体" w:hAnsi="等线" w:eastAsia="黑体" w:cs="等线"/>
      <w:sz w:val="52"/>
      <w:lang w:val="en-US" w:eastAsia="zh-CN" w:bidi="ar-SA"/>
    </w:rPr>
  </w:style>
  <w:style w:type="paragraph" w:customStyle="1" w:styleId="19">
    <w:name w:val="标准书眉_奇数页"/>
    <w:next w:val="1"/>
    <w:qFormat/>
    <w:uiPriority w:val="0"/>
    <w:pPr>
      <w:tabs>
        <w:tab w:val="center" w:pos="4154"/>
        <w:tab w:val="right" w:pos="8306"/>
      </w:tabs>
      <w:spacing w:after="120" w:line="278" w:lineRule="auto"/>
      <w:jc w:val="right"/>
    </w:pPr>
    <w:rPr>
      <w:rFonts w:ascii="等线" w:hAnsi="等线" w:eastAsia="等线" w:cs="等线"/>
      <w:sz w:val="21"/>
      <w:lang w:val="en-US" w:eastAsia="zh-CN" w:bidi="ar-SA"/>
    </w:rPr>
  </w:style>
  <w:style w:type="paragraph" w:customStyle="1" w:styleId="20">
    <w:name w:val="标准书眉一"/>
    <w:qFormat/>
    <w:uiPriority w:val="0"/>
    <w:pPr>
      <w:spacing w:after="160" w:line="278" w:lineRule="auto"/>
      <w:jc w:val="both"/>
    </w:pPr>
    <w:rPr>
      <w:rFonts w:ascii="等线" w:hAnsi="等线" w:eastAsia="等线" w:cs="等线"/>
      <w:lang w:val="en-US" w:eastAsia="zh-CN" w:bidi="ar-SA"/>
    </w:rPr>
  </w:style>
  <w:style w:type="paragraph" w:customStyle="1" w:styleId="21">
    <w:name w:val="封面标准号1"/>
    <w:qFormat/>
    <w:uiPriority w:val="0"/>
    <w:pPr>
      <w:widowControl w:val="0"/>
      <w:kinsoku w:val="0"/>
      <w:overflowPunct w:val="0"/>
      <w:autoSpaceDE w:val="0"/>
      <w:autoSpaceDN w:val="0"/>
      <w:spacing w:before="308" w:after="160" w:line="278" w:lineRule="auto"/>
      <w:jc w:val="right"/>
      <w:textAlignment w:val="center"/>
    </w:pPr>
    <w:rPr>
      <w:rFonts w:ascii="等线" w:hAnsi="等线" w:eastAsia="等线" w:cs="等线"/>
      <w:sz w:val="28"/>
      <w:lang w:val="en-US" w:eastAsia="zh-CN" w:bidi="ar-SA"/>
    </w:rPr>
  </w:style>
  <w:style w:type="paragraph" w:customStyle="1" w:styleId="22">
    <w:name w:val="标准书眉_偶数页"/>
    <w:basedOn w:val="19"/>
    <w:next w:val="1"/>
    <w:qFormat/>
    <w:uiPriority w:val="0"/>
    <w:pPr>
      <w:jc w:val="left"/>
    </w:pPr>
  </w:style>
  <w:style w:type="paragraph" w:customStyle="1" w:styleId="23">
    <w:name w:val="封面正文"/>
    <w:qFormat/>
    <w:uiPriority w:val="0"/>
    <w:pPr>
      <w:spacing w:after="160" w:line="278" w:lineRule="auto"/>
      <w:jc w:val="both"/>
    </w:pPr>
    <w:rPr>
      <w:rFonts w:ascii="等线" w:hAnsi="等线" w:eastAsia="等线" w:cs="等线"/>
      <w:lang w:val="en-US" w:eastAsia="zh-CN" w:bidi="ar-SA"/>
    </w:rPr>
  </w:style>
  <w:style w:type="paragraph" w:customStyle="1" w:styleId="24">
    <w:name w:val="文献分类号"/>
    <w:qFormat/>
    <w:uiPriority w:val="0"/>
    <w:pPr>
      <w:widowControl w:val="0"/>
      <w:spacing w:after="160" w:line="278" w:lineRule="auto"/>
      <w:textAlignment w:val="center"/>
    </w:pPr>
    <w:rPr>
      <w:rFonts w:ascii="等线" w:hAnsi="等线" w:eastAsia="黑体" w:cs="等线"/>
      <w:sz w:val="21"/>
      <w:lang w:val="en-US" w:eastAsia="zh-CN" w:bidi="ar-SA"/>
    </w:rPr>
  </w:style>
  <w:style w:type="paragraph" w:customStyle="1" w:styleId="25">
    <w:name w:val="其他标准称谓"/>
    <w:qFormat/>
    <w:uiPriority w:val="0"/>
    <w:pPr>
      <w:spacing w:after="160" w:line="0" w:lineRule="atLeast"/>
      <w:jc w:val="distribute"/>
    </w:pPr>
    <w:rPr>
      <w:rFonts w:ascii="黑体" w:hAnsi="宋体" w:eastAsia="黑体" w:cs="等线"/>
      <w:sz w:val="52"/>
      <w:lang w:val="en-US" w:eastAsia="zh-CN" w:bidi="ar-SA"/>
    </w:rPr>
  </w:style>
  <w:style w:type="paragraph" w:customStyle="1" w:styleId="26">
    <w:name w:val="标准书脚_奇数页"/>
    <w:qFormat/>
    <w:uiPriority w:val="0"/>
    <w:pPr>
      <w:spacing w:before="120" w:after="160" w:line="278" w:lineRule="auto"/>
      <w:jc w:val="right"/>
    </w:pPr>
    <w:rPr>
      <w:rFonts w:ascii="等线" w:hAnsi="等线" w:eastAsia="等线" w:cs="等线"/>
      <w:sz w:val="18"/>
      <w:lang w:val="en-US" w:eastAsia="zh-CN" w:bidi="ar-SA"/>
    </w:rPr>
  </w:style>
  <w:style w:type="paragraph" w:customStyle="1" w:styleId="27">
    <w:name w:val="标准书脚_偶数页"/>
    <w:qFormat/>
    <w:uiPriority w:val="0"/>
    <w:pPr>
      <w:spacing w:before="120" w:after="160" w:line="278" w:lineRule="auto"/>
    </w:pPr>
    <w:rPr>
      <w:rFonts w:ascii="等线" w:hAnsi="等线" w:eastAsia="等线" w:cs="等线"/>
      <w:sz w:val="18"/>
      <w:lang w:val="en-US" w:eastAsia="zh-CN" w:bidi="ar-SA"/>
    </w:rPr>
  </w:style>
  <w:style w:type="paragraph" w:customStyle="1" w:styleId="28">
    <w:name w:val="封面标准文稿类别"/>
    <w:qFormat/>
    <w:uiPriority w:val="0"/>
    <w:pPr>
      <w:spacing w:before="440" w:after="160" w:line="400" w:lineRule="exact"/>
      <w:jc w:val="center"/>
    </w:pPr>
    <w:rPr>
      <w:rFonts w:ascii="宋体" w:hAnsi="等线" w:eastAsia="等线" w:cs="等线"/>
      <w:sz w:val="24"/>
      <w:lang w:val="en-US" w:eastAsia="zh-CN" w:bidi="ar-SA"/>
    </w:rPr>
  </w:style>
  <w:style w:type="paragraph" w:customStyle="1" w:styleId="29">
    <w:name w:val="标准文件_段"/>
    <w:link w:val="38"/>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customStyle="1" w:styleId="30">
    <w:name w:val="标准文件_二级条标题"/>
    <w:next w:val="29"/>
    <w:qFormat/>
    <w:uiPriority w:val="0"/>
    <w:pPr>
      <w:widowControl w:val="0"/>
      <w:numPr>
        <w:ilvl w:val="3"/>
        <w:numId w:val="1"/>
      </w:numPr>
      <w:spacing w:before="50" w:beforeLines="50" w:after="50" w:afterLines="50" w:line="278" w:lineRule="auto"/>
      <w:jc w:val="both"/>
      <w:outlineLvl w:val="2"/>
    </w:pPr>
    <w:rPr>
      <w:rFonts w:ascii="黑体" w:hAnsi="Times New Roman" w:eastAsia="黑体" w:cs="Times New Roman"/>
      <w:sz w:val="21"/>
      <w:lang w:val="en-US" w:eastAsia="zh-CN" w:bidi="ar-SA"/>
    </w:rPr>
  </w:style>
  <w:style w:type="paragraph" w:customStyle="1" w:styleId="31">
    <w:name w:val="标准文件_三级条标题"/>
    <w:basedOn w:val="30"/>
    <w:next w:val="29"/>
    <w:qFormat/>
    <w:uiPriority w:val="0"/>
    <w:pPr>
      <w:widowControl/>
      <w:numPr>
        <w:ilvl w:val="4"/>
      </w:numPr>
      <w:outlineLvl w:val="3"/>
    </w:pPr>
  </w:style>
  <w:style w:type="paragraph" w:customStyle="1" w:styleId="32">
    <w:name w:val="标准文件_四级条标题"/>
    <w:next w:val="29"/>
    <w:qFormat/>
    <w:uiPriority w:val="0"/>
    <w:pPr>
      <w:widowControl w:val="0"/>
      <w:numPr>
        <w:ilvl w:val="5"/>
        <w:numId w:val="1"/>
      </w:numPr>
      <w:spacing w:before="50" w:beforeLines="50" w:after="50" w:afterLines="50" w:line="278" w:lineRule="auto"/>
      <w:jc w:val="both"/>
      <w:outlineLvl w:val="4"/>
    </w:pPr>
    <w:rPr>
      <w:rFonts w:ascii="黑体" w:hAnsi="Times New Roman" w:eastAsia="黑体" w:cs="Times New Roman"/>
      <w:sz w:val="21"/>
      <w:lang w:val="en-US" w:eastAsia="zh-CN" w:bidi="ar-SA"/>
    </w:rPr>
  </w:style>
  <w:style w:type="paragraph" w:customStyle="1" w:styleId="33">
    <w:name w:val="标准文件_五级条标题"/>
    <w:next w:val="29"/>
    <w:qFormat/>
    <w:uiPriority w:val="0"/>
    <w:pPr>
      <w:widowControl w:val="0"/>
      <w:numPr>
        <w:ilvl w:val="6"/>
        <w:numId w:val="1"/>
      </w:numPr>
      <w:spacing w:before="50" w:beforeLines="50" w:after="50" w:afterLines="50" w:line="278" w:lineRule="auto"/>
      <w:jc w:val="both"/>
      <w:outlineLvl w:val="5"/>
    </w:pPr>
    <w:rPr>
      <w:rFonts w:ascii="黑体" w:hAnsi="Times New Roman" w:eastAsia="黑体" w:cs="Times New Roman"/>
      <w:sz w:val="21"/>
      <w:lang w:val="en-US" w:eastAsia="zh-CN" w:bidi="ar-SA"/>
    </w:rPr>
  </w:style>
  <w:style w:type="paragraph" w:customStyle="1" w:styleId="34">
    <w:name w:val="标准文件_章标题"/>
    <w:next w:val="29"/>
    <w:link w:val="39"/>
    <w:qFormat/>
    <w:uiPriority w:val="0"/>
    <w:pPr>
      <w:numPr>
        <w:ilvl w:val="1"/>
        <w:numId w:val="1"/>
      </w:numPr>
      <w:spacing w:before="100" w:beforeLines="100" w:after="100" w:afterLines="100" w:line="278" w:lineRule="auto"/>
      <w:jc w:val="both"/>
      <w:outlineLvl w:val="0"/>
    </w:pPr>
    <w:rPr>
      <w:rFonts w:ascii="黑体" w:hAnsi="Times New Roman" w:eastAsia="黑体" w:cs="Times New Roman"/>
      <w:sz w:val="21"/>
      <w:lang w:val="en-US" w:eastAsia="zh-CN" w:bidi="ar-SA"/>
    </w:rPr>
  </w:style>
  <w:style w:type="paragraph" w:customStyle="1" w:styleId="35">
    <w:name w:val="标准文件_一级条标题"/>
    <w:basedOn w:val="34"/>
    <w:next w:val="29"/>
    <w:qFormat/>
    <w:uiPriority w:val="0"/>
    <w:pPr>
      <w:numPr>
        <w:ilvl w:val="2"/>
      </w:numPr>
      <w:tabs>
        <w:tab w:val="left" w:pos="360"/>
      </w:tabs>
      <w:spacing w:before="50" w:beforeLines="50" w:after="50" w:afterLines="50"/>
      <w:outlineLvl w:val="1"/>
    </w:pPr>
  </w:style>
  <w:style w:type="paragraph" w:customStyle="1" w:styleId="36">
    <w:name w:val="前言标题"/>
    <w:next w:val="1"/>
    <w:qFormat/>
    <w:uiPriority w:val="0"/>
    <w:pPr>
      <w:numPr>
        <w:ilvl w:val="0"/>
        <w:numId w:val="1"/>
      </w:num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3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character" w:customStyle="1" w:styleId="38">
    <w:name w:val="标准文件_段 Char"/>
    <w:link w:val="29"/>
    <w:qFormat/>
    <w:uiPriority w:val="0"/>
    <w:rPr>
      <w:rFonts w:ascii="宋体" w:hAnsi="Times New Roman" w:eastAsia="宋体" w:cs="Times New Roman"/>
      <w:kern w:val="0"/>
      <w:szCs w:val="20"/>
    </w:rPr>
  </w:style>
  <w:style w:type="character" w:customStyle="1" w:styleId="39">
    <w:name w:val="标准文件_章标题 字符"/>
    <w:basedOn w:val="7"/>
    <w:link w:val="34"/>
    <w:qFormat/>
    <w:uiPriority w:val="0"/>
    <w:rPr>
      <w:rFonts w:ascii="黑体" w:hAnsi="Times New Roman" w:eastAsia="黑体" w:cs="Times New Roman"/>
      <w:kern w:val="0"/>
      <w:szCs w:val="20"/>
    </w:rPr>
  </w:style>
  <w:style w:type="character" w:customStyle="1" w:styleId="40">
    <w:name w:val="批注文字 字符"/>
    <w:basedOn w:val="7"/>
    <w:link w:val="2"/>
    <w:semiHidden/>
    <w:qFormat/>
    <w:uiPriority w:val="99"/>
    <w:rPr>
      <w:rFonts w:ascii="等线" w:hAnsi="等线" w:eastAsia="等线" w:cs="等线"/>
      <w:szCs w:val="24"/>
    </w:rPr>
  </w:style>
  <w:style w:type="paragraph" w:customStyle="1" w:styleId="41">
    <w:name w:val="修订1"/>
    <w:hidden/>
    <w:semiHidden/>
    <w:qFormat/>
    <w:uiPriority w:val="99"/>
    <w:pPr>
      <w:spacing w:after="160" w:line="278" w:lineRule="auto"/>
    </w:pPr>
    <w:rPr>
      <w:rFonts w:ascii="等线" w:hAnsi="等线" w:eastAsia="等线" w:cs="等线"/>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5E0690331794D8F9560007F436D9C13"/>
        <w:style w:val=""/>
        <w:category>
          <w:name w:val="常规"/>
          <w:gallery w:val="placeholder"/>
        </w:category>
        <w:types>
          <w:type w:val="bbPlcHdr"/>
        </w:types>
        <w:behaviors>
          <w:behavior w:val="content"/>
        </w:behaviors>
        <w:description w:val=""/>
        <w:guid w:val="{C7814EA2-CBFB-447A-B988-D00A2E71A717}"/>
      </w:docPartPr>
      <w:docPartBody>
        <w:p>
          <w:pPr>
            <w:pStyle w:val="5"/>
            <w:rPr>
              <w:rFonts w:hint="eastAsia"/>
            </w:rPr>
          </w:pPr>
          <w:r>
            <w:rPr>
              <w:rStyle w:val="4"/>
              <w:rFonts w:hint="eastAsia"/>
            </w:rPr>
            <w:t>单击或点击此处输入文字。</w:t>
          </w:r>
        </w:p>
      </w:docPartBody>
    </w:docPart>
    <w:docPart>
      <w:docPartPr>
        <w:name w:val="9B03BF3A5A5941CC9D41945E78761D0A"/>
        <w:style w:val=""/>
        <w:category>
          <w:name w:val="常规"/>
          <w:gallery w:val="placeholder"/>
        </w:category>
        <w:types>
          <w:type w:val="bbPlcHdr"/>
        </w:types>
        <w:behaviors>
          <w:behavior w:val="content"/>
        </w:behaviors>
        <w:description w:val=""/>
        <w:guid w:val="{2BF2F9A6-8FA5-43CB-B5C0-931A708674EB}"/>
      </w:docPartPr>
      <w:docPartBody>
        <w:p>
          <w:pPr>
            <w:pStyle w:val="6"/>
            <w:rPr>
              <w:rFonts w:hint="eastAsia"/>
            </w:rPr>
          </w:pPr>
          <w:r>
            <w:rPr>
              <w:rStyle w:val="4"/>
              <w:rFonts w:hint="eastAsia"/>
            </w:rPr>
            <w:t>选择一项。</w:t>
          </w:r>
        </w:p>
      </w:docPartBody>
    </w:docPart>
    <w:docPart>
      <w:docPartPr>
        <w:name w:val="979AC9332AC64E9CAB0D79127FBA678A"/>
        <w:style w:val=""/>
        <w:category>
          <w:name w:val="常规"/>
          <w:gallery w:val="placeholder"/>
        </w:category>
        <w:types>
          <w:type w:val="bbPlcHdr"/>
        </w:types>
        <w:behaviors>
          <w:behavior w:val="content"/>
        </w:behaviors>
        <w:description w:val=""/>
        <w:guid w:val="{8589C99D-4939-4943-87F6-CA44FA8F9CB1}"/>
      </w:docPartPr>
      <w:docPartBody>
        <w:p>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D8C"/>
    <w:rsid w:val="00704C3B"/>
    <w:rsid w:val="008F3D8C"/>
    <w:rsid w:val="00A83B1C"/>
    <w:rsid w:val="00B25411"/>
    <w:rsid w:val="00B3431D"/>
    <w:rsid w:val="00B43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5E0690331794D8F9560007F436D9C13"/>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03BF3A5A5941CC9D41945E78761D0A"/>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79AC9332AC64E9CAB0D79127FBA678A"/>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2095</Words>
  <Characters>2387</Characters>
  <Lines>21</Lines>
  <Paragraphs>6</Paragraphs>
  <TotalTime>2</TotalTime>
  <ScaleCrop>false</ScaleCrop>
  <LinksUpToDate>false</LinksUpToDate>
  <CharactersWithSpaces>2483</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2025-01-15T00:52:00Z</dcterms:created>
  <dc:creator>han ts</dc:creator>
  <cp:lastModifiedBy>admin</cp:lastModifiedBy>
  <dcterms:modified xsi:type="dcterms:W3CDTF">2025-04-10T09:58:42Z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KSOTemplateDocerSaveRecord">
    <vt:lpwstr>eyJoZGlkIjoiMzdiMGRjYjI3MGYxMDBiZDg0ZTJmMDA4NzdkOTU3MmUiLCJ1c2VySWQiOiIzNDg1NTcwOTAifQ==</vt:lpwstr>
  </property>
  <property fmtid="{D5CDD505-2E9C-101B-9397-08002B2CF9AE}" pid="4" name="ICV">
    <vt:lpwstr>A531AE2299C34D73B39CDA4FBCBC3E49_12</vt:lpwstr>
  </property>
</Properties>
</file>