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605947">
      <w:pPr>
        <w:pStyle w:val="33"/>
        <w:tabs>
          <w:tab w:val="right" w:leader="dot" w:pos="9354"/>
        </w:tabs>
        <w:rPr>
          <w:color w:val="auto"/>
        </w:rPr>
      </w:pPr>
      <w:r>
        <w:rPr>
          <w:b/>
          <w:color w:val="auto"/>
          <w:sz w:val="96"/>
          <w:szCs w:val="96"/>
        </w:rPr>
        <mc:AlternateContent>
          <mc:Choice Requires="wps">
            <w:drawing>
              <wp:anchor distT="0" distB="0" distL="114300" distR="114300" simplePos="0" relativeHeight="251663360" behindDoc="0" locked="1" layoutInCell="1" allowOverlap="1">
                <wp:simplePos x="0" y="0"/>
                <wp:positionH relativeFrom="page">
                  <wp:posOffset>5020310</wp:posOffset>
                </wp:positionH>
                <wp:positionV relativeFrom="page">
                  <wp:posOffset>612775</wp:posOffset>
                </wp:positionV>
                <wp:extent cx="1592580" cy="681355"/>
                <wp:effectExtent l="0" t="0" r="0" b="0"/>
                <wp:wrapNone/>
                <wp:docPr id="2" name="文本框 1801745450"/>
                <wp:cNvGraphicFramePr/>
                <a:graphic xmlns:a="http://schemas.openxmlformats.org/drawingml/2006/main">
                  <a:graphicData uri="http://schemas.microsoft.com/office/word/2010/wordprocessingShape">
                    <wps:wsp>
                      <wps:cNvSpPr txBox="1">
                        <a:spLocks noChangeArrowheads="1"/>
                      </wps:cNvSpPr>
                      <wps:spPr bwMode="auto">
                        <a:xfrm>
                          <a:off x="0" y="0"/>
                          <a:ext cx="1592580" cy="681355"/>
                        </a:xfrm>
                        <a:prstGeom prst="rect">
                          <a:avLst/>
                        </a:prstGeom>
                        <a:noFill/>
                        <a:ln>
                          <a:noFill/>
                        </a:ln>
                        <a:effectLst/>
                      </wps:spPr>
                      <wps:txbx>
                        <w:txbxContent>
                          <w:p w14:paraId="00802731">
                            <w:pPr>
                              <w:pStyle w:val="28"/>
                              <w:spacing w:line="240" w:lineRule="auto"/>
                              <w:jc w:val="center"/>
                              <w:rPr>
                                <w:rFonts w:ascii="Times New Roman" w:hAnsi="Times New Roman" w:eastAsia="宋体"/>
                                <w:b/>
                                <w:color w:val="000000"/>
                                <w:sz w:val="96"/>
                                <w:szCs w:val="96"/>
                              </w:rPr>
                            </w:pPr>
                            <w:r>
                              <w:rPr>
                                <w:rFonts w:hint="eastAsia" w:ascii="Times New Roman" w:hAnsi="Times New Roman" w:eastAsia="宋体"/>
                                <w:b/>
                                <w:color w:val="000000"/>
                                <w:sz w:val="96"/>
                                <w:szCs w:val="96"/>
                              </w:rPr>
                              <w:t>DB34</w:t>
                            </w:r>
                          </w:p>
                        </w:txbxContent>
                      </wps:txbx>
                      <wps:bodyPr rot="0" vert="horz" wrap="square" lIns="0" tIns="0" rIns="0" bIns="0" anchor="t" anchorCtr="0">
                        <a:noAutofit/>
                      </wps:bodyPr>
                    </wps:wsp>
                  </a:graphicData>
                </a:graphic>
              </wp:anchor>
            </w:drawing>
          </mc:Choice>
          <mc:Fallback>
            <w:pict>
              <v:shape id="文本框 1801745450" o:spid="_x0000_s1026" o:spt="202" type="#_x0000_t202" style="position:absolute;left:0pt;margin-left:395.3pt;margin-top:48.25pt;height:53.65pt;width:125.4pt;mso-position-horizontal-relative:page;mso-position-vertical-relative:page;z-index:251663360;mso-width-relative:page;mso-height-relative:page;" filled="f" stroked="f" coordsize="21600,21600" o:gfxdata="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ncB23aAAAACwEAAA8AAAAA&#10;AAAAAQAgAAAAIgAAAGRycy9kb3ducmV2LnhtbFBLAQIUABQAAAAIAIdO4kBQZYUkEgIAABAEAAAO&#10;AAAAAAAAAAEAIAAAACkBAABkcnMvZTJvRG9jLnhtbFBLBQYAAAAABgAGAFkBAACtBQAAAAA=&#10;">
                <v:fill on="f" focussize="0,0"/>
                <v:stroke on="f"/>
                <v:imagedata o:title=""/>
                <o:lock v:ext="edit" aspectratio="f"/>
                <v:textbox inset="0mm,0mm,0mm,0mm">
                  <w:txbxContent>
                    <w:p w14:paraId="00802731">
                      <w:pPr>
                        <w:pStyle w:val="28"/>
                        <w:spacing w:line="240" w:lineRule="auto"/>
                        <w:jc w:val="center"/>
                        <w:rPr>
                          <w:rFonts w:ascii="Times New Roman" w:hAnsi="Times New Roman" w:eastAsia="宋体"/>
                          <w:b/>
                          <w:color w:val="000000"/>
                          <w:sz w:val="96"/>
                          <w:szCs w:val="96"/>
                        </w:rPr>
                      </w:pPr>
                      <w:r>
                        <w:rPr>
                          <w:rFonts w:hint="eastAsia" w:ascii="Times New Roman" w:hAnsi="Times New Roman" w:eastAsia="宋体"/>
                          <w:b/>
                          <w:color w:val="000000"/>
                          <w:sz w:val="96"/>
                          <w:szCs w:val="96"/>
                        </w:rPr>
                        <w:t>DB34</w:t>
                      </w:r>
                    </w:p>
                  </w:txbxContent>
                </v:textbox>
                <w10:anchorlock/>
              </v:shape>
            </w:pict>
          </mc:Fallback>
        </mc:AlternateContent>
      </w:r>
      <w:r>
        <w:rPr>
          <w:rFonts w:ascii="黑体" w:hAnsi="黑体" w:eastAsia="黑体"/>
          <w:bCs/>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-67945</wp:posOffset>
                </wp:positionH>
                <wp:positionV relativeFrom="paragraph">
                  <wp:posOffset>-8890</wp:posOffset>
                </wp:positionV>
                <wp:extent cx="2447290" cy="1993900"/>
                <wp:effectExtent l="0" t="0" r="0" b="0"/>
                <wp:wrapNone/>
                <wp:docPr id="4" name="文本框 18"/>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a:effectLst/>
                      </wps:spPr>
                      <wps:txbx>
                        <w:txbxContent>
                          <w:p w14:paraId="25C09BE3">
                            <w:pPr>
                              <w:rPr>
                                <w:rFonts w:hint="eastAsia" w:ascii="黑体" w:hAnsi="黑体" w:eastAsia="黑体"/>
                                <w:szCs w:val="21"/>
                              </w:rPr>
                            </w:pPr>
                            <w:r>
                              <w:rPr>
                                <w:rFonts w:hint="eastAsia" w:ascii="黑体" w:hAnsi="黑体" w:eastAsia="黑体"/>
                                <w:szCs w:val="21"/>
                              </w:rPr>
                              <w:t xml:space="preserve">ICS </w:t>
                            </w:r>
                            <w:r>
                              <w:rPr>
                                <w:rFonts w:hint="eastAsia" w:ascii="黑体" w:hAnsi="黑体" w:eastAsia="黑体"/>
                                <w:szCs w:val="21"/>
                                <w:lang w:val="en-US" w:eastAsia="zh-CN"/>
                              </w:rPr>
                              <w:t>9</w:t>
                            </w:r>
                            <w:r>
                              <w:rPr>
                                <w:rFonts w:hint="eastAsia" w:ascii="黑体" w:hAnsi="黑体" w:eastAsia="黑体"/>
                                <w:szCs w:val="21"/>
                              </w:rPr>
                              <w:t>3.</w:t>
                            </w:r>
                            <w:r>
                              <w:rPr>
                                <w:rFonts w:hint="eastAsia" w:ascii="黑体" w:hAnsi="黑体" w:eastAsia="黑体"/>
                                <w:szCs w:val="21"/>
                                <w:lang w:val="en-US" w:eastAsia="zh-CN"/>
                              </w:rPr>
                              <w:t>1</w:t>
                            </w:r>
                            <w:r>
                              <w:rPr>
                                <w:rFonts w:hint="eastAsia" w:ascii="黑体" w:hAnsi="黑体" w:eastAsia="黑体"/>
                                <w:szCs w:val="21"/>
                              </w:rPr>
                              <w:t>60</w:t>
                            </w:r>
                          </w:p>
                          <w:p w14:paraId="311B588A">
                            <w:pPr>
                              <w:rPr>
                                <w:rFonts w:hint="default" w:ascii="黑体" w:hAnsi="黑体" w:eastAsia="黑体"/>
                                <w:szCs w:val="21"/>
                                <w:lang w:val="en-US" w:eastAsia="zh-CN"/>
                              </w:rPr>
                            </w:pPr>
                            <w:r>
                              <w:rPr>
                                <w:rFonts w:hint="eastAsia" w:ascii="黑体" w:hAnsi="黑体" w:eastAsia="黑体"/>
                                <w:szCs w:val="21"/>
                                <w:lang w:val="en-US" w:eastAsia="zh-CN"/>
                              </w:rPr>
                              <w:t>P 55/59</w:t>
                            </w:r>
                          </w:p>
                        </w:txbxContent>
                      </wps:txbx>
                      <wps:bodyPr rot="0" vert="horz" wrap="square" lIns="91440" tIns="45720" rIns="91440" bIns="45720" anchor="t" anchorCtr="0">
                        <a:spAutoFit/>
                      </wps:bodyPr>
                    </wps:wsp>
                  </a:graphicData>
                </a:graphic>
              </wp:anchor>
            </w:drawing>
          </mc:Choice>
          <mc:Fallback>
            <w:pict>
              <v:shape id="文本框 18" o:spid="_x0000_s1026" o:spt="202" type="#_x0000_t202" style="position:absolute;left:0pt;margin-left:-5.35pt;margin-top:-0.7pt;height:157pt;width:192.7pt;z-index:251662336;mso-width-relative:page;mso-height-relative:page;" filled="f" stroked="f" coordsize="21600,21600" o:gfxdata="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SwenPXAAAACgEAAA8AAAAAAAAAAQAgAAAAIgAAAGRycy9kb3ducmV2LnhtbFBLAQIU&#10;ABQAAAAIAIdO4kDYLCbuLQIAADkEAAAOAAAAAAAAAAEAIAAAACYBAABkcnMvZTJvRG9jLnhtbFBL&#10;BQYAAAAABgAGAFkBAADFBQAAAAA=&#10;">
                <v:fill on="f" focussize="0,0"/>
                <v:stroke on="f" miterlimit="8" joinstyle="miter"/>
                <v:imagedata o:title=""/>
                <o:lock v:ext="edit" aspectratio="f"/>
                <v:textbox style="mso-fit-shape-to-text:t;">
                  <w:txbxContent>
                    <w:p w14:paraId="25C09BE3">
                      <w:pPr>
                        <w:rPr>
                          <w:rFonts w:hint="eastAsia" w:ascii="黑体" w:hAnsi="黑体" w:eastAsia="黑体"/>
                          <w:szCs w:val="21"/>
                        </w:rPr>
                      </w:pPr>
                      <w:r>
                        <w:rPr>
                          <w:rFonts w:hint="eastAsia" w:ascii="黑体" w:hAnsi="黑体" w:eastAsia="黑体"/>
                          <w:szCs w:val="21"/>
                        </w:rPr>
                        <w:t xml:space="preserve">ICS </w:t>
                      </w:r>
                      <w:r>
                        <w:rPr>
                          <w:rFonts w:hint="eastAsia" w:ascii="黑体" w:hAnsi="黑体" w:eastAsia="黑体"/>
                          <w:szCs w:val="21"/>
                          <w:lang w:val="en-US" w:eastAsia="zh-CN"/>
                        </w:rPr>
                        <w:t>9</w:t>
                      </w:r>
                      <w:r>
                        <w:rPr>
                          <w:rFonts w:hint="eastAsia" w:ascii="黑体" w:hAnsi="黑体" w:eastAsia="黑体"/>
                          <w:szCs w:val="21"/>
                        </w:rPr>
                        <w:t>3.</w:t>
                      </w:r>
                      <w:r>
                        <w:rPr>
                          <w:rFonts w:hint="eastAsia" w:ascii="黑体" w:hAnsi="黑体" w:eastAsia="黑体"/>
                          <w:szCs w:val="21"/>
                          <w:lang w:val="en-US" w:eastAsia="zh-CN"/>
                        </w:rPr>
                        <w:t>1</w:t>
                      </w:r>
                      <w:r>
                        <w:rPr>
                          <w:rFonts w:hint="eastAsia" w:ascii="黑体" w:hAnsi="黑体" w:eastAsia="黑体"/>
                          <w:szCs w:val="21"/>
                        </w:rPr>
                        <w:t>60</w:t>
                      </w:r>
                    </w:p>
                    <w:p w14:paraId="311B588A">
                      <w:pPr>
                        <w:rPr>
                          <w:rFonts w:hint="default" w:ascii="黑体" w:hAnsi="黑体" w:eastAsia="黑体"/>
                          <w:szCs w:val="21"/>
                          <w:lang w:val="en-US" w:eastAsia="zh-CN"/>
                        </w:rPr>
                      </w:pPr>
                      <w:r>
                        <w:rPr>
                          <w:rFonts w:hint="eastAsia" w:ascii="黑体" w:hAnsi="黑体" w:eastAsia="黑体"/>
                          <w:szCs w:val="21"/>
                          <w:lang w:val="en-US" w:eastAsia="zh-CN"/>
                        </w:rPr>
                        <w:t>P 55/59</w:t>
                      </w:r>
                    </w:p>
                  </w:txbxContent>
                </v:textbox>
              </v:shape>
            </w:pict>
          </mc:Fallback>
        </mc:AlternateContent>
      </w:r>
    </w:p>
    <w:p w14:paraId="317DC58C">
      <w:pPr>
        <w:rPr>
          <w:color w:val="auto"/>
        </w:rPr>
      </w:pPr>
    </w:p>
    <w:p w14:paraId="3DF866EB">
      <w:pPr>
        <w:rPr>
          <w:color w:val="auto"/>
        </w:rPr>
      </w:pPr>
    </w:p>
    <w:p w14:paraId="235B2B79">
      <w:pPr>
        <w:rPr>
          <w:color w:val="auto"/>
        </w:rPr>
      </w:pPr>
    </w:p>
    <w:p w14:paraId="7353132E">
      <w:pPr>
        <w:rPr>
          <w:color w:val="auto"/>
        </w:rPr>
      </w:pPr>
    </w:p>
    <w:p w14:paraId="7907E545">
      <w:pPr>
        <w:rPr>
          <w:color w:val="auto"/>
        </w:rPr>
      </w:pPr>
    </w:p>
    <w:p w14:paraId="61574680">
      <w:pPr>
        <w:rPr>
          <w:color w:val="auto"/>
        </w:rPr>
      </w:pPr>
    </w:p>
    <w:p w14:paraId="1AE50614">
      <w:pPr>
        <w:rPr>
          <w:color w:val="auto"/>
        </w:rPr>
      </w:pPr>
      <w:r>
        <w:rPr>
          <w:rFonts w:ascii="Times New Roman" w:hAnsi="Times New Roman"/>
          <w:b/>
          <w:color w:val="auto"/>
          <w:kern w:val="0"/>
          <w:sz w:val="96"/>
          <w:szCs w:val="96"/>
        </w:rPr>
        <mc:AlternateContent>
          <mc:Choice Requires="wps">
            <w:drawing>
              <wp:anchor distT="0" distB="0" distL="114300" distR="114300" simplePos="0" relativeHeight="251667456" behindDoc="0" locked="1" layoutInCell="1" allowOverlap="1">
                <wp:simplePos x="0" y="0"/>
                <wp:positionH relativeFrom="margin">
                  <wp:posOffset>3608705</wp:posOffset>
                </wp:positionH>
                <wp:positionV relativeFrom="page">
                  <wp:posOffset>1999615</wp:posOffset>
                </wp:positionV>
                <wp:extent cx="1385570" cy="153670"/>
                <wp:effectExtent l="0" t="0" r="5080" b="17780"/>
                <wp:wrapNone/>
                <wp:docPr id="6" name="文本框 1173019262"/>
                <wp:cNvGraphicFramePr/>
                <a:graphic xmlns:a="http://schemas.openxmlformats.org/drawingml/2006/main">
                  <a:graphicData uri="http://schemas.microsoft.com/office/word/2010/wordprocessingShape">
                    <wps:wsp>
                      <wps:cNvSpPr txBox="1">
                        <a:spLocks noChangeArrowheads="1"/>
                      </wps:cNvSpPr>
                      <wps:spPr bwMode="auto">
                        <a:xfrm>
                          <a:off x="0" y="0"/>
                          <a:ext cx="1385570" cy="153670"/>
                        </a:xfrm>
                        <a:prstGeom prst="rect">
                          <a:avLst/>
                        </a:prstGeom>
                        <a:solidFill>
                          <a:srgbClr val="FFFFFF"/>
                        </a:solidFill>
                        <a:ln>
                          <a:noFill/>
                        </a:ln>
                        <a:effectLst/>
                      </wps:spPr>
                      <wps:txbx>
                        <w:txbxContent>
                          <w:p w14:paraId="1DC70EE2">
                            <w:pPr>
                              <w:jc w:val="left"/>
                              <w:rPr>
                                <w:rFonts w:hint="eastAsia" w:ascii="黑体" w:hAnsi="黑体" w:eastAsia="黑体"/>
                                <w:szCs w:val="21"/>
                              </w:rPr>
                            </w:pPr>
                          </w:p>
                        </w:txbxContent>
                      </wps:txbx>
                      <wps:bodyPr rot="0" vert="horz" wrap="square" lIns="0" tIns="0" rIns="0" bIns="0" anchor="t" anchorCtr="0">
                        <a:noAutofit/>
                      </wps:bodyPr>
                    </wps:wsp>
                  </a:graphicData>
                </a:graphic>
              </wp:anchor>
            </w:drawing>
          </mc:Choice>
          <mc:Fallback>
            <w:pict>
              <v:shape id="文本框 1173019262" o:spid="_x0000_s1026" o:spt="202" type="#_x0000_t202" style="position:absolute;left:0pt;margin-left:284.15pt;margin-top:157.45pt;height:12.1pt;width:109.1pt;mso-position-horizontal-relative:margin;mso-position-vertical-relative:page;z-index:251667456;mso-width-relative:page;mso-height-relative:page;" fillcolor="#FFFFFF" filled="t" stroked="f" coordsize="21600,21600" o:gfxdata="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Zc6Bp2wAAAAsBAAAPAAAAAAAAAAEAIAAAACIAAABkcnMvZG93bnJldi54bWxQSwECFAAUAAAA&#10;CACHTuJAinKSOSQCAAA5BAAADgAAAAAAAAABACAAAAAqAQAAZHJzL2Uyb0RvYy54bWxQSwUGAAAA&#10;AAYABgBZAQAAwAUAAAAA&#10;">
                <v:fill on="t" focussize="0,0"/>
                <v:stroke on="f"/>
                <v:imagedata o:title=""/>
                <o:lock v:ext="edit" aspectratio="f"/>
                <v:textbox inset="0mm,0mm,0mm,0mm">
                  <w:txbxContent>
                    <w:p w14:paraId="1DC70EE2">
                      <w:pPr>
                        <w:jc w:val="left"/>
                        <w:rPr>
                          <w:rFonts w:hint="eastAsia" w:ascii="黑体" w:hAnsi="黑体" w:eastAsia="黑体"/>
                          <w:szCs w:val="21"/>
                        </w:rPr>
                      </w:pPr>
                    </w:p>
                  </w:txbxContent>
                </v:textbox>
                <w10:anchorlock/>
              </v:shape>
            </w:pict>
          </mc:Fallback>
        </mc:AlternateContent>
      </w:r>
      <w:r>
        <w:rPr>
          <w:rFonts w:ascii="Times New Roman" w:hAnsi="Times New Roman"/>
          <w:b/>
          <w:color w:val="auto"/>
          <w:kern w:val="0"/>
          <w:sz w:val="96"/>
          <w:szCs w:val="96"/>
        </w:rPr>
        <mc:AlternateContent>
          <mc:Choice Requires="wps">
            <w:drawing>
              <wp:anchor distT="0" distB="0" distL="114300" distR="114300" simplePos="0" relativeHeight="251666432" behindDoc="0" locked="1" layoutInCell="1" allowOverlap="1">
                <wp:simplePos x="0" y="0"/>
                <wp:positionH relativeFrom="margin">
                  <wp:posOffset>4344035</wp:posOffset>
                </wp:positionH>
                <wp:positionV relativeFrom="page">
                  <wp:posOffset>2100580</wp:posOffset>
                </wp:positionV>
                <wp:extent cx="1961515" cy="401320"/>
                <wp:effectExtent l="0" t="0" r="635" b="17780"/>
                <wp:wrapNone/>
                <wp:docPr id="8" name="文本框 1820982380"/>
                <wp:cNvGraphicFramePr/>
                <a:graphic xmlns:a="http://schemas.openxmlformats.org/drawingml/2006/main">
                  <a:graphicData uri="http://schemas.microsoft.com/office/word/2010/wordprocessingShape">
                    <wps:wsp>
                      <wps:cNvSpPr txBox="1">
                        <a:spLocks noChangeArrowheads="1"/>
                      </wps:cNvSpPr>
                      <wps:spPr bwMode="auto">
                        <a:xfrm>
                          <a:off x="0" y="0"/>
                          <a:ext cx="1961515" cy="401320"/>
                        </a:xfrm>
                        <a:prstGeom prst="rect">
                          <a:avLst/>
                        </a:prstGeom>
                        <a:solidFill>
                          <a:srgbClr val="FFFFFF"/>
                        </a:solidFill>
                        <a:ln>
                          <a:noFill/>
                        </a:ln>
                        <a:effectLst/>
                      </wps:spPr>
                      <wps:txbx>
                        <w:txbxContent>
                          <w:p w14:paraId="6603CCCF">
                            <w:pPr>
                              <w:jc w:val="left"/>
                              <w:rPr>
                                <w:rFonts w:hint="eastAsia" w:ascii="黑体" w:hAnsi="黑体" w:eastAsia="黑体"/>
                                <w:sz w:val="28"/>
                                <w:szCs w:val="28"/>
                              </w:rPr>
                            </w:pPr>
                            <w:r>
                              <w:rPr>
                                <w:rFonts w:hint="eastAsia" w:ascii="黑体" w:hAnsi="黑体" w:eastAsia="黑体"/>
                                <w:sz w:val="28"/>
                                <w:szCs w:val="28"/>
                              </w:rPr>
                              <w:t>DB34/T xxx─2024</w:t>
                            </w:r>
                          </w:p>
                        </w:txbxContent>
                      </wps:txbx>
                      <wps:bodyPr rot="0" vert="horz" wrap="square" lIns="0" tIns="0" rIns="0" bIns="0" anchor="t" anchorCtr="0" upright="1">
                        <a:noAutofit/>
                      </wps:bodyPr>
                    </wps:wsp>
                  </a:graphicData>
                </a:graphic>
              </wp:anchor>
            </w:drawing>
          </mc:Choice>
          <mc:Fallback>
            <w:pict>
              <v:shape id="文本框 1820982380" o:spid="_x0000_s1026" o:spt="202" type="#_x0000_t202" style="position:absolute;left:0pt;margin-left:342.05pt;margin-top:165.4pt;height:31.6pt;width:154.45pt;mso-position-horizontal-relative:margin;mso-position-vertical-relative:page;z-index:251666432;mso-width-relative:page;mso-height-relative:page;" fillcolor="#FFFFFF" filled="t" stroked="f" coordsize="21600,21600" o:gfxdata="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n1OcXNkAAAALAQAADwAAAAAAAAABACAAAAAiAAAAZHJzL2Rvd25yZXYueG1sUEsB&#10;AhQAFAAAAAgAh07iQObOABotAgAARQQAAA4AAAAAAAAAAQAgAAAAKAEAAGRycy9lMm9Eb2MueG1s&#10;UEsFBgAAAAAGAAYAWQEAAMcFAAAAAA==&#10;">
                <v:fill on="t" focussize="0,0"/>
                <v:stroke on="f"/>
                <v:imagedata o:title=""/>
                <o:lock v:ext="edit" aspectratio="f"/>
                <v:textbox inset="0mm,0mm,0mm,0mm">
                  <w:txbxContent>
                    <w:p w14:paraId="6603CCCF">
                      <w:pPr>
                        <w:jc w:val="left"/>
                        <w:rPr>
                          <w:rFonts w:hint="eastAsia" w:ascii="黑体" w:hAnsi="黑体" w:eastAsia="黑体"/>
                          <w:sz w:val="28"/>
                          <w:szCs w:val="28"/>
                        </w:rPr>
                      </w:pPr>
                      <w:r>
                        <w:rPr>
                          <w:rFonts w:hint="eastAsia" w:ascii="黑体" w:hAnsi="黑体" w:eastAsia="黑体"/>
                          <w:sz w:val="28"/>
                          <w:szCs w:val="28"/>
                        </w:rPr>
                        <w:t>DB34/T xxx─2024</w:t>
                      </w:r>
                    </w:p>
                  </w:txbxContent>
                </v:textbox>
                <w10:anchorlock/>
              </v:shape>
            </w:pict>
          </mc:Fallback>
        </mc:AlternateContent>
      </w:r>
      <w:r>
        <w:rPr>
          <w:rFonts w:ascii="Times New Roman" w:hAnsi="Times New Roman"/>
          <w:b/>
          <w:color w:val="auto"/>
          <w:kern w:val="0"/>
          <w:sz w:val="96"/>
          <w:szCs w:val="96"/>
        </w:rPr>
        <mc:AlternateContent>
          <mc:Choice Requires="wps">
            <w:drawing>
              <wp:anchor distT="0" distB="0" distL="114300" distR="114300" simplePos="0" relativeHeight="251665408" behindDoc="0" locked="1" layoutInCell="1" allowOverlap="1">
                <wp:simplePos x="0" y="0"/>
                <wp:positionH relativeFrom="margin">
                  <wp:posOffset>-1270</wp:posOffset>
                </wp:positionH>
                <wp:positionV relativeFrom="page">
                  <wp:posOffset>1414145</wp:posOffset>
                </wp:positionV>
                <wp:extent cx="6119495" cy="518795"/>
                <wp:effectExtent l="0" t="0" r="14605" b="14605"/>
                <wp:wrapNone/>
                <wp:docPr id="10"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119495" cy="518795"/>
                        </a:xfrm>
                        <a:prstGeom prst="rect">
                          <a:avLst/>
                        </a:prstGeom>
                        <a:solidFill>
                          <a:srgbClr val="FFFFFF"/>
                        </a:solidFill>
                        <a:ln>
                          <a:noFill/>
                        </a:ln>
                        <a:effectLst/>
                      </wps:spPr>
                      <wps:txbx>
                        <w:txbxContent>
                          <w:p w14:paraId="61CBD7C8">
                            <w:pPr>
                              <w:jc w:val="distribute"/>
                              <w:rPr>
                                <w:rFonts w:hint="eastAsia" w:ascii="黑体" w:hAnsi="宋体" w:eastAsia="黑体"/>
                                <w:sz w:val="52"/>
                              </w:rPr>
                            </w:pPr>
                            <w:r>
                              <w:rPr>
                                <w:rFonts w:hint="eastAsia" w:ascii="黑体" w:hAnsi="宋体" w:eastAsia="黑体"/>
                                <w:sz w:val="52"/>
                              </w:rPr>
                              <w:t>安徽省地方标准</w:t>
                            </w:r>
                          </w:p>
                        </w:txbxContent>
                      </wps:txbx>
                      <wps:bodyPr rot="0" vert="horz" wrap="square" lIns="0" tIns="0" rIns="0" bIns="0" anchor="t" anchorCtr="0" upright="1">
                        <a:noAutofit/>
                      </wps:bodyPr>
                    </wps:wsp>
                  </a:graphicData>
                </a:graphic>
              </wp:anchor>
            </w:drawing>
          </mc:Choice>
          <mc:Fallback>
            <w:pict>
              <v:shape id="文本框 8" o:spid="_x0000_s1026" o:spt="202" type="#_x0000_t202" style="position:absolute;left:0pt;margin-left:-0.1pt;margin-top:111.35pt;height:40.85pt;width:481.85pt;mso-position-horizontal-relative:margin;mso-position-vertical-relative:page;z-index:251665408;mso-width-relative:page;mso-height-relative:page;" fillcolor="#FFFFFF" filled="t" stroked="f" coordsize="21600,21600" o:gfxdata="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DqeFgTZAAAACQEAAA8AAAAAAAAAAQAgAAAAIgAAAGRycy9kb3ducmV2LnhtbFBLAQIUABQAAAAI&#10;AIdO4kDxKzc/JQIAAD0EAAAOAAAAAAAAAAEAIAAAACgBAABkcnMvZTJvRG9jLnhtbFBLBQYAAAAA&#10;BgAGAFkBAAC/BQAAAAA=&#10;">
                <v:fill on="t" focussize="0,0"/>
                <v:stroke on="f"/>
                <v:imagedata o:title=""/>
                <o:lock v:ext="edit" aspectratio="f"/>
                <v:textbox inset="0mm,0mm,0mm,0mm">
                  <w:txbxContent>
                    <w:p w14:paraId="61CBD7C8">
                      <w:pPr>
                        <w:jc w:val="distribute"/>
                        <w:rPr>
                          <w:rFonts w:hint="eastAsia" w:ascii="黑体" w:hAnsi="宋体" w:eastAsia="黑体"/>
                          <w:sz w:val="52"/>
                        </w:rPr>
                      </w:pPr>
                      <w:r>
                        <w:rPr>
                          <w:rFonts w:hint="eastAsia" w:ascii="黑体" w:hAnsi="宋体" w:eastAsia="黑体"/>
                          <w:sz w:val="52"/>
                        </w:rPr>
                        <w:t>安徽省地方标准</w:t>
                      </w:r>
                    </w:p>
                  </w:txbxContent>
                </v:textbox>
                <w10:anchorlock/>
              </v:shape>
            </w:pict>
          </mc:Fallback>
        </mc:AlternateContent>
      </w:r>
      <w:r>
        <w:rPr>
          <w:rFonts w:ascii="宋体" w:hAnsi="宋体"/>
          <w:b/>
          <w:bCs/>
          <w:color w:val="auto"/>
          <w:sz w:val="32"/>
          <w:szCs w:val="32"/>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ge">
                  <wp:posOffset>2709545</wp:posOffset>
                </wp:positionV>
                <wp:extent cx="6120130" cy="0"/>
                <wp:effectExtent l="0" t="4445" r="0" b="5080"/>
                <wp:wrapTopAndBottom/>
                <wp:docPr id="12"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 o:spid="_x0000_s1026" o:spt="20" style="position:absolute;left:0pt;margin-left:0pt;margin-top:213.35pt;height:0pt;width:481.9pt;mso-position-vertical-relative:page;mso-wrap-distance-bottom:0pt;mso-wrap-distance-top:0pt;z-index:251664384;mso-width-relative:page;mso-height-relative:page;" filled="f" stroked="t" coordsize="21600,21600" o:gfxdata="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MjYfE9UA&#10;AAAIAQAADwAAAAAAAAABACAAAAAiAAAAZHJzL2Rvd25yZXYueG1sUEsBAhQAFAAAAAgAh07iQDH9&#10;qFjpAQAAuQMAAA4AAAAAAAAAAQAgAAAAJAEAAGRycy9lMm9Eb2MueG1sUEsFBgAAAAAGAAYAWQEA&#10;AH8FAAAAAA==&#10;">
                <v:fill on="f" focussize="0,0"/>
                <v:stroke color="#000000" joinstyle="round"/>
                <v:imagedata o:title=""/>
                <o:lock v:ext="edit" aspectratio="f"/>
                <w10:wrap type="topAndBottom"/>
              </v:line>
            </w:pict>
          </mc:Fallback>
        </mc:AlternateContent>
      </w:r>
    </w:p>
    <w:p w14:paraId="3ADA290A">
      <w:pPr>
        <w:tabs>
          <w:tab w:val="left" w:pos="1700"/>
        </w:tabs>
        <w:jc w:val="center"/>
        <w:rPr>
          <w:rFonts w:hint="eastAsia" w:ascii="黑体" w:hAnsi="黑体" w:eastAsia="黑体" w:cs="黑体"/>
          <w:color w:val="auto"/>
          <w:sz w:val="32"/>
          <w:szCs w:val="32"/>
        </w:rPr>
      </w:pPr>
    </w:p>
    <w:p w14:paraId="5B1B0AF4">
      <w:pPr>
        <w:tabs>
          <w:tab w:val="right" w:pos="8618"/>
        </w:tabs>
        <w:ind w:right="420" w:rightChars="200"/>
        <w:jc w:val="right"/>
        <w:rPr>
          <w:rFonts w:hint="eastAsia" w:ascii="宋体" w:hAnsi="宋体"/>
          <w:bCs/>
          <w:color w:val="auto"/>
          <w:kern w:val="0"/>
          <w:szCs w:val="21"/>
        </w:rPr>
      </w:pPr>
    </w:p>
    <w:p w14:paraId="5B37E048">
      <w:pPr>
        <w:tabs>
          <w:tab w:val="left" w:pos="8618"/>
        </w:tabs>
        <w:spacing w:line="480" w:lineRule="auto"/>
        <w:rPr>
          <w:rFonts w:ascii="Times New Roman" w:hAnsi="Times New Roman"/>
          <w:b/>
          <w:bCs/>
          <w:color w:val="auto"/>
          <w:sz w:val="44"/>
          <w:szCs w:val="44"/>
        </w:rPr>
      </w:pPr>
      <w:r>
        <w:rPr>
          <w:rFonts w:ascii="Times New Roman" w:hAnsi="Times New Roman"/>
          <w:b/>
          <w:bCs/>
          <w:color w:val="auto"/>
          <w:sz w:val="44"/>
          <w:szCs w:val="44"/>
        </w:rPr>
        <w:tab/>
      </w:r>
    </w:p>
    <w:p w14:paraId="4D769072">
      <w:pPr>
        <w:jc w:val="center"/>
        <w:rPr>
          <w:rFonts w:ascii="Times New Roman" w:hAnsi="Times New Roman"/>
          <w:color w:val="auto"/>
          <w:sz w:val="28"/>
          <w:szCs w:val="28"/>
        </w:rPr>
      </w:pPr>
    </w:p>
    <w:p w14:paraId="42B94709">
      <w:pPr>
        <w:jc w:val="center"/>
        <w:rPr>
          <w:rFonts w:ascii="Times New Roman" w:hAnsi="Times New Roman"/>
          <w:color w:val="auto"/>
          <w:sz w:val="28"/>
          <w:szCs w:val="28"/>
        </w:rPr>
      </w:pPr>
    </w:p>
    <w:p w14:paraId="149EB77D">
      <w:pPr>
        <w:jc w:val="center"/>
        <w:rPr>
          <w:rFonts w:ascii="Times New Roman" w:hAnsi="Times New Roman"/>
          <w:color w:val="auto"/>
          <w:sz w:val="28"/>
          <w:szCs w:val="28"/>
        </w:rPr>
      </w:pPr>
    </w:p>
    <w:p w14:paraId="0154E382">
      <w:pPr>
        <w:pStyle w:val="2"/>
        <w:rPr>
          <w:rFonts w:hint="eastAsia" w:ascii="黑体" w:hAnsi="黑体" w:eastAsia="黑体" w:cs="黑体"/>
          <w:color w:val="auto"/>
          <w:sz w:val="32"/>
          <w:szCs w:val="32"/>
        </w:rPr>
      </w:pPr>
    </w:p>
    <w:p w14:paraId="00477193">
      <w:pPr>
        <w:pStyle w:val="2"/>
        <w:rPr>
          <w:rFonts w:hint="eastAsia" w:ascii="黑体" w:hAnsi="黑体" w:eastAsia="黑体" w:cs="黑体"/>
          <w:color w:val="auto"/>
          <w:sz w:val="32"/>
          <w:szCs w:val="32"/>
        </w:rPr>
      </w:pPr>
      <w:r>
        <w:rPr>
          <w:b/>
          <w:color w:val="auto"/>
          <w:sz w:val="96"/>
          <w:szCs w:val="96"/>
        </w:rPr>
        <mc:AlternateContent>
          <mc:Choice Requires="wps">
            <w:drawing>
              <wp:anchor distT="0" distB="0" distL="114300" distR="114300" simplePos="0" relativeHeight="251668480" behindDoc="0" locked="1" layoutInCell="1" allowOverlap="1">
                <wp:simplePos x="0" y="0"/>
                <wp:positionH relativeFrom="margin">
                  <wp:posOffset>-277495</wp:posOffset>
                </wp:positionH>
                <wp:positionV relativeFrom="page">
                  <wp:posOffset>4077970</wp:posOffset>
                </wp:positionV>
                <wp:extent cx="6473825" cy="495935"/>
                <wp:effectExtent l="0" t="0" r="3175" b="18415"/>
                <wp:wrapNone/>
                <wp:docPr id="14" name="文本框 1998347782"/>
                <wp:cNvGraphicFramePr/>
                <a:graphic xmlns:a="http://schemas.openxmlformats.org/drawingml/2006/main">
                  <a:graphicData uri="http://schemas.microsoft.com/office/word/2010/wordprocessingShape">
                    <wps:wsp>
                      <wps:cNvSpPr txBox="1">
                        <a:spLocks noChangeArrowheads="1"/>
                      </wps:cNvSpPr>
                      <wps:spPr bwMode="auto">
                        <a:xfrm>
                          <a:off x="0" y="0"/>
                          <a:ext cx="6473825" cy="495935"/>
                        </a:xfrm>
                        <a:prstGeom prst="rect">
                          <a:avLst/>
                        </a:prstGeom>
                        <a:solidFill>
                          <a:srgbClr val="FFFFFF"/>
                        </a:solidFill>
                        <a:ln>
                          <a:noFill/>
                        </a:ln>
                        <a:effectLst/>
                      </wps:spPr>
                      <wps:txbx>
                        <w:txbxContent>
                          <w:p w14:paraId="5DB6A565">
                            <w:pPr>
                              <w:jc w:val="center"/>
                              <w:rPr>
                                <w:rFonts w:hint="eastAsia" w:ascii="黑体" w:hAnsi="黑体" w:eastAsia="黑体"/>
                                <w:color w:val="000000"/>
                                <w:spacing w:val="20"/>
                                <w:sz w:val="52"/>
                                <w:szCs w:val="52"/>
                              </w:rPr>
                            </w:pPr>
                            <w:r>
                              <w:rPr>
                                <w:rFonts w:hint="eastAsia" w:ascii="黑体" w:hAnsi="黑体" w:eastAsia="黑体"/>
                                <w:color w:val="000000"/>
                                <w:spacing w:val="20"/>
                                <w:sz w:val="52"/>
                                <w:szCs w:val="52"/>
                              </w:rPr>
                              <w:t>水土保持综合治理工程遥感监管技术规范</w:t>
                            </w:r>
                          </w:p>
                        </w:txbxContent>
                      </wps:txbx>
                      <wps:bodyPr rot="0" vert="horz" wrap="square" lIns="0" tIns="0" rIns="0" bIns="0" anchor="t" anchorCtr="0" upright="1">
                        <a:noAutofit/>
                      </wps:bodyPr>
                    </wps:wsp>
                  </a:graphicData>
                </a:graphic>
              </wp:anchor>
            </w:drawing>
          </mc:Choice>
          <mc:Fallback>
            <w:pict>
              <v:shape id="文本框 1998347782" o:spid="_x0000_s1026" o:spt="202" type="#_x0000_t202" style="position:absolute;left:0pt;margin-left:-21.85pt;margin-top:321.1pt;height:39.05pt;width:509.75pt;mso-position-horizontal-relative:margin;mso-position-vertical-relative:page;z-index:251668480;mso-width-relative:page;mso-height-relative:page;" fillcolor="#FFFFFF" filled="t" stroked="f" coordsize="21600,21600" o:gfxdata="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q+642gAAAAsBAAAPAAAAAAAAAAEAIAAAACIAAABkcnMvZG93bnJldi54&#10;bWxQSwECFAAUAAAACACHTuJAobalijECAABGBAAADgAAAAAAAAABACAAAAApAQAAZHJzL2Uyb0Rv&#10;Yy54bWxQSwUGAAAAAAYABgBZAQAAzAUAAAAA&#10;">
                <v:fill on="t" focussize="0,0"/>
                <v:stroke on="f"/>
                <v:imagedata o:title=""/>
                <o:lock v:ext="edit" aspectratio="f"/>
                <v:textbox inset="0mm,0mm,0mm,0mm">
                  <w:txbxContent>
                    <w:p w14:paraId="5DB6A565">
                      <w:pPr>
                        <w:jc w:val="center"/>
                        <w:rPr>
                          <w:rFonts w:hint="eastAsia" w:ascii="黑体" w:hAnsi="黑体" w:eastAsia="黑体"/>
                          <w:color w:val="000000"/>
                          <w:spacing w:val="20"/>
                          <w:sz w:val="52"/>
                          <w:szCs w:val="52"/>
                        </w:rPr>
                      </w:pPr>
                      <w:r>
                        <w:rPr>
                          <w:rFonts w:hint="eastAsia" w:ascii="黑体" w:hAnsi="黑体" w:eastAsia="黑体"/>
                          <w:color w:val="000000"/>
                          <w:spacing w:val="20"/>
                          <w:sz w:val="52"/>
                          <w:szCs w:val="52"/>
                        </w:rPr>
                        <w:t>水土保持综合治理工程遥感监管技术规范</w:t>
                      </w:r>
                    </w:p>
                  </w:txbxContent>
                </v:textbox>
                <w10:anchorlock/>
              </v:shape>
            </w:pict>
          </mc:Fallback>
        </mc:AlternateContent>
      </w:r>
    </w:p>
    <w:p w14:paraId="4F177542">
      <w:pPr>
        <w:pStyle w:val="2"/>
        <w:rPr>
          <w:rFonts w:hint="eastAsia" w:ascii="黑体" w:hAnsi="黑体" w:eastAsia="黑体" w:cs="黑体"/>
          <w:color w:val="auto"/>
          <w:sz w:val="32"/>
          <w:szCs w:val="32"/>
        </w:rPr>
      </w:pPr>
      <w:r>
        <w:rPr>
          <w:b/>
          <w:color w:val="auto"/>
          <w:sz w:val="96"/>
          <w:szCs w:val="96"/>
        </w:rPr>
        <mc:AlternateContent>
          <mc:Choice Requires="wps">
            <w:drawing>
              <wp:anchor distT="0" distB="0" distL="114300" distR="114300" simplePos="0" relativeHeight="251669504" behindDoc="0" locked="1" layoutInCell="1" allowOverlap="1">
                <wp:simplePos x="0" y="0"/>
                <wp:positionH relativeFrom="margin">
                  <wp:posOffset>-257175</wp:posOffset>
                </wp:positionH>
                <wp:positionV relativeFrom="page">
                  <wp:posOffset>4881880</wp:posOffset>
                </wp:positionV>
                <wp:extent cx="6404610" cy="461010"/>
                <wp:effectExtent l="0" t="0" r="15240" b="15240"/>
                <wp:wrapNone/>
                <wp:docPr id="16" name="文本框 4"/>
                <wp:cNvGraphicFramePr/>
                <a:graphic xmlns:a="http://schemas.openxmlformats.org/drawingml/2006/main">
                  <a:graphicData uri="http://schemas.microsoft.com/office/word/2010/wordprocessingShape">
                    <wps:wsp>
                      <wps:cNvSpPr txBox="1"/>
                      <wps:spPr>
                        <a:xfrm>
                          <a:off x="0" y="0"/>
                          <a:ext cx="6404610" cy="461010"/>
                        </a:xfrm>
                        <a:prstGeom prst="rect">
                          <a:avLst/>
                        </a:prstGeom>
                        <a:solidFill>
                          <a:srgbClr val="FFFFFF"/>
                        </a:solidFill>
                        <a:ln>
                          <a:noFill/>
                        </a:ln>
                      </wps:spPr>
                      <wps:txbx>
                        <w:txbxContent>
                          <w:p w14:paraId="55EF264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 xml:space="preserve">Technical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pecification for </w:t>
                            </w:r>
                            <w:r>
                              <w:rPr>
                                <w:rFonts w:hint="default" w:ascii="Times New Roman" w:hAnsi="Times New Roman" w:eastAsia="黑体" w:cs="Times New Roman"/>
                                <w:color w:val="000000"/>
                                <w:sz w:val="32"/>
                                <w:szCs w:val="32"/>
                                <w:lang w:val="en-US" w:eastAsia="zh-CN"/>
                              </w:rPr>
                              <w:t>r</w:t>
                            </w:r>
                            <w:r>
                              <w:rPr>
                                <w:rFonts w:hint="default" w:ascii="Times New Roman" w:hAnsi="Times New Roman" w:eastAsia="黑体" w:cs="Times New Roman"/>
                                <w:color w:val="000000"/>
                                <w:sz w:val="32"/>
                                <w:szCs w:val="32"/>
                              </w:rPr>
                              <w:t xml:space="preserve">emote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ensing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upervision of </w:t>
                            </w:r>
                            <w:r>
                              <w:rPr>
                                <w:rFonts w:hint="default" w:ascii="Times New Roman" w:hAnsi="Times New Roman" w:eastAsia="黑体" w:cs="Times New Roman"/>
                                <w:color w:val="000000"/>
                                <w:sz w:val="32"/>
                                <w:szCs w:val="32"/>
                                <w:lang w:val="en-US" w:eastAsia="zh-CN"/>
                              </w:rPr>
                              <w:t>c</w:t>
                            </w:r>
                            <w:r>
                              <w:rPr>
                                <w:rFonts w:hint="default" w:ascii="Times New Roman" w:hAnsi="Times New Roman" w:eastAsia="黑体" w:cs="Times New Roman"/>
                                <w:color w:val="000000"/>
                                <w:sz w:val="32"/>
                                <w:szCs w:val="32"/>
                              </w:rPr>
                              <w:t xml:space="preserve">omprehensive </w:t>
                            </w:r>
                            <w:r>
                              <w:rPr>
                                <w:rFonts w:hint="default" w:ascii="Times New Roman" w:hAnsi="Times New Roman" w:eastAsia="黑体" w:cs="Times New Roman"/>
                                <w:color w:val="auto"/>
                                <w:sz w:val="32"/>
                                <w:szCs w:val="32"/>
                              </w:rPr>
                              <w:t xml:space="preserve">control of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oi</w:t>
                            </w:r>
                            <w:r>
                              <w:rPr>
                                <w:rFonts w:hint="default" w:ascii="Times New Roman" w:hAnsi="Times New Roman" w:eastAsia="黑体" w:cs="Times New Roman"/>
                                <w:color w:val="000000"/>
                                <w:sz w:val="32"/>
                                <w:szCs w:val="32"/>
                                <w:lang w:val="en-US" w:eastAsia="zh-CN"/>
                              </w:rPr>
                              <w:t>l</w:t>
                            </w:r>
                            <w:r>
                              <w:rPr>
                                <w:rFonts w:hint="default" w:ascii="Times New Roman" w:hAnsi="Times New Roman" w:eastAsia="黑体" w:cs="Times New Roman"/>
                                <w:color w:val="000000"/>
                                <w:sz w:val="32"/>
                                <w:szCs w:val="32"/>
                              </w:rPr>
                              <w:t xml:space="preserve"> and </w:t>
                            </w:r>
                            <w:r>
                              <w:rPr>
                                <w:rFonts w:hint="default" w:ascii="Times New Roman" w:hAnsi="Times New Roman" w:eastAsia="黑体" w:cs="Times New Roman"/>
                                <w:color w:val="000000"/>
                                <w:sz w:val="32"/>
                                <w:szCs w:val="32"/>
                                <w:lang w:val="en-US" w:eastAsia="zh-CN"/>
                              </w:rPr>
                              <w:t>w</w:t>
                            </w:r>
                            <w:r>
                              <w:rPr>
                                <w:rFonts w:hint="default" w:ascii="Times New Roman" w:hAnsi="Times New Roman" w:eastAsia="黑体" w:cs="Times New Roman"/>
                                <w:color w:val="000000"/>
                                <w:sz w:val="32"/>
                                <w:szCs w:val="32"/>
                              </w:rPr>
                              <w:t xml:space="preserve">ater </w:t>
                            </w:r>
                            <w:r>
                              <w:rPr>
                                <w:rFonts w:hint="default" w:ascii="Times New Roman" w:hAnsi="Times New Roman" w:eastAsia="黑体" w:cs="Times New Roman"/>
                                <w:color w:val="000000"/>
                                <w:sz w:val="32"/>
                                <w:szCs w:val="32"/>
                                <w:lang w:val="en-US" w:eastAsia="zh-CN"/>
                              </w:rPr>
                              <w:t>c</w:t>
                            </w:r>
                            <w:r>
                              <w:rPr>
                                <w:rFonts w:hint="default" w:ascii="Times New Roman" w:hAnsi="Times New Roman" w:eastAsia="黑体" w:cs="Times New Roman"/>
                                <w:color w:val="000000"/>
                                <w:sz w:val="32"/>
                                <w:szCs w:val="32"/>
                              </w:rPr>
                              <w:t xml:space="preserve">onservation </w:t>
                            </w:r>
                            <w:r>
                              <w:rPr>
                                <w:rFonts w:hint="default" w:ascii="Times New Roman" w:hAnsi="Times New Roman" w:eastAsia="黑体" w:cs="Times New Roman"/>
                                <w:color w:val="000000"/>
                                <w:sz w:val="32"/>
                                <w:szCs w:val="32"/>
                                <w:lang w:val="en-US" w:eastAsia="zh-CN"/>
                              </w:rPr>
                              <w:t>e</w:t>
                            </w:r>
                            <w:r>
                              <w:rPr>
                                <w:rFonts w:hint="default" w:ascii="Times New Roman" w:hAnsi="Times New Roman" w:eastAsia="黑体" w:cs="Times New Roman"/>
                                <w:color w:val="000000"/>
                                <w:sz w:val="32"/>
                                <w:szCs w:val="32"/>
                              </w:rPr>
                              <w:t>ngineering</w:t>
                            </w:r>
                          </w:p>
                        </w:txbxContent>
                      </wps:txbx>
                      <wps:bodyPr wrap="square" lIns="0" tIns="0" rIns="0" bIns="0" anchor="ctr" anchorCtr="0" upright="1">
                        <a:spAutoFit/>
                      </wps:bodyPr>
                    </wps:wsp>
                  </a:graphicData>
                </a:graphic>
              </wp:anchor>
            </w:drawing>
          </mc:Choice>
          <mc:Fallback>
            <w:pict>
              <v:shape id="文本框 4" o:spid="_x0000_s1026" o:spt="202" type="#_x0000_t202" style="position:absolute;left:0pt;margin-left:-20.25pt;margin-top:384.4pt;height:36.3pt;width:504.3pt;mso-position-horizontal-relative:margin;mso-position-vertical-relative:page;z-index:251669504;v-text-anchor:middle;mso-width-relative:page;mso-height-relative:page;" fillcolor="#FFFFFF" filled="t" stroked="f" coordsize="21600,21600" o:gfxdata="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GosX3vbAAAACwEAAA8AAAAAAAAAAQAgAAAAIgAAAGRycy9kb3ducmV2LnhtbFBLAQIUABQA&#10;AAAIAIdO4kAzw/137QEAAN8DAAAOAAAAAAAAAAEAIAAAACoBAABkcnMvZTJvRG9jLnhtbFBLBQYA&#10;AAAABgAGAFkBAACJBQAAAAA=&#10;">
                <v:fill on="t" focussize="0,0"/>
                <v:stroke on="f"/>
                <v:imagedata o:title=""/>
                <o:lock v:ext="edit" aspectratio="f"/>
                <v:textbox inset="0mm,0mm,0mm,0mm" style="mso-fit-shape-to-text:t;">
                  <w:txbxContent>
                    <w:p w14:paraId="55EF264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 xml:space="preserve">Technical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pecification for </w:t>
                      </w:r>
                      <w:r>
                        <w:rPr>
                          <w:rFonts w:hint="default" w:ascii="Times New Roman" w:hAnsi="Times New Roman" w:eastAsia="黑体" w:cs="Times New Roman"/>
                          <w:color w:val="000000"/>
                          <w:sz w:val="32"/>
                          <w:szCs w:val="32"/>
                          <w:lang w:val="en-US" w:eastAsia="zh-CN"/>
                        </w:rPr>
                        <w:t>r</w:t>
                      </w:r>
                      <w:r>
                        <w:rPr>
                          <w:rFonts w:hint="default" w:ascii="Times New Roman" w:hAnsi="Times New Roman" w:eastAsia="黑体" w:cs="Times New Roman"/>
                          <w:color w:val="000000"/>
                          <w:sz w:val="32"/>
                          <w:szCs w:val="32"/>
                        </w:rPr>
                        <w:t xml:space="preserve">emote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ensing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 xml:space="preserve">upervision of </w:t>
                      </w:r>
                      <w:r>
                        <w:rPr>
                          <w:rFonts w:hint="default" w:ascii="Times New Roman" w:hAnsi="Times New Roman" w:eastAsia="黑体" w:cs="Times New Roman"/>
                          <w:color w:val="000000"/>
                          <w:sz w:val="32"/>
                          <w:szCs w:val="32"/>
                          <w:lang w:val="en-US" w:eastAsia="zh-CN"/>
                        </w:rPr>
                        <w:t>c</w:t>
                      </w:r>
                      <w:r>
                        <w:rPr>
                          <w:rFonts w:hint="default" w:ascii="Times New Roman" w:hAnsi="Times New Roman" w:eastAsia="黑体" w:cs="Times New Roman"/>
                          <w:color w:val="000000"/>
                          <w:sz w:val="32"/>
                          <w:szCs w:val="32"/>
                        </w:rPr>
                        <w:t xml:space="preserve">omprehensive </w:t>
                      </w:r>
                      <w:r>
                        <w:rPr>
                          <w:rFonts w:hint="default" w:ascii="Times New Roman" w:hAnsi="Times New Roman" w:eastAsia="黑体" w:cs="Times New Roman"/>
                          <w:color w:val="auto"/>
                          <w:sz w:val="32"/>
                          <w:szCs w:val="32"/>
                        </w:rPr>
                        <w:t xml:space="preserve">control of </w:t>
                      </w:r>
                      <w:r>
                        <w:rPr>
                          <w:rFonts w:hint="default" w:ascii="Times New Roman" w:hAnsi="Times New Roman" w:eastAsia="黑体" w:cs="Times New Roman"/>
                          <w:color w:val="000000"/>
                          <w:sz w:val="32"/>
                          <w:szCs w:val="32"/>
                          <w:lang w:val="en-US" w:eastAsia="zh-CN"/>
                        </w:rPr>
                        <w:t>s</w:t>
                      </w:r>
                      <w:r>
                        <w:rPr>
                          <w:rFonts w:hint="default" w:ascii="Times New Roman" w:hAnsi="Times New Roman" w:eastAsia="黑体" w:cs="Times New Roman"/>
                          <w:color w:val="000000"/>
                          <w:sz w:val="32"/>
                          <w:szCs w:val="32"/>
                        </w:rPr>
                        <w:t>oi</w:t>
                      </w:r>
                      <w:r>
                        <w:rPr>
                          <w:rFonts w:hint="default" w:ascii="Times New Roman" w:hAnsi="Times New Roman" w:eastAsia="黑体" w:cs="Times New Roman"/>
                          <w:color w:val="000000"/>
                          <w:sz w:val="32"/>
                          <w:szCs w:val="32"/>
                          <w:lang w:val="en-US" w:eastAsia="zh-CN"/>
                        </w:rPr>
                        <w:t>l</w:t>
                      </w:r>
                      <w:r>
                        <w:rPr>
                          <w:rFonts w:hint="default" w:ascii="Times New Roman" w:hAnsi="Times New Roman" w:eastAsia="黑体" w:cs="Times New Roman"/>
                          <w:color w:val="000000"/>
                          <w:sz w:val="32"/>
                          <w:szCs w:val="32"/>
                        </w:rPr>
                        <w:t xml:space="preserve"> and </w:t>
                      </w:r>
                      <w:r>
                        <w:rPr>
                          <w:rFonts w:hint="default" w:ascii="Times New Roman" w:hAnsi="Times New Roman" w:eastAsia="黑体" w:cs="Times New Roman"/>
                          <w:color w:val="000000"/>
                          <w:sz w:val="32"/>
                          <w:szCs w:val="32"/>
                          <w:lang w:val="en-US" w:eastAsia="zh-CN"/>
                        </w:rPr>
                        <w:t>w</w:t>
                      </w:r>
                      <w:r>
                        <w:rPr>
                          <w:rFonts w:hint="default" w:ascii="Times New Roman" w:hAnsi="Times New Roman" w:eastAsia="黑体" w:cs="Times New Roman"/>
                          <w:color w:val="000000"/>
                          <w:sz w:val="32"/>
                          <w:szCs w:val="32"/>
                        </w:rPr>
                        <w:t xml:space="preserve">ater </w:t>
                      </w:r>
                      <w:r>
                        <w:rPr>
                          <w:rFonts w:hint="default" w:ascii="Times New Roman" w:hAnsi="Times New Roman" w:eastAsia="黑体" w:cs="Times New Roman"/>
                          <w:color w:val="000000"/>
                          <w:sz w:val="32"/>
                          <w:szCs w:val="32"/>
                          <w:lang w:val="en-US" w:eastAsia="zh-CN"/>
                        </w:rPr>
                        <w:t>c</w:t>
                      </w:r>
                      <w:r>
                        <w:rPr>
                          <w:rFonts w:hint="default" w:ascii="Times New Roman" w:hAnsi="Times New Roman" w:eastAsia="黑体" w:cs="Times New Roman"/>
                          <w:color w:val="000000"/>
                          <w:sz w:val="32"/>
                          <w:szCs w:val="32"/>
                        </w:rPr>
                        <w:t xml:space="preserve">onservation </w:t>
                      </w:r>
                      <w:r>
                        <w:rPr>
                          <w:rFonts w:hint="default" w:ascii="Times New Roman" w:hAnsi="Times New Roman" w:eastAsia="黑体" w:cs="Times New Roman"/>
                          <w:color w:val="000000"/>
                          <w:sz w:val="32"/>
                          <w:szCs w:val="32"/>
                          <w:lang w:val="en-US" w:eastAsia="zh-CN"/>
                        </w:rPr>
                        <w:t>e</w:t>
                      </w:r>
                      <w:r>
                        <w:rPr>
                          <w:rFonts w:hint="default" w:ascii="Times New Roman" w:hAnsi="Times New Roman" w:eastAsia="黑体" w:cs="Times New Roman"/>
                          <w:color w:val="000000"/>
                          <w:sz w:val="32"/>
                          <w:szCs w:val="32"/>
                        </w:rPr>
                        <w:t>ngineering</w:t>
                      </w:r>
                    </w:p>
                  </w:txbxContent>
                </v:textbox>
                <w10:anchorlock/>
              </v:shape>
            </w:pict>
          </mc:Fallback>
        </mc:AlternateContent>
      </w:r>
    </w:p>
    <w:p w14:paraId="6E3EF29B">
      <w:pPr>
        <w:pStyle w:val="2"/>
        <w:keepNext w:val="0"/>
        <w:keepLines w:val="0"/>
        <w:pageBreakBefore w:val="0"/>
        <w:widowControl w:val="0"/>
        <w:kinsoku/>
        <w:wordWrap/>
        <w:overflowPunct/>
        <w:topLinePunct w:val="0"/>
        <w:autoSpaceDE w:val="0"/>
        <w:autoSpaceDN w:val="0"/>
        <w:bidi w:val="0"/>
        <w:adjustRightInd w:val="0"/>
        <w:snapToGrid/>
        <w:spacing w:before="313" w:beforeLines="100"/>
        <w:ind w:left="0" w:leftChars="0" w:firstLine="0" w:firstLineChars="0"/>
        <w:jc w:val="center"/>
        <w:textAlignment w:val="baseline"/>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（征求意见稿）</w:t>
      </w:r>
    </w:p>
    <w:p w14:paraId="6D7A8A1A">
      <w:pPr>
        <w:pStyle w:val="2"/>
        <w:rPr>
          <w:rFonts w:hint="eastAsia" w:ascii="黑体" w:hAnsi="黑体" w:eastAsia="黑体" w:cs="黑体"/>
          <w:color w:val="auto"/>
          <w:sz w:val="32"/>
          <w:szCs w:val="32"/>
        </w:rPr>
      </w:pPr>
      <w:r>
        <w:rPr>
          <w:b/>
          <w:color w:val="auto"/>
          <w:sz w:val="96"/>
          <w:szCs w:val="96"/>
        </w:rPr>
        <mc:AlternateContent>
          <mc:Choice Requires="wps">
            <w:drawing>
              <wp:anchor distT="0" distB="0" distL="114300" distR="114300" simplePos="0" relativeHeight="251673600" behindDoc="0" locked="1" layoutInCell="1" allowOverlap="1">
                <wp:simplePos x="0" y="0"/>
                <wp:positionH relativeFrom="margin">
                  <wp:posOffset>1225550</wp:posOffset>
                </wp:positionH>
                <wp:positionV relativeFrom="page">
                  <wp:posOffset>9607550</wp:posOffset>
                </wp:positionV>
                <wp:extent cx="2591435" cy="329565"/>
                <wp:effectExtent l="0" t="0" r="0" b="0"/>
                <wp:wrapNone/>
                <wp:docPr id="18" name="文本框 5"/>
                <wp:cNvGraphicFramePr/>
                <a:graphic xmlns:a="http://schemas.openxmlformats.org/drawingml/2006/main">
                  <a:graphicData uri="http://schemas.microsoft.com/office/word/2010/wordprocessingShape">
                    <wps:wsp>
                      <wps:cNvSpPr txBox="1"/>
                      <wps:spPr>
                        <a:xfrm>
                          <a:off x="0" y="0"/>
                          <a:ext cx="2591435" cy="329565"/>
                        </a:xfrm>
                        <a:prstGeom prst="rect">
                          <a:avLst/>
                        </a:prstGeom>
                        <a:noFill/>
                        <a:ln>
                          <a:noFill/>
                        </a:ln>
                      </wps:spPr>
                      <wps:txbx>
                        <w:txbxContent>
                          <w:p w14:paraId="2144C061">
                            <w:pPr>
                              <w:jc w:val="center"/>
                              <w:rPr>
                                <w:rFonts w:hint="eastAsia" w:ascii="黑体" w:hAnsi="黑体" w:eastAsia="黑体" w:cs="黑体"/>
                                <w:color w:val="000000"/>
                                <w:spacing w:val="28"/>
                                <w:sz w:val="32"/>
                                <w:szCs w:val="32"/>
                              </w:rPr>
                            </w:pPr>
                            <w:r>
                              <w:rPr>
                                <w:rFonts w:hint="eastAsia" w:ascii="黑体" w:hAnsi="黑体" w:eastAsia="黑体" w:cs="黑体"/>
                                <w:color w:val="000000"/>
                                <w:spacing w:val="28"/>
                                <w:sz w:val="32"/>
                                <w:szCs w:val="32"/>
                              </w:rPr>
                              <w:t>安徽省市场监督管理局</w:t>
                            </w:r>
                          </w:p>
                        </w:txbxContent>
                      </wps:txbx>
                      <wps:bodyPr lIns="0" tIns="0" rIns="0" bIns="0" anchor="ctr" anchorCtr="0" upright="1"/>
                    </wps:wsp>
                  </a:graphicData>
                </a:graphic>
              </wp:anchor>
            </w:drawing>
          </mc:Choice>
          <mc:Fallback>
            <w:pict>
              <v:shape id="文本框 5" o:spid="_x0000_s1026" o:spt="202" type="#_x0000_t202" style="position:absolute;left:0pt;margin-left:96.5pt;margin-top:756.5pt;height:25.95pt;width:204.05pt;mso-position-horizontal-relative:margin;mso-position-vertical-relative:page;z-index:251673600;v-text-anchor:middle;mso-width-relative:page;mso-height-relative:page;" filled="f" stroked="f" coordsize="21600,21600" o:gfxdata="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hwEedgAAAANAQAADwAAAAAAAAABACAAAAAiAAAAZHJz&#10;L2Rvd25yZXYueG1sUEsBAhQAFAAAAAgAh07iQImiFQnLAQAAjgMAAA4AAAAAAAAAAQAgAAAAJwEA&#10;AGRycy9lMm9Eb2MueG1sUEsFBgAAAAAGAAYAWQEAAGQFAAAAAA==&#10;">
                <v:fill on="f" focussize="0,0"/>
                <v:stroke on="f"/>
                <v:imagedata o:title=""/>
                <o:lock v:ext="edit" aspectratio="f"/>
                <v:textbox inset="0mm,0mm,0mm,0mm">
                  <w:txbxContent>
                    <w:p w14:paraId="2144C061">
                      <w:pPr>
                        <w:jc w:val="center"/>
                        <w:rPr>
                          <w:rFonts w:hint="eastAsia" w:ascii="黑体" w:hAnsi="黑体" w:eastAsia="黑体" w:cs="黑体"/>
                          <w:color w:val="000000"/>
                          <w:spacing w:val="28"/>
                          <w:sz w:val="32"/>
                          <w:szCs w:val="32"/>
                        </w:rPr>
                      </w:pPr>
                      <w:r>
                        <w:rPr>
                          <w:rFonts w:hint="eastAsia" w:ascii="黑体" w:hAnsi="黑体" w:eastAsia="黑体" w:cs="黑体"/>
                          <w:color w:val="000000"/>
                          <w:spacing w:val="28"/>
                          <w:sz w:val="32"/>
                          <w:szCs w:val="32"/>
                        </w:rPr>
                        <w:t>安徽省市场监督管理局</w:t>
                      </w:r>
                    </w:p>
                  </w:txbxContent>
                </v:textbox>
                <w10:anchorlock/>
              </v:shape>
            </w:pict>
          </mc:Fallback>
        </mc:AlternateContent>
      </w:r>
      <w:r>
        <w:rPr>
          <w:b/>
          <w:color w:val="auto"/>
          <w:sz w:val="96"/>
          <w:szCs w:val="96"/>
        </w:rPr>
        <mc:AlternateContent>
          <mc:Choice Requires="wps">
            <w:drawing>
              <wp:anchor distT="0" distB="0" distL="114300" distR="114300" simplePos="0" relativeHeight="251672576" behindDoc="0" locked="1" layoutInCell="1" allowOverlap="1">
                <wp:simplePos x="0" y="0"/>
                <wp:positionH relativeFrom="margin">
                  <wp:posOffset>4518660</wp:posOffset>
                </wp:positionH>
                <wp:positionV relativeFrom="page">
                  <wp:posOffset>8868410</wp:posOffset>
                </wp:positionV>
                <wp:extent cx="1665605" cy="313690"/>
                <wp:effectExtent l="0" t="0" r="0" b="0"/>
                <wp:wrapNone/>
                <wp:docPr id="20" name="文本框 574288393"/>
                <wp:cNvGraphicFramePr/>
                <a:graphic xmlns:a="http://schemas.openxmlformats.org/drawingml/2006/main">
                  <a:graphicData uri="http://schemas.microsoft.com/office/word/2010/wordprocessingShape">
                    <wps:wsp>
                      <wps:cNvSpPr txBox="1">
                        <a:spLocks noChangeArrowheads="1"/>
                      </wps:cNvSpPr>
                      <wps:spPr bwMode="auto">
                        <a:xfrm>
                          <a:off x="0" y="0"/>
                          <a:ext cx="1665605" cy="313690"/>
                        </a:xfrm>
                        <a:prstGeom prst="rect">
                          <a:avLst/>
                        </a:prstGeom>
                        <a:noFill/>
                        <a:ln>
                          <a:noFill/>
                        </a:ln>
                        <a:effectLst/>
                      </wps:spPr>
                      <wps:txbx>
                        <w:txbxContent>
                          <w:p w14:paraId="497DD516">
                            <w:pPr>
                              <w:jc w:val="center"/>
                              <w:rPr>
                                <w:rFonts w:hint="eastAsia" w:ascii="黑体" w:hAnsi="黑体" w:eastAsia="黑体"/>
                                <w:color w:val="000000"/>
                                <w:sz w:val="28"/>
                                <w:szCs w:val="28"/>
                              </w:rPr>
                            </w:pPr>
                            <w:r>
                              <w:rPr>
                                <w:rFonts w:ascii="黑体" w:hAnsi="黑体" w:eastAsia="黑体"/>
                                <w:bCs/>
                                <w:color w:val="000000"/>
                                <w:sz w:val="28"/>
                                <w:szCs w:val="28"/>
                              </w:rPr>
                              <w:t>20XX─XX─XX实施</w:t>
                            </w:r>
                          </w:p>
                        </w:txbxContent>
                      </wps:txbx>
                      <wps:bodyPr rot="0" vert="horz" wrap="square" lIns="0" tIns="0" rIns="0" bIns="0" anchor="ctr" anchorCtr="0">
                        <a:noAutofit/>
                      </wps:bodyPr>
                    </wps:wsp>
                  </a:graphicData>
                </a:graphic>
              </wp:anchor>
            </w:drawing>
          </mc:Choice>
          <mc:Fallback>
            <w:pict>
              <v:shape id="文本框 574288393" o:spid="_x0000_s1026" o:spt="202" type="#_x0000_t202" style="position:absolute;left:0pt;margin-left:355.8pt;margin-top:698.3pt;height:24.7pt;width:131.15pt;mso-position-horizontal-relative:margin;mso-position-vertical-relative:page;z-index:251672576;v-text-anchor:middle;mso-width-relative:page;mso-height-relative:page;" filled="f" stroked="f" coordsize="21600,21600" o:gfxdata="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otDQvbAAAADQEAAA8A&#10;AAAAAAAAAQAgAAAAIgAAAGRycy9kb3ducmV2LnhtbFBLAQIUABQAAAAIAIdO4kAfv9b/FAIAABIE&#10;AAAOAAAAAAAAAAEAIAAAACoBAABkcnMvZTJvRG9jLnhtbFBLBQYAAAAABgAGAFkBAACwBQAAAAA=&#10;">
                <v:fill on="f" focussize="0,0"/>
                <v:stroke on="f"/>
                <v:imagedata o:title=""/>
                <o:lock v:ext="edit" aspectratio="f"/>
                <v:textbox inset="0mm,0mm,0mm,0mm">
                  <w:txbxContent>
                    <w:p w14:paraId="497DD516">
                      <w:pPr>
                        <w:jc w:val="center"/>
                        <w:rPr>
                          <w:rFonts w:hint="eastAsia" w:ascii="黑体" w:hAnsi="黑体" w:eastAsia="黑体"/>
                          <w:color w:val="000000"/>
                          <w:sz w:val="28"/>
                          <w:szCs w:val="28"/>
                        </w:rPr>
                      </w:pPr>
                      <w:r>
                        <w:rPr>
                          <w:rFonts w:ascii="黑体" w:hAnsi="黑体" w:eastAsia="黑体"/>
                          <w:bCs/>
                          <w:color w:val="000000"/>
                          <w:sz w:val="28"/>
                          <w:szCs w:val="28"/>
                        </w:rPr>
                        <w:t>20XX─XX─XX实施</w:t>
                      </w:r>
                    </w:p>
                  </w:txbxContent>
                </v:textbox>
                <w10:anchorlock/>
              </v:shape>
            </w:pict>
          </mc:Fallback>
        </mc:AlternateContent>
      </w:r>
      <w:r>
        <w:rPr>
          <w:b/>
          <w:color w:val="auto"/>
          <w:sz w:val="96"/>
          <w:szCs w:val="96"/>
        </w:rPr>
        <mc:AlternateContent>
          <mc:Choice Requires="wps">
            <w:drawing>
              <wp:anchor distT="0" distB="0" distL="114300" distR="114300" simplePos="0" relativeHeight="251671552" behindDoc="0" locked="1" layoutInCell="1" allowOverlap="1">
                <wp:simplePos x="0" y="0"/>
                <wp:positionH relativeFrom="margin">
                  <wp:posOffset>22860</wp:posOffset>
                </wp:positionH>
                <wp:positionV relativeFrom="page">
                  <wp:posOffset>8856345</wp:posOffset>
                </wp:positionV>
                <wp:extent cx="1465580" cy="381000"/>
                <wp:effectExtent l="0" t="0" r="0" b="0"/>
                <wp:wrapNone/>
                <wp:docPr id="22" name="文本框 1773511323"/>
                <wp:cNvGraphicFramePr/>
                <a:graphic xmlns:a="http://schemas.openxmlformats.org/drawingml/2006/main">
                  <a:graphicData uri="http://schemas.microsoft.com/office/word/2010/wordprocessingShape">
                    <wps:wsp>
                      <wps:cNvSpPr txBox="1">
                        <a:spLocks noChangeArrowheads="1"/>
                      </wps:cNvSpPr>
                      <wps:spPr bwMode="auto">
                        <a:xfrm>
                          <a:off x="0" y="0"/>
                          <a:ext cx="1465580" cy="381000"/>
                        </a:xfrm>
                        <a:prstGeom prst="rect">
                          <a:avLst/>
                        </a:prstGeom>
                        <a:noFill/>
                        <a:ln>
                          <a:noFill/>
                        </a:ln>
                        <a:effectLst/>
                      </wps:spPr>
                      <wps:txbx>
                        <w:txbxContent>
                          <w:p w14:paraId="0DC0E20F">
                            <w:pPr>
                              <w:jc w:val="center"/>
                              <w:rPr>
                                <w:rFonts w:hint="eastAsia" w:ascii="黑体" w:hAnsi="黑体" w:eastAsia="黑体"/>
                                <w:color w:val="000000"/>
                                <w:sz w:val="28"/>
                                <w:szCs w:val="28"/>
                              </w:rPr>
                            </w:pPr>
                            <w:r>
                              <w:rPr>
                                <w:rFonts w:ascii="黑体" w:hAnsi="黑体" w:eastAsia="黑体"/>
                                <w:bCs/>
                                <w:color w:val="000000"/>
                                <w:sz w:val="28"/>
                                <w:szCs w:val="28"/>
                              </w:rPr>
                              <w:t>20XX─XX─XX发布</w:t>
                            </w:r>
                          </w:p>
                        </w:txbxContent>
                      </wps:txbx>
                      <wps:bodyPr rot="0" vert="horz" wrap="square" lIns="0" tIns="0" rIns="0" bIns="0" anchor="ctr" anchorCtr="0">
                        <a:noAutofit/>
                      </wps:bodyPr>
                    </wps:wsp>
                  </a:graphicData>
                </a:graphic>
              </wp:anchor>
            </w:drawing>
          </mc:Choice>
          <mc:Fallback>
            <w:pict>
              <v:shape id="文本框 1773511323" o:spid="_x0000_s1026" o:spt="202" type="#_x0000_t202" style="position:absolute;left:0pt;margin-left:1.8pt;margin-top:697.35pt;height:30pt;width:115.4pt;mso-position-horizontal-relative:margin;mso-position-vertical-relative:page;z-index:251671552;v-text-anchor:middle;mso-width-relative:page;mso-height-relative:page;" filled="f" stroked="f" coordsize="21600,21600" o:gfxdata="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w5Rw9kAAAALAQAADwAA&#10;AAAAAAABACAAAAAiAAAAZHJzL2Rvd25yZXYueG1sUEsBAhQAFAAAAAgAh07iQPIuZSQVAgAAEwQA&#10;AA4AAAAAAAAAAQAgAAAAKAEAAGRycy9lMm9Eb2MueG1sUEsFBgAAAAAGAAYAWQEAAK8FAAAAAA==&#10;">
                <v:fill on="f" focussize="0,0"/>
                <v:stroke on="f"/>
                <v:imagedata o:title=""/>
                <o:lock v:ext="edit" aspectratio="f"/>
                <v:textbox inset="0mm,0mm,0mm,0mm">
                  <w:txbxContent>
                    <w:p w14:paraId="0DC0E20F">
                      <w:pPr>
                        <w:jc w:val="center"/>
                        <w:rPr>
                          <w:rFonts w:hint="eastAsia" w:ascii="黑体" w:hAnsi="黑体" w:eastAsia="黑体"/>
                          <w:color w:val="000000"/>
                          <w:sz w:val="28"/>
                          <w:szCs w:val="28"/>
                        </w:rPr>
                      </w:pPr>
                      <w:r>
                        <w:rPr>
                          <w:rFonts w:ascii="黑体" w:hAnsi="黑体" w:eastAsia="黑体"/>
                          <w:bCs/>
                          <w:color w:val="000000"/>
                          <w:sz w:val="28"/>
                          <w:szCs w:val="28"/>
                        </w:rPr>
                        <w:t>20XX─XX─XX发布</w:t>
                      </w:r>
                    </w:p>
                  </w:txbxContent>
                </v:textbox>
                <w10:anchorlock/>
              </v:shape>
            </w:pict>
          </mc:Fallback>
        </mc:AlternateContent>
      </w:r>
    </w:p>
    <w:p w14:paraId="7D86AFEB">
      <w:pPr>
        <w:pStyle w:val="2"/>
        <w:rPr>
          <w:rFonts w:hint="eastAsia" w:ascii="黑体" w:hAnsi="黑体" w:eastAsia="黑体" w:cs="黑体"/>
          <w:color w:val="auto"/>
          <w:sz w:val="32"/>
          <w:szCs w:val="32"/>
        </w:rPr>
      </w:pPr>
      <w:r>
        <w:rPr>
          <w:b/>
          <w:color w:val="auto"/>
          <w:szCs w:val="28"/>
        </w:rPr>
        <mc:AlternateContent>
          <mc:Choice Requires="wps">
            <w:drawing>
              <wp:anchor distT="0" distB="0" distL="114300" distR="114300" simplePos="0" relativeHeight="251670528" behindDoc="0" locked="0" layoutInCell="1" allowOverlap="1">
                <wp:simplePos x="0" y="0"/>
                <wp:positionH relativeFrom="column">
                  <wp:posOffset>-11430</wp:posOffset>
                </wp:positionH>
                <wp:positionV relativeFrom="page">
                  <wp:posOffset>9254490</wp:posOffset>
                </wp:positionV>
                <wp:extent cx="6119495" cy="0"/>
                <wp:effectExtent l="0" t="4445" r="0" b="5080"/>
                <wp:wrapTopAndBottom/>
                <wp:docPr id="24" name="直接连接符 6"/>
                <wp:cNvGraphicFramePr/>
                <a:graphic xmlns:a="http://schemas.openxmlformats.org/drawingml/2006/main">
                  <a:graphicData uri="http://schemas.microsoft.com/office/word/2010/wordprocessingShape">
                    <wps:wsp>
                      <wps:cNvCnPr>
                        <a:cxnSpLocks noChangeShapeType="1"/>
                      </wps:cNvCnPr>
                      <wps:spPr bwMode="auto">
                        <a:xfrm flipV="1">
                          <a:off x="0" y="0"/>
                          <a:ext cx="6119495" cy="0"/>
                        </a:xfrm>
                        <a:prstGeom prst="line">
                          <a:avLst/>
                        </a:prstGeom>
                        <a:noFill/>
                        <a:ln w="9525">
                          <a:solidFill>
                            <a:srgbClr val="000000"/>
                          </a:solidFill>
                          <a:round/>
                        </a:ln>
                        <a:effectLst/>
                      </wps:spPr>
                      <wps:bodyPr/>
                    </wps:wsp>
                  </a:graphicData>
                </a:graphic>
              </wp:anchor>
            </w:drawing>
          </mc:Choice>
          <mc:Fallback>
            <w:pict>
              <v:line id="直接连接符 6" o:spid="_x0000_s1026" o:spt="20" style="position:absolute;left:0pt;flip:y;margin-left:-0.9pt;margin-top:728.7pt;height:0pt;width:481.85pt;mso-position-vertical-relative:page;mso-wrap-distance-bottom:0pt;mso-wrap-distance-top:0pt;z-index:251670528;mso-width-relative:page;mso-height-relative:page;" filled="f" stroked="t" coordsize="21600,21600" o:gfxdata="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Mwd4DXAAAADAEAAA8AAAAAAAAAAQAgAAAAIgAAAGRycy9kb3ducmV2LnhtbFBLAQIUABQA&#10;AAAIAIdO4kAqYx9N8QEAAMMDAAAOAAAAAAAAAAEAIAAAACYBAABkcnMvZTJvRG9jLnhtbFBLBQYA&#10;AAAABgAGAFkBAACJBQAAAAA=&#10;">
                <v:fill on="f" focussize="0,0"/>
                <v:stroke color="#000000" joinstyle="round"/>
                <v:imagedata o:title=""/>
                <o:lock v:ext="edit" aspectratio="f"/>
                <w10:wrap type="topAndBottom"/>
              </v:line>
            </w:pict>
          </mc:Fallback>
        </mc:AlternateContent>
      </w:r>
    </w:p>
    <w:p w14:paraId="7DE16CCF">
      <w:pPr>
        <w:rPr>
          <w:color w:val="auto"/>
        </w:rPr>
      </w:pPr>
      <w:r>
        <w:rPr>
          <w:rFonts w:hint="eastAsia" w:ascii="隶书" w:hAnsi="Times New Roman" w:eastAsia="隶书"/>
          <w:color w:val="auto"/>
          <w:sz w:val="40"/>
          <w:szCs w:val="44"/>
        </w:rPr>
        <mc:AlternateContent>
          <mc:Choice Requires="wps">
            <w:drawing>
              <wp:anchor distT="0" distB="0" distL="114300" distR="114300" simplePos="0" relativeHeight="251674624" behindDoc="0" locked="0" layoutInCell="1" allowOverlap="1">
                <wp:simplePos x="0" y="0"/>
                <wp:positionH relativeFrom="column">
                  <wp:posOffset>3948430</wp:posOffset>
                </wp:positionH>
                <wp:positionV relativeFrom="page">
                  <wp:posOffset>9606280</wp:posOffset>
                </wp:positionV>
                <wp:extent cx="705485" cy="427355"/>
                <wp:effectExtent l="0" t="0" r="0" b="0"/>
                <wp:wrapNone/>
                <wp:docPr id="26"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705485" cy="427355"/>
                        </a:xfrm>
                        <a:prstGeom prst="rect">
                          <a:avLst/>
                        </a:prstGeom>
                        <a:noFill/>
                        <a:ln>
                          <a:noFill/>
                        </a:ln>
                        <a:effectLst/>
                      </wps:spPr>
                      <wps:txbx>
                        <w:txbxContent>
                          <w:p w14:paraId="79E06896">
                            <w:pPr>
                              <w:ind w:left="170" w:hanging="170"/>
                              <w:jc w:val="center"/>
                              <w:rPr>
                                <w:rFonts w:ascii="黑体" w:eastAsia="黑体"/>
                                <w:sz w:val="28"/>
                                <w:szCs w:val="28"/>
                              </w:rPr>
                            </w:pPr>
                            <w:r>
                              <w:rPr>
                                <w:rFonts w:hint="eastAsia" w:ascii="黑体" w:eastAsia="黑体"/>
                                <w:sz w:val="28"/>
                                <w:szCs w:val="28"/>
                              </w:rPr>
                              <w:t>发</w:t>
                            </w:r>
                            <w:r>
                              <w:rPr>
                                <w:rFonts w:ascii="黑体" w:eastAsia="黑体"/>
                                <w:sz w:val="28"/>
                                <w:szCs w:val="28"/>
                              </w:rPr>
                              <w:tab/>
                            </w:r>
                            <w:r>
                              <w:rPr>
                                <w:rFonts w:hint="eastAsia" w:ascii="黑体" w:eastAsia="黑体"/>
                                <w:sz w:val="28"/>
                                <w:szCs w:val="28"/>
                              </w:rPr>
                              <w:t>布</w:t>
                            </w:r>
                          </w:p>
                        </w:txbxContent>
                      </wps:txbx>
                      <wps:bodyPr rot="0" vert="horz" wrap="square" lIns="0" tIns="0" rIns="0" bIns="0" anchor="t" anchorCtr="0">
                        <a:noAutofit/>
                      </wps:bodyPr>
                    </wps:wsp>
                  </a:graphicData>
                </a:graphic>
              </wp:anchor>
            </w:drawing>
          </mc:Choice>
          <mc:Fallback>
            <w:pict>
              <v:shape id="文本框 10" o:spid="_x0000_s1026" o:spt="202" type="#_x0000_t202" style="position:absolute;left:0pt;margin-left:310.9pt;margin-top:756.4pt;height:33.65pt;width:55.55pt;mso-position-vertical-relative:page;z-index:251674624;mso-width-relative:page;mso-height-relative:page;" filled="f" stroked="f" coordsize="21600,21600" o:gfxdata="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K93jaAAAADQEAAA8AAAAAAAAAAQAg&#10;AAAAIgAAAGRycy9kb3ducmV2LnhtbFBLAQIUABQAAAAIAIdO4kBxNvwaDAIAAAgEAAAOAAAAAAAA&#10;AAEAIAAAACkBAABkcnMvZTJvRG9jLnhtbFBLBQYAAAAABgAGAFkBAACnBQAAAAA=&#10;">
                <v:fill on="f" focussize="0,0"/>
                <v:stroke on="f"/>
                <v:imagedata o:title=""/>
                <o:lock v:ext="edit" aspectratio="f"/>
                <v:textbox inset="0mm,0mm,0mm,0mm">
                  <w:txbxContent>
                    <w:p w14:paraId="79E06896">
                      <w:pPr>
                        <w:ind w:left="170" w:hanging="170"/>
                        <w:jc w:val="center"/>
                        <w:rPr>
                          <w:rFonts w:ascii="黑体" w:eastAsia="黑体"/>
                          <w:sz w:val="28"/>
                          <w:szCs w:val="28"/>
                        </w:rPr>
                      </w:pPr>
                      <w:r>
                        <w:rPr>
                          <w:rFonts w:hint="eastAsia" w:ascii="黑体" w:eastAsia="黑体"/>
                          <w:sz w:val="28"/>
                          <w:szCs w:val="28"/>
                        </w:rPr>
                        <w:t>发</w:t>
                      </w:r>
                      <w:r>
                        <w:rPr>
                          <w:rFonts w:ascii="黑体" w:eastAsia="黑体"/>
                          <w:sz w:val="28"/>
                          <w:szCs w:val="28"/>
                        </w:rPr>
                        <w:tab/>
                      </w:r>
                      <w:r>
                        <w:rPr>
                          <w:rFonts w:hint="eastAsia" w:ascii="黑体" w:eastAsia="黑体"/>
                          <w:sz w:val="28"/>
                          <w:szCs w:val="28"/>
                        </w:rPr>
                        <w:t>布</w:t>
                      </w:r>
                    </w:p>
                  </w:txbxContent>
                </v:textbox>
              </v:shape>
            </w:pict>
          </mc:Fallback>
        </mc:AlternateContent>
      </w:r>
    </w:p>
    <w:p w14:paraId="2D8F5D8A">
      <w:pPr>
        <w:rPr>
          <w:color w:val="auto"/>
        </w:rPr>
        <w:sectPr>
          <w:headerReference r:id="rId4" w:type="first"/>
          <w:footerReference r:id="rId6" w:type="first"/>
          <w:footerReference r:id="rId5" w:type="default"/>
          <w:headerReference r:id="rId3" w:type="even"/>
          <w:pgSz w:w="11906" w:h="16838"/>
          <w:pgMar w:top="567" w:right="850" w:bottom="567" w:left="1417" w:header="40" w:footer="176" w:gutter="0"/>
          <w:pgNumType w:start="1"/>
          <w:cols w:space="0" w:num="1"/>
          <w:formProt w:val="0"/>
          <w:docGrid w:type="linesAndChars" w:linePitch="312" w:charSpace="0"/>
        </w:sectPr>
      </w:pPr>
    </w:p>
    <w:p w14:paraId="20A312A5">
      <w:pPr>
        <w:tabs>
          <w:tab w:val="left" w:pos="3654"/>
          <w:tab w:val="center" w:pos="4677"/>
          <w:tab w:val="right" w:leader="dot" w:pos="8608"/>
        </w:tabs>
        <w:spacing w:line="240" w:lineRule="atLeast"/>
        <w:jc w:val="center"/>
        <w:rPr>
          <w:rFonts w:hint="eastAsia" w:ascii="黑体" w:hAnsi="黑体" w:eastAsia="黑体"/>
          <w:color w:val="auto"/>
          <w:sz w:val="32"/>
          <w:szCs w:val="32"/>
        </w:rPr>
      </w:pPr>
    </w:p>
    <w:p w14:paraId="09AF5554">
      <w:pPr>
        <w:tabs>
          <w:tab w:val="left" w:pos="3654"/>
          <w:tab w:val="center" w:pos="4677"/>
          <w:tab w:val="right" w:leader="dot" w:pos="8608"/>
        </w:tabs>
        <w:spacing w:before="405" w:beforeLines="130" w:after="580" w:line="240" w:lineRule="atLeast"/>
        <w:jc w:val="center"/>
        <w:rPr>
          <w:rFonts w:hint="eastAsia" w:ascii="黑体" w:hAnsi="黑体" w:eastAsia="黑体"/>
          <w:color w:val="auto"/>
          <w:sz w:val="32"/>
          <w:szCs w:val="32"/>
        </w:rPr>
      </w:pPr>
      <w:r>
        <w:rPr>
          <w:rFonts w:ascii="黑体" w:hAnsi="黑体" w:eastAsia="黑体"/>
          <w:color w:val="auto"/>
          <w:sz w:val="32"/>
          <w:szCs w:val="32"/>
        </w:rPr>
        <w:t>目</w:t>
      </w:r>
      <w:r>
        <w:rPr>
          <w:rFonts w:hint="eastAsia" w:ascii="黑体" w:hAnsi="黑体" w:eastAsia="黑体"/>
          <w:color w:val="auto"/>
          <w:sz w:val="32"/>
          <w:szCs w:val="32"/>
        </w:rPr>
        <w:t xml:space="preserve">  </w:t>
      </w:r>
      <w:r>
        <w:rPr>
          <w:rFonts w:ascii="黑体" w:hAnsi="黑体" w:eastAsia="黑体"/>
          <w:color w:val="auto"/>
          <w:sz w:val="32"/>
          <w:szCs w:val="32"/>
        </w:rPr>
        <w:t>次</w:t>
      </w:r>
    </w:p>
    <w:p w14:paraId="36569DA5">
      <w:pPr>
        <w:pStyle w:val="10"/>
        <w:tabs>
          <w:tab w:val="right" w:leader="dot" w:pos="9355"/>
          <w:tab w:val="clear" w:pos="8834"/>
        </w:tabs>
        <w:rPr>
          <w:rFonts w:hint="eastAsia" w:ascii="黑体" w:hAnsi="黑体" w:eastAsia="黑体" w:cs="黑体"/>
          <w:color w:val="auto"/>
          <w:sz w:val="20"/>
          <w:szCs w:val="20"/>
        </w:rPr>
      </w:pPr>
      <w:r>
        <w:rPr>
          <w:rFonts w:hint="eastAsia" w:ascii="宋体" w:hAnsi="宋体" w:cs="宋体"/>
          <w:color w:val="auto"/>
          <w:sz w:val="21"/>
          <w:szCs w:val="21"/>
        </w:rPr>
        <w:fldChar w:fldCharType="begin"/>
      </w:r>
      <w:r>
        <w:rPr>
          <w:rFonts w:hint="eastAsia" w:ascii="宋体" w:hAnsi="宋体" w:cs="宋体"/>
          <w:color w:val="auto"/>
          <w:sz w:val="21"/>
          <w:szCs w:val="21"/>
        </w:rPr>
        <w:instrText xml:space="preserve">TOC \o "1-2" \h \u </w:instrText>
      </w:r>
      <w:r>
        <w:rPr>
          <w:rFonts w:hint="eastAsia" w:ascii="宋体" w:hAnsi="宋体" w:cs="宋体"/>
          <w:color w:val="auto"/>
          <w:sz w:val="21"/>
          <w:szCs w:val="21"/>
        </w:rPr>
        <w:fldChar w:fldCharType="separate"/>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_Toc23244 </w:instrText>
      </w:r>
      <w:r>
        <w:rPr>
          <w:rFonts w:hint="eastAsia" w:ascii="黑体" w:hAnsi="黑体" w:eastAsia="黑体" w:cs="黑体"/>
          <w:color w:val="auto"/>
          <w:sz w:val="20"/>
          <w:szCs w:val="20"/>
        </w:rPr>
        <w:fldChar w:fldCharType="separate"/>
      </w:r>
      <w:r>
        <w:rPr>
          <w:rFonts w:hint="eastAsia" w:ascii="黑体" w:hAnsi="黑体" w:eastAsia="黑体" w:cs="黑体"/>
          <w:bCs/>
          <w:color w:val="auto"/>
          <w:kern w:val="44"/>
          <w:sz w:val="20"/>
          <w:szCs w:val="20"/>
        </w:rPr>
        <w:t>前  言</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_Toc23244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I</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305C3E2B">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_Toc13136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 范围</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_Toc13136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76D6AB2C">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_Toc15164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 规范性引用文件</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_Toc15164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0BFB41C">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_Toc21570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 术语和定义</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_Toc21570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886687B">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_Toc1858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3.1 水土保持综合治理工程</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_Toc1858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1E45AF8A">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_Toc695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 xml:space="preserve">3.2 </w:t>
      </w:r>
      <w:r>
        <w:rPr>
          <w:rFonts w:hint="eastAsia" w:ascii="黑体" w:hAnsi="黑体" w:eastAsia="黑体" w:cs="黑体"/>
          <w:bCs w:val="0"/>
          <w:color w:val="auto"/>
          <w:sz w:val="20"/>
          <w:szCs w:val="20"/>
        </w:rPr>
        <w:t>遥感监管</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_Toc695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799A51FA">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_Toc26347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3.3 水土保持措施图斑</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_Toc26347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7D6184F">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_Toc15045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 基本要求</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_Toc15045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7CBFA1F2">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_Toc28997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4.1 监管内容</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_Toc28997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219567D">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_Toc23884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4.2 监管时间</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_Toc23884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3422F037">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_Toc14737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4.3 空间数据基础</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_Toc14737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05B55126">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_Toc5857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4.4 水土保持措施数据类型</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_Toc5857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30CB7064">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_Toc28420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4.5 矢量数据属性表要求</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_Toc28420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19A78555">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_Toc786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 工程设计</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_Toc786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6C95591E">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_Toc27512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5.1 监管内容</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_Toc27512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281A0ACA">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_Toc5832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5.2 信息采集</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_Toc5832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77D6095">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_Toc12478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5.3 数据处理与分析</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_Toc12478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3</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41BC3678">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_Toc29403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5.4 成果</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_Toc29403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4</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2DFF06B2">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_Toc4468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 工程建设</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_Toc4468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49B9F551">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_Toc2061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6.1 监管内容</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_Toc2061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021FBD51">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_Toc27014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6.2 信息采集</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_Toc27014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5D39089">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_Toc3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6.3 数据处理与分析</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_Toc3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5</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36F753DE">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_Toc11206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6.4 成果</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_Toc11206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70A0535">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_Toc15102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 工程竣工</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_Toc15102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4A15B569">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_Toc30019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7.1 监管内容</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_Toc30019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6</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5D996EB">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_Toc28765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7.2 信息采集</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_Toc28765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2EFBA95E">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_Toc7231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7.3 数据处理与分析</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_Toc7231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64771DE4">
      <w:pPr>
        <w:pStyle w:val="11"/>
        <w:tabs>
          <w:tab w:val="right" w:leader="dot" w:pos="9355"/>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_Toc12339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7.4 成果</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_Toc12339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8</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4940A72C">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_Toc8186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附录A</w:t>
      </w:r>
      <w:r>
        <w:rPr>
          <w:rFonts w:hint="eastAsia" w:ascii="黑体" w:hAnsi="黑体" w:eastAsia="黑体" w:cs="黑体"/>
          <w:color w:val="auto"/>
          <w:kern w:val="44"/>
          <w:sz w:val="20"/>
          <w:szCs w:val="20"/>
          <w:lang w:val="en-US" w:eastAsia="zh-CN"/>
        </w:rPr>
        <w:t xml:space="preserve"> </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_Toc13934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水土保持措施名称、代码及类型</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_Toc13934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10</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133AC7C9">
      <w:pPr>
        <w:pStyle w:val="10"/>
        <w:tabs>
          <w:tab w:val="right" w:leader="dot" w:pos="9355"/>
          <w:tab w:val="clear" w:pos="8834"/>
        </w:tabs>
        <w:rPr>
          <w:rFonts w:hint="eastAsia" w:ascii="黑体" w:hAnsi="黑体" w:eastAsia="黑体" w:cs="黑体"/>
          <w:color w:val="auto"/>
          <w:sz w:val="20"/>
          <w:szCs w:val="20"/>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_Toc18345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附录B</w:t>
      </w:r>
      <w:r>
        <w:rPr>
          <w:rFonts w:hint="eastAsia" w:ascii="黑体" w:hAnsi="黑体" w:eastAsia="黑体" w:cs="黑体"/>
          <w:color w:val="auto"/>
          <w:kern w:val="44"/>
          <w:sz w:val="20"/>
          <w:szCs w:val="20"/>
          <w:lang w:val="en-US" w:eastAsia="zh-CN"/>
        </w:rPr>
        <w:t xml:space="preserve"> </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_Toc29264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影像预处理要求</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_Toc29264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11</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5DC4E56C">
      <w:pPr>
        <w:pStyle w:val="10"/>
        <w:tabs>
          <w:tab w:val="right" w:leader="dot" w:pos="9355"/>
          <w:tab w:val="clear" w:pos="8834"/>
        </w:tabs>
        <w:rPr>
          <w:color w:val="auto"/>
        </w:rPr>
      </w:pP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_Toc7129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附录C</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lang w:val="en-US" w:eastAsia="zh-CN"/>
        </w:rPr>
        <w:t xml:space="preserve"> </w:t>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HYPERLINK \l _Toc20103 </w:instrText>
      </w:r>
      <w:r>
        <w:rPr>
          <w:rFonts w:hint="eastAsia" w:ascii="黑体" w:hAnsi="黑体" w:eastAsia="黑体" w:cs="黑体"/>
          <w:color w:val="auto"/>
          <w:sz w:val="20"/>
          <w:szCs w:val="20"/>
        </w:rPr>
        <w:fldChar w:fldCharType="separate"/>
      </w:r>
      <w:r>
        <w:rPr>
          <w:rFonts w:hint="eastAsia" w:ascii="黑体" w:hAnsi="黑体" w:eastAsia="黑体" w:cs="黑体"/>
          <w:color w:val="auto"/>
          <w:kern w:val="44"/>
          <w:sz w:val="20"/>
          <w:szCs w:val="20"/>
        </w:rPr>
        <w:t>水土保持工程遥感监管措施矢量图属性表结构</w:t>
      </w:r>
      <w:r>
        <w:rPr>
          <w:rFonts w:hint="eastAsia" w:ascii="黑体" w:hAnsi="黑体" w:eastAsia="黑体" w:cs="黑体"/>
          <w:color w:val="auto"/>
          <w:sz w:val="20"/>
          <w:szCs w:val="20"/>
        </w:rPr>
        <w:tab/>
      </w:r>
      <w:r>
        <w:rPr>
          <w:rFonts w:hint="eastAsia" w:ascii="黑体" w:hAnsi="黑体" w:eastAsia="黑体" w:cs="黑体"/>
          <w:color w:val="auto"/>
          <w:sz w:val="20"/>
          <w:szCs w:val="20"/>
        </w:rPr>
        <w:fldChar w:fldCharType="begin"/>
      </w:r>
      <w:r>
        <w:rPr>
          <w:rFonts w:hint="eastAsia" w:ascii="黑体" w:hAnsi="黑体" w:eastAsia="黑体" w:cs="黑体"/>
          <w:color w:val="auto"/>
          <w:sz w:val="20"/>
          <w:szCs w:val="20"/>
        </w:rPr>
        <w:instrText xml:space="preserve"> PAGEREF _Toc20103 \h </w:instrText>
      </w:r>
      <w:r>
        <w:rPr>
          <w:rFonts w:hint="eastAsia" w:ascii="黑体" w:hAnsi="黑体" w:eastAsia="黑体" w:cs="黑体"/>
          <w:color w:val="auto"/>
          <w:sz w:val="20"/>
          <w:szCs w:val="20"/>
        </w:rPr>
        <w:fldChar w:fldCharType="separate"/>
      </w:r>
      <w:r>
        <w:rPr>
          <w:rFonts w:hint="eastAsia" w:ascii="黑体" w:hAnsi="黑体" w:eastAsia="黑体" w:cs="黑体"/>
          <w:color w:val="auto"/>
          <w:sz w:val="20"/>
          <w:szCs w:val="20"/>
        </w:rPr>
        <w:t>12</w:t>
      </w:r>
      <w:r>
        <w:rPr>
          <w:rFonts w:hint="eastAsia" w:ascii="黑体" w:hAnsi="黑体" w:eastAsia="黑体" w:cs="黑体"/>
          <w:color w:val="auto"/>
          <w:sz w:val="20"/>
          <w:szCs w:val="20"/>
        </w:rPr>
        <w:fldChar w:fldCharType="end"/>
      </w:r>
      <w:r>
        <w:rPr>
          <w:rFonts w:hint="eastAsia" w:ascii="黑体" w:hAnsi="黑体" w:eastAsia="黑体" w:cs="黑体"/>
          <w:color w:val="auto"/>
          <w:sz w:val="20"/>
          <w:szCs w:val="20"/>
        </w:rPr>
        <w:fldChar w:fldCharType="end"/>
      </w:r>
    </w:p>
    <w:p w14:paraId="0F0E30C8">
      <w:pPr>
        <w:pStyle w:val="10"/>
        <w:tabs>
          <w:tab w:val="right" w:leader="dot" w:pos="9355"/>
          <w:tab w:val="clear" w:pos="8834"/>
        </w:tabs>
        <w:spacing w:before="0" w:after="0" w:line="240" w:lineRule="auto"/>
        <w:rPr>
          <w:rFonts w:hint="eastAsia" w:ascii="黑体" w:hAnsi="黑体" w:eastAsia="黑体" w:cs="Times New Roman"/>
          <w:color w:val="auto"/>
          <w:sz w:val="32"/>
          <w:szCs w:val="32"/>
        </w:rPr>
      </w:pPr>
      <w:r>
        <w:rPr>
          <w:rFonts w:hint="eastAsia" w:ascii="宋体" w:hAnsi="宋体" w:cs="宋体"/>
          <w:color w:val="auto"/>
          <w:szCs w:val="21"/>
        </w:rPr>
        <w:fldChar w:fldCharType="end"/>
      </w:r>
    </w:p>
    <w:p w14:paraId="0C0A8D15">
      <w:pPr>
        <w:tabs>
          <w:tab w:val="right" w:leader="dot" w:pos="8834"/>
        </w:tabs>
        <w:spacing w:before="120" w:after="120" w:line="400" w:lineRule="exact"/>
        <w:jc w:val="left"/>
        <w:rPr>
          <w:rFonts w:ascii="Times New Roman" w:hAnsi="Times New Roman"/>
          <w:color w:val="auto"/>
          <w:sz w:val="32"/>
          <w:szCs w:val="32"/>
        </w:rPr>
      </w:pPr>
    </w:p>
    <w:p w14:paraId="7429BAB0">
      <w:pPr>
        <w:rPr>
          <w:color w:val="auto"/>
        </w:rPr>
        <w:sectPr>
          <w:headerReference r:id="rId8" w:type="first"/>
          <w:footerReference r:id="rId9" w:type="first"/>
          <w:headerReference r:id="rId7" w:type="default"/>
          <w:pgSz w:w="11906" w:h="16838"/>
          <w:pgMar w:top="1417" w:right="1417" w:bottom="1134" w:left="1134" w:header="850" w:footer="992" w:gutter="0"/>
          <w:pgNumType w:start="1"/>
          <w:cols w:space="0" w:num="1"/>
          <w:docGrid w:type="linesAndChars" w:linePitch="312" w:charSpace="0"/>
        </w:sectPr>
      </w:pPr>
    </w:p>
    <w:p w14:paraId="1B2DBCCB">
      <w:pPr>
        <w:pStyle w:val="10"/>
        <w:tabs>
          <w:tab w:val="left" w:pos="3654"/>
          <w:tab w:val="center" w:pos="4677"/>
          <w:tab w:val="right" w:leader="dot" w:pos="8608"/>
          <w:tab w:val="clear" w:pos="8834"/>
        </w:tabs>
        <w:spacing w:line="240" w:lineRule="atLeast"/>
        <w:jc w:val="center"/>
        <w:rPr>
          <w:rFonts w:hint="eastAsia" w:ascii="黑体" w:hAnsi="黑体" w:eastAsia="黑体"/>
          <w:color w:val="auto"/>
          <w:sz w:val="32"/>
          <w:szCs w:val="32"/>
        </w:rPr>
      </w:pPr>
      <w:bookmarkStart w:id="0" w:name="_Toc15978163"/>
    </w:p>
    <w:p w14:paraId="3D4690F5">
      <w:pPr>
        <w:keepNext/>
        <w:keepLines/>
        <w:spacing w:before="62" w:beforeLines="20" w:after="600" w:line="240" w:lineRule="atLeast"/>
        <w:jc w:val="center"/>
        <w:outlineLvl w:val="0"/>
        <w:rPr>
          <w:rFonts w:ascii="Times New Roman" w:hAnsi="Times New Roman" w:eastAsia="黑体"/>
          <w:b/>
          <w:bCs/>
          <w:color w:val="auto"/>
          <w:kern w:val="44"/>
          <w:sz w:val="32"/>
          <w:szCs w:val="32"/>
        </w:rPr>
      </w:pPr>
      <w:bookmarkStart w:id="1" w:name="_Toc25785"/>
      <w:bookmarkStart w:id="2" w:name="_Toc22716"/>
      <w:bookmarkStart w:id="3" w:name="_Toc23244"/>
      <w:r>
        <w:rPr>
          <w:rFonts w:ascii="Times New Roman" w:hAnsi="Times New Roman" w:eastAsia="黑体"/>
          <w:b/>
          <w:bCs/>
          <w:color w:val="auto"/>
          <w:kern w:val="44"/>
          <w:sz w:val="32"/>
          <w:szCs w:val="32"/>
        </w:rPr>
        <w:t>前  言</w:t>
      </w:r>
      <w:bookmarkEnd w:id="0"/>
      <w:bookmarkEnd w:id="1"/>
      <w:bookmarkEnd w:id="2"/>
      <w:bookmarkEnd w:id="3"/>
    </w:p>
    <w:p w14:paraId="6E949E62">
      <w:pPr>
        <w:pStyle w:val="23"/>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color w:val="auto"/>
        </w:rPr>
      </w:pPr>
      <w:r>
        <w:rPr>
          <w:rFonts w:hint="eastAsia"/>
          <w:color w:val="auto"/>
        </w:rPr>
        <w:t>本标准按照GB/T 1.1-2020给出的规则起草。</w:t>
      </w:r>
    </w:p>
    <w:p w14:paraId="313CF229">
      <w:pPr>
        <w:pStyle w:val="23"/>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color w:val="auto"/>
        </w:rPr>
      </w:pPr>
      <w:r>
        <w:rPr>
          <w:rFonts w:hint="eastAsia"/>
          <w:color w:val="auto"/>
        </w:rPr>
        <w:t>本标准由安徽省水利厅提出并归口。</w:t>
      </w:r>
    </w:p>
    <w:p w14:paraId="389C0C1D">
      <w:pPr>
        <w:pStyle w:val="23"/>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color w:val="auto"/>
        </w:rPr>
      </w:pPr>
      <w:r>
        <w:rPr>
          <w:rFonts w:hint="eastAsia"/>
          <w:color w:val="auto"/>
        </w:rPr>
        <w:t>本标准起草单位：安徽省水文局（安徽省水土保持监测总站）、北京地拓科技发展有限公司、杭州水保科技有限公司。</w:t>
      </w:r>
    </w:p>
    <w:p w14:paraId="54EB3AAF">
      <w:pPr>
        <w:pStyle w:val="23"/>
        <w:keepNext w:val="0"/>
        <w:keepLines w:val="0"/>
        <w:pageBreakBefore w:val="0"/>
        <w:widowControl w:val="0"/>
        <w:kinsoku/>
        <w:wordWrap/>
        <w:overflowPunct/>
        <w:topLinePunct w:val="0"/>
        <w:autoSpaceDE/>
        <w:autoSpaceDN/>
        <w:bidi w:val="0"/>
        <w:adjustRightInd/>
        <w:snapToGrid/>
        <w:spacing w:before="0" w:beforeLines="0" w:after="0" w:afterLines="0" w:line="240" w:lineRule="auto"/>
        <w:textAlignment w:val="auto"/>
        <w:rPr>
          <w:rFonts w:hint="eastAsia"/>
          <w:color w:val="auto"/>
        </w:rPr>
      </w:pPr>
      <w:r>
        <w:rPr>
          <w:rFonts w:hint="eastAsia"/>
          <w:color w:val="auto"/>
        </w:rPr>
        <w:t>本标准主要起草人：</w:t>
      </w:r>
      <w:r>
        <w:rPr>
          <w:rFonts w:hint="eastAsia"/>
          <w:color w:val="auto"/>
          <w:lang w:eastAsia="zh-CN"/>
        </w:rPr>
        <w:t>凤海明、孙小涵、李团宏、步永伟、郭宪杰、张嘉彦、顾娜、高小强、顾李华、吴月芳、许诺、师冬宏</w:t>
      </w:r>
      <w:r>
        <w:rPr>
          <w:rFonts w:hint="eastAsia"/>
          <w:color w:val="auto"/>
        </w:rPr>
        <w:t>。</w:t>
      </w:r>
    </w:p>
    <w:p w14:paraId="7E563788">
      <w:pPr>
        <w:rPr>
          <w:rFonts w:ascii="Times New Roman" w:hAnsi="Times New Roman"/>
          <w:color w:val="auto"/>
          <w:sz w:val="28"/>
          <w:szCs w:val="28"/>
        </w:rPr>
      </w:pPr>
    </w:p>
    <w:p w14:paraId="78323BE4">
      <w:pPr>
        <w:rPr>
          <w:rFonts w:ascii="Times New Roman" w:hAnsi="Times New Roman"/>
          <w:color w:val="auto"/>
          <w:sz w:val="28"/>
          <w:szCs w:val="28"/>
        </w:rPr>
      </w:pPr>
    </w:p>
    <w:p w14:paraId="2B8BB85B">
      <w:pPr>
        <w:rPr>
          <w:rFonts w:ascii="Times New Roman" w:hAnsi="Times New Roman"/>
          <w:color w:val="auto"/>
          <w:sz w:val="28"/>
          <w:szCs w:val="28"/>
        </w:rPr>
      </w:pPr>
    </w:p>
    <w:p w14:paraId="05684A7D">
      <w:pPr>
        <w:rPr>
          <w:rFonts w:ascii="Times New Roman" w:hAnsi="Times New Roman"/>
          <w:color w:val="auto"/>
          <w:sz w:val="28"/>
          <w:szCs w:val="28"/>
        </w:rPr>
      </w:pPr>
    </w:p>
    <w:p w14:paraId="103E8996">
      <w:pPr>
        <w:rPr>
          <w:rFonts w:ascii="Times New Roman" w:hAnsi="Times New Roman"/>
          <w:color w:val="auto"/>
          <w:sz w:val="28"/>
          <w:szCs w:val="28"/>
        </w:rPr>
      </w:pPr>
    </w:p>
    <w:p w14:paraId="5DDC0B60">
      <w:pPr>
        <w:rPr>
          <w:rFonts w:ascii="Times New Roman" w:hAnsi="Times New Roman"/>
          <w:color w:val="auto"/>
          <w:sz w:val="28"/>
          <w:szCs w:val="28"/>
        </w:rPr>
      </w:pPr>
    </w:p>
    <w:p w14:paraId="0EAB2C3C">
      <w:pPr>
        <w:rPr>
          <w:rFonts w:ascii="Times New Roman" w:hAnsi="Times New Roman"/>
          <w:color w:val="auto"/>
          <w:sz w:val="28"/>
          <w:szCs w:val="28"/>
        </w:rPr>
      </w:pPr>
    </w:p>
    <w:p w14:paraId="450C63CE">
      <w:pPr>
        <w:rPr>
          <w:rFonts w:ascii="Times New Roman" w:hAnsi="Times New Roman"/>
          <w:color w:val="auto"/>
          <w:sz w:val="28"/>
          <w:szCs w:val="28"/>
        </w:rPr>
      </w:pPr>
    </w:p>
    <w:p w14:paraId="47071A5E">
      <w:pPr>
        <w:rPr>
          <w:rFonts w:ascii="Times New Roman" w:hAnsi="Times New Roman"/>
          <w:color w:val="auto"/>
          <w:sz w:val="28"/>
          <w:szCs w:val="28"/>
        </w:rPr>
      </w:pPr>
    </w:p>
    <w:p w14:paraId="7C391A89">
      <w:pPr>
        <w:rPr>
          <w:rFonts w:ascii="Times New Roman" w:hAnsi="Times New Roman"/>
          <w:color w:val="auto"/>
          <w:sz w:val="28"/>
          <w:szCs w:val="28"/>
        </w:rPr>
      </w:pPr>
    </w:p>
    <w:p w14:paraId="1AB9DC3F">
      <w:pPr>
        <w:rPr>
          <w:rFonts w:ascii="Times New Roman" w:hAnsi="Times New Roman"/>
          <w:color w:val="auto"/>
          <w:sz w:val="28"/>
          <w:szCs w:val="28"/>
        </w:rPr>
      </w:pPr>
    </w:p>
    <w:p w14:paraId="5DA90481">
      <w:pPr>
        <w:rPr>
          <w:rFonts w:ascii="Times New Roman" w:hAnsi="Times New Roman"/>
          <w:color w:val="auto"/>
          <w:sz w:val="28"/>
          <w:szCs w:val="28"/>
        </w:rPr>
      </w:pPr>
    </w:p>
    <w:p w14:paraId="6065B7A5">
      <w:pPr>
        <w:rPr>
          <w:rFonts w:ascii="Times New Roman" w:hAnsi="Times New Roman"/>
          <w:color w:val="auto"/>
          <w:sz w:val="28"/>
          <w:szCs w:val="28"/>
        </w:rPr>
      </w:pPr>
    </w:p>
    <w:p w14:paraId="7236F13F">
      <w:pPr>
        <w:rPr>
          <w:color w:val="auto"/>
        </w:rPr>
        <w:sectPr>
          <w:footerReference r:id="rId12" w:type="first"/>
          <w:footerReference r:id="rId10" w:type="default"/>
          <w:footerReference r:id="rId11" w:type="even"/>
          <w:pgSz w:w="11906" w:h="16838"/>
          <w:pgMar w:top="1417" w:right="1417" w:bottom="1134" w:left="1134" w:header="850" w:footer="1077" w:gutter="0"/>
          <w:pgNumType w:fmt="upperRoman" w:start="1"/>
          <w:cols w:space="0" w:num="1"/>
          <w:titlePg/>
          <w:docGrid w:type="linesAndChars" w:linePitch="312" w:charSpace="0"/>
        </w:sectPr>
      </w:pPr>
    </w:p>
    <w:p w14:paraId="631D470E">
      <w:pPr>
        <w:keepNext w:val="0"/>
        <w:keepLines w:val="0"/>
        <w:pageBreakBefore w:val="0"/>
        <w:widowControl/>
        <w:kinsoku/>
        <w:wordWrap/>
        <w:overflowPunct/>
        <w:topLinePunct w:val="0"/>
        <w:autoSpaceDE/>
        <w:autoSpaceDN/>
        <w:bidi w:val="0"/>
        <w:adjustRightInd/>
        <w:snapToGrid/>
        <w:spacing w:before="469" w:beforeLines="150" w:beforeAutospacing="0" w:after="469" w:afterLines="150" w:afterAutospacing="0"/>
        <w:jc w:val="center"/>
        <w:textAlignment w:val="auto"/>
        <w:rPr>
          <w:rFonts w:ascii="Times New Roman" w:hAnsi="Times New Roman" w:eastAsia="黑体"/>
          <w:bCs/>
          <w:color w:val="auto"/>
          <w:kern w:val="0"/>
          <w:sz w:val="32"/>
          <w:szCs w:val="32"/>
        </w:rPr>
      </w:pPr>
      <w:r>
        <w:rPr>
          <w:rFonts w:ascii="Times New Roman" w:hAnsi="Times New Roman" w:eastAsia="黑体"/>
          <w:bCs/>
          <w:color w:val="auto"/>
          <w:kern w:val="0"/>
          <w:sz w:val="32"/>
          <w:szCs w:val="32"/>
        </w:rPr>
        <w:t>水土保持综合治理工程遥感监管技术规范</w:t>
      </w:r>
    </w:p>
    <w:p w14:paraId="320125CF">
      <w:pPr>
        <w:pStyle w:val="3"/>
        <w:spacing w:before="156" w:after="156"/>
        <w:rPr>
          <w:rFonts w:hint="eastAsia"/>
          <w:color w:val="auto"/>
        </w:rPr>
      </w:pPr>
      <w:bookmarkStart w:id="4" w:name="_Toc13136"/>
      <w:bookmarkStart w:id="5" w:name="_Toc15978164"/>
      <w:r>
        <w:rPr>
          <w:color w:val="auto"/>
        </w:rPr>
        <w:t>1 范围</w:t>
      </w:r>
      <w:bookmarkEnd w:id="4"/>
      <w:bookmarkEnd w:id="5"/>
    </w:p>
    <w:p w14:paraId="3FDBFC15">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本标准规定了水土保持综合治理工程遥感监管的术语和定义、</w:t>
      </w:r>
      <w:r>
        <w:rPr>
          <w:rFonts w:hint="eastAsia"/>
          <w:color w:val="auto"/>
          <w:lang w:val="en-US" w:eastAsia="zh-CN"/>
        </w:rPr>
        <w:t>基本要求</w:t>
      </w:r>
      <w:r>
        <w:rPr>
          <w:color w:val="auto"/>
        </w:rPr>
        <w:t>、</w:t>
      </w:r>
      <w:r>
        <w:rPr>
          <w:rFonts w:hint="eastAsia"/>
          <w:color w:val="auto"/>
          <w:lang w:val="en-US" w:eastAsia="zh-CN"/>
        </w:rPr>
        <w:t>工程设计</w:t>
      </w:r>
      <w:r>
        <w:rPr>
          <w:color w:val="auto"/>
        </w:rPr>
        <w:t>、</w:t>
      </w:r>
      <w:r>
        <w:rPr>
          <w:rFonts w:hint="eastAsia"/>
          <w:color w:val="auto"/>
          <w:lang w:val="en-US" w:eastAsia="zh-CN"/>
        </w:rPr>
        <w:t>工程建设</w:t>
      </w:r>
      <w:r>
        <w:rPr>
          <w:color w:val="auto"/>
        </w:rPr>
        <w:t>、</w:t>
      </w:r>
      <w:r>
        <w:rPr>
          <w:rFonts w:hint="eastAsia"/>
          <w:color w:val="auto"/>
          <w:lang w:val="en-US" w:eastAsia="zh-CN"/>
        </w:rPr>
        <w:t>工程竣工的</w:t>
      </w:r>
      <w:r>
        <w:rPr>
          <w:color w:val="auto"/>
        </w:rPr>
        <w:t>技术内容。</w:t>
      </w:r>
    </w:p>
    <w:p w14:paraId="1AC51FA5">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本标准适用于安徽省水土保持综合治理工程遥感监管。</w:t>
      </w:r>
    </w:p>
    <w:p w14:paraId="38357467">
      <w:pPr>
        <w:pStyle w:val="3"/>
        <w:spacing w:before="156" w:after="156"/>
        <w:rPr>
          <w:rFonts w:hint="eastAsia"/>
          <w:color w:val="auto"/>
        </w:rPr>
      </w:pPr>
      <w:bookmarkStart w:id="6" w:name="_Toc15164"/>
      <w:bookmarkStart w:id="7" w:name="_Toc15978165"/>
      <w:r>
        <w:rPr>
          <w:color w:val="auto"/>
        </w:rPr>
        <w:t>2 规范性引用文件</w:t>
      </w:r>
      <w:bookmarkEnd w:id="6"/>
      <w:bookmarkEnd w:id="7"/>
    </w:p>
    <w:p w14:paraId="52C61601">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B693778">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GB/T 15773 水土保持综合治理验收规范</w:t>
      </w:r>
    </w:p>
    <w:p w14:paraId="0DEDEC1B">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GB/T 21010 土地利用现状分类</w:t>
      </w:r>
    </w:p>
    <w:p w14:paraId="788BED53">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color w:val="auto"/>
        </w:rPr>
      </w:pPr>
      <w:r>
        <w:rPr>
          <w:color w:val="auto"/>
        </w:rPr>
        <w:t>GB 22021 国家大地测量基本技术规定</w:t>
      </w:r>
    </w:p>
    <w:p w14:paraId="03F53678">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 xml:space="preserve">GB 51018 水土保持工程设计规范 </w:t>
      </w:r>
    </w:p>
    <w:p w14:paraId="2C575B79">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CH/Z 3005 低空数字航空摄影规范</w:t>
      </w:r>
    </w:p>
    <w:p w14:paraId="3155F0A8">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default" w:eastAsia="宋体"/>
          <w:color w:val="auto"/>
          <w:lang w:val="en-US" w:eastAsia="zh-CN"/>
        </w:rPr>
      </w:pPr>
      <w:r>
        <w:rPr>
          <w:rFonts w:hint="eastAsia"/>
          <w:color w:val="auto"/>
          <w:lang w:val="en-US" w:eastAsia="zh-CN"/>
        </w:rPr>
        <w:t>SL/T 277 水土保持监测技术规范</w:t>
      </w:r>
    </w:p>
    <w:p w14:paraId="78770D2F">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SL 513 水土保持数据库表结构及标识符</w:t>
      </w:r>
    </w:p>
    <w:p w14:paraId="7885F052">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SL 657 南方红壤丘陵区水土流失综合治理技术标准</w:t>
      </w:r>
    </w:p>
    <w:p w14:paraId="56955692">
      <w:pPr>
        <w:pStyle w:val="23"/>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color w:val="auto"/>
        </w:rPr>
      </w:pPr>
      <w:r>
        <w:rPr>
          <w:color w:val="auto"/>
        </w:rPr>
        <w:t>SL 665 北方土石山区水土流失综合治理技术标准</w:t>
      </w:r>
    </w:p>
    <w:p w14:paraId="2350FDB8">
      <w:pPr>
        <w:spacing w:line="480" w:lineRule="auto"/>
        <w:rPr>
          <w:rFonts w:ascii="Times New Roman" w:hAnsi="Times New Roman"/>
          <w:color w:val="auto"/>
          <w:szCs w:val="21"/>
        </w:rPr>
      </w:pPr>
    </w:p>
    <w:p w14:paraId="6C18910F">
      <w:pPr>
        <w:rPr>
          <w:color w:val="auto"/>
        </w:rPr>
        <w:sectPr>
          <w:footerReference r:id="rId15" w:type="first"/>
          <w:footerReference r:id="rId13" w:type="default"/>
          <w:footerReference r:id="rId14" w:type="even"/>
          <w:pgSz w:w="11906" w:h="16838"/>
          <w:pgMar w:top="1417" w:right="1417" w:bottom="1134" w:left="1134" w:header="850" w:footer="992" w:gutter="0"/>
          <w:pgNumType w:fmt="decimal" w:start="1"/>
          <w:cols w:space="0" w:num="1"/>
          <w:docGrid w:type="linesAndChars" w:linePitch="312" w:charSpace="0"/>
        </w:sectPr>
      </w:pPr>
      <w:bookmarkStart w:id="8" w:name="_Toc15978166"/>
    </w:p>
    <w:p w14:paraId="78427F96">
      <w:pPr>
        <w:pStyle w:val="3"/>
        <w:spacing w:before="156" w:after="156"/>
        <w:rPr>
          <w:rFonts w:hint="eastAsia"/>
          <w:color w:val="auto"/>
        </w:rPr>
      </w:pPr>
      <w:bookmarkStart w:id="9" w:name="_Toc21570"/>
      <w:r>
        <w:rPr>
          <w:color w:val="auto"/>
        </w:rPr>
        <w:t>3 术语和定义</w:t>
      </w:r>
      <w:bookmarkEnd w:id="8"/>
      <w:bookmarkEnd w:id="9"/>
    </w:p>
    <w:p w14:paraId="2DE79064">
      <w:pPr>
        <w:pStyle w:val="23"/>
        <w:spacing w:before="156" w:after="156"/>
        <w:rPr>
          <w:rFonts w:hint="eastAsia"/>
          <w:color w:val="auto"/>
        </w:rPr>
      </w:pPr>
      <w:r>
        <w:rPr>
          <w:color w:val="auto"/>
        </w:rPr>
        <w:t>下列术语和定义适用于本标准。</w:t>
      </w:r>
    </w:p>
    <w:p w14:paraId="55482B5C">
      <w:pPr>
        <w:pStyle w:val="4"/>
        <w:ind w:left="420" w:hanging="420" w:hangingChars="200"/>
        <w:rPr>
          <w:color w:val="auto"/>
        </w:rPr>
      </w:pPr>
      <w:bookmarkStart w:id="10" w:name="_Toc531080973"/>
      <w:bookmarkStart w:id="11" w:name="_Toc535220515"/>
      <w:bookmarkStart w:id="12" w:name="_Toc942609"/>
      <w:bookmarkStart w:id="13" w:name="_Toc1858"/>
      <w:r>
        <w:rPr>
          <w:color w:val="auto"/>
        </w:rPr>
        <w:t>3.</w:t>
      </w:r>
      <w:bookmarkEnd w:id="10"/>
      <w:bookmarkEnd w:id="11"/>
      <w:bookmarkEnd w:id="12"/>
      <w:r>
        <w:rPr>
          <w:color w:val="auto"/>
        </w:rPr>
        <w:t>1</w:t>
      </w:r>
      <w:r>
        <w:rPr>
          <w:color w:val="auto"/>
        </w:rPr>
        <w:br w:type="textWrapping"/>
      </w:r>
      <w:r>
        <w:rPr>
          <w:color w:val="auto"/>
        </w:rPr>
        <w:t>水土保持综合治理工程 comprehensive control of soil and water conservation engineering</w:t>
      </w:r>
      <w:bookmarkEnd w:id="13"/>
    </w:p>
    <w:p w14:paraId="6DDFCD6A">
      <w:pPr>
        <w:pStyle w:val="23"/>
        <w:spacing w:before="156" w:after="156"/>
        <w:rPr>
          <w:rFonts w:hint="eastAsia"/>
          <w:color w:val="auto"/>
        </w:rPr>
      </w:pPr>
      <w:r>
        <w:rPr>
          <w:color w:val="auto"/>
        </w:rPr>
        <w:t>以小流域为单元，在全面规划的基础上，合理安排农、林、牧、副各业用地，因地制宜地采取水土保持</w:t>
      </w:r>
      <w:r>
        <w:rPr>
          <w:rFonts w:ascii="Helvetica" w:hAnsi="Helvetica" w:cs="Helvetica"/>
          <w:i w:val="0"/>
          <w:strike w:val="0"/>
          <w:color w:val="auto"/>
          <w:spacing w:val="0"/>
          <w:u w:val="none"/>
        </w:rPr>
        <w:t>工程措施、植物措施和耕作措施</w:t>
      </w:r>
      <w:r>
        <w:rPr>
          <w:color w:val="auto"/>
        </w:rPr>
        <w:t>，对水土流失区域进行综合整治，以达到防治水土流失、改善生态环境、促进经济社会可持续发展的系统工程。</w:t>
      </w:r>
    </w:p>
    <w:p w14:paraId="177CDAC2">
      <w:pPr>
        <w:pStyle w:val="4"/>
        <w:ind w:left="420" w:hanging="420"/>
        <w:rPr>
          <w:rFonts w:ascii="Times New Roman" w:hAnsi="Times New Roman"/>
          <w:b/>
          <w:color w:val="auto"/>
          <w:szCs w:val="21"/>
        </w:rPr>
      </w:pPr>
      <w:bookmarkStart w:id="14" w:name="_Toc695"/>
      <w:r>
        <w:rPr>
          <w:color w:val="auto"/>
        </w:rPr>
        <w:t>3.2</w:t>
      </w:r>
      <w:r>
        <w:rPr>
          <w:color w:val="auto"/>
        </w:rPr>
        <w:br w:type="textWrapping"/>
      </w:r>
      <w:r>
        <w:rPr>
          <w:rFonts w:hint="eastAsia" w:cs="黑体"/>
          <w:bCs w:val="0"/>
          <w:color w:val="auto"/>
          <w:szCs w:val="21"/>
        </w:rPr>
        <w:t>遥感监管 remote sensing supervision</w:t>
      </w:r>
      <w:bookmarkEnd w:id="14"/>
    </w:p>
    <w:p w14:paraId="67917C17">
      <w:pPr>
        <w:pStyle w:val="23"/>
        <w:spacing w:before="156" w:after="156"/>
        <w:rPr>
          <w:color w:val="auto"/>
        </w:rPr>
      </w:pPr>
      <w:r>
        <w:rPr>
          <w:color w:val="auto"/>
        </w:rPr>
        <w:t>借助无人机、地理信息系统（GIS）、遥感（RS）等信息化技术，以水土保持措施图斑为单元，对水土保持综合治理工程在工程设计、工程建设、工程竣工等阶段进行全过程监督与管理的业务工作。</w:t>
      </w:r>
    </w:p>
    <w:p w14:paraId="1EBF5EB0">
      <w:pPr>
        <w:pStyle w:val="4"/>
        <w:ind w:left="420" w:hanging="420"/>
        <w:rPr>
          <w:rFonts w:ascii="Times New Roman" w:hAnsi="Times New Roman"/>
          <w:b/>
          <w:color w:val="auto"/>
          <w:szCs w:val="21"/>
        </w:rPr>
      </w:pPr>
      <w:bookmarkStart w:id="15" w:name="_Toc26347"/>
      <w:r>
        <w:rPr>
          <w:color w:val="auto"/>
        </w:rPr>
        <w:t>3.3</w:t>
      </w:r>
      <w:r>
        <w:rPr>
          <w:color w:val="auto"/>
        </w:rPr>
        <w:br w:type="textWrapping"/>
      </w:r>
      <w:r>
        <w:rPr>
          <w:color w:val="auto"/>
        </w:rPr>
        <w:t>水土保持措施图斑 soil and water conservation measures map spot</w:t>
      </w:r>
      <w:bookmarkEnd w:id="15"/>
    </w:p>
    <w:p w14:paraId="3B2FCDE8">
      <w:pPr>
        <w:pStyle w:val="23"/>
        <w:spacing w:before="156" w:after="156"/>
        <w:rPr>
          <w:rFonts w:hint="eastAsia"/>
          <w:color w:val="auto"/>
        </w:rPr>
      </w:pPr>
      <w:r>
        <w:rPr>
          <w:color w:val="auto"/>
        </w:rPr>
        <w:t>土地利用类型相同、水土保持措施基本相同、</w:t>
      </w:r>
      <w:r>
        <w:rPr>
          <w:rFonts w:ascii="Helvetica" w:hAnsi="Helvetica" w:cs="Helvetica"/>
          <w:i w:val="0"/>
          <w:strike w:val="0"/>
          <w:color w:val="auto"/>
          <w:spacing w:val="0"/>
          <w:u w:val="none"/>
        </w:rPr>
        <w:t>空间上连续的范围或地块</w:t>
      </w:r>
      <w:r>
        <w:rPr>
          <w:color w:val="auto"/>
        </w:rPr>
        <w:t>在矢量图上的反映。</w:t>
      </w:r>
    </w:p>
    <w:p w14:paraId="27D7C2B9">
      <w:pPr>
        <w:pStyle w:val="3"/>
        <w:spacing w:before="156" w:after="156"/>
        <w:rPr>
          <w:rFonts w:hint="eastAsia"/>
          <w:color w:val="auto"/>
        </w:rPr>
      </w:pPr>
      <w:bookmarkStart w:id="16" w:name="_Toc15045"/>
      <w:r>
        <w:rPr>
          <w:color w:val="auto"/>
        </w:rPr>
        <w:t>4 基本要求</w:t>
      </w:r>
      <w:bookmarkEnd w:id="16"/>
    </w:p>
    <w:p w14:paraId="7FCF72C7">
      <w:pPr>
        <w:pStyle w:val="4"/>
        <w:rPr>
          <w:rFonts w:hint="eastAsia"/>
          <w:color w:val="auto"/>
        </w:rPr>
      </w:pPr>
      <w:bookmarkStart w:id="17" w:name="_Toc28997"/>
      <w:r>
        <w:rPr>
          <w:color w:val="auto"/>
        </w:rPr>
        <w:t>4.1</w:t>
      </w:r>
      <w:r>
        <w:rPr>
          <w:rFonts w:hint="eastAsia"/>
          <w:color w:val="auto"/>
        </w:rPr>
        <w:t xml:space="preserve"> 监管内容</w:t>
      </w:r>
      <w:bookmarkEnd w:id="17"/>
    </w:p>
    <w:p w14:paraId="4FE8A1F1">
      <w:pPr>
        <w:pStyle w:val="23"/>
        <w:spacing w:before="156" w:after="156"/>
        <w:ind w:firstLine="0" w:firstLineChars="0"/>
        <w:rPr>
          <w:rFonts w:hint="eastAsia"/>
          <w:color w:val="auto"/>
        </w:rPr>
      </w:pPr>
      <w:r>
        <w:rPr>
          <w:rFonts w:hint="eastAsia"/>
          <w:color w:val="auto"/>
        </w:rPr>
        <w:t xml:space="preserve">    对水土保持综合治理工程在工程设计、工程建设、工程竣工阶段开展遥感监管。</w:t>
      </w:r>
    </w:p>
    <w:p w14:paraId="13C05E5B">
      <w:pPr>
        <w:pStyle w:val="4"/>
        <w:rPr>
          <w:rFonts w:hint="eastAsia"/>
          <w:color w:val="auto"/>
        </w:rPr>
      </w:pPr>
      <w:bookmarkStart w:id="18" w:name="_Toc23884"/>
      <w:r>
        <w:rPr>
          <w:color w:val="auto"/>
        </w:rPr>
        <w:t>4.2</w:t>
      </w:r>
      <w:r>
        <w:rPr>
          <w:rFonts w:hint="eastAsia"/>
          <w:color w:val="auto"/>
        </w:rPr>
        <w:t xml:space="preserve"> 监管时间</w:t>
      </w:r>
      <w:bookmarkEnd w:id="18"/>
    </w:p>
    <w:p w14:paraId="2078F63B">
      <w:pPr>
        <w:pStyle w:val="23"/>
        <w:spacing w:before="156" w:after="156"/>
        <w:ind w:firstLine="0" w:firstLineChars="0"/>
        <w:rPr>
          <w:rFonts w:hint="eastAsia"/>
          <w:color w:val="auto"/>
        </w:rPr>
      </w:pPr>
      <w:r>
        <w:rPr>
          <w:rFonts w:hint="eastAsia"/>
          <w:color w:val="auto"/>
        </w:rPr>
        <w:t>4.2.1 宜在工程的初步设计实施方案技术审查前开展工程设计遥感监管。</w:t>
      </w:r>
    </w:p>
    <w:p w14:paraId="4B045FAD">
      <w:pPr>
        <w:pStyle w:val="23"/>
        <w:spacing w:before="156" w:after="156"/>
        <w:ind w:firstLine="0" w:firstLineChars="0"/>
        <w:rPr>
          <w:rFonts w:hint="eastAsia"/>
          <w:color w:val="auto"/>
        </w:rPr>
      </w:pPr>
      <w:r>
        <w:rPr>
          <w:rFonts w:hint="eastAsia"/>
          <w:color w:val="auto"/>
        </w:rPr>
        <w:t>4.2.2 宜在</w:t>
      </w:r>
      <w:r>
        <w:rPr>
          <w:color w:val="auto"/>
        </w:rPr>
        <w:t>工程的施工进度达50%以上时开展工程建设遥感监管。</w:t>
      </w:r>
    </w:p>
    <w:p w14:paraId="34DDA9F9">
      <w:pPr>
        <w:pStyle w:val="23"/>
        <w:spacing w:before="156" w:after="156"/>
        <w:ind w:firstLine="0" w:firstLineChars="0"/>
        <w:rPr>
          <w:color w:val="auto"/>
        </w:rPr>
      </w:pPr>
      <w:r>
        <w:rPr>
          <w:rFonts w:hint="eastAsia"/>
          <w:color w:val="auto"/>
        </w:rPr>
        <w:t>4.2.3 宜</w:t>
      </w:r>
      <w:r>
        <w:rPr>
          <w:color w:val="auto"/>
        </w:rPr>
        <w:t>在工程完成竣工验收后的一年内开展工程竣工遥感监管。</w:t>
      </w:r>
    </w:p>
    <w:p w14:paraId="3CE37EC4">
      <w:pPr>
        <w:pStyle w:val="4"/>
        <w:rPr>
          <w:rFonts w:hint="eastAsia"/>
          <w:color w:val="auto"/>
        </w:rPr>
      </w:pPr>
      <w:bookmarkStart w:id="19" w:name="_Toc14737"/>
      <w:r>
        <w:rPr>
          <w:color w:val="auto"/>
        </w:rPr>
        <w:t>4.3</w:t>
      </w:r>
      <w:r>
        <w:rPr>
          <w:rFonts w:hint="eastAsia"/>
          <w:color w:val="auto"/>
        </w:rPr>
        <w:t xml:space="preserve"> 空间数据基础</w:t>
      </w:r>
      <w:bookmarkEnd w:id="19"/>
    </w:p>
    <w:p w14:paraId="413C37C1">
      <w:pPr>
        <w:pStyle w:val="23"/>
        <w:spacing w:before="156" w:after="156"/>
        <w:ind w:firstLine="0" w:firstLineChars="0"/>
        <w:jc w:val="both"/>
        <w:rPr>
          <w:rFonts w:hint="eastAsia"/>
          <w:color w:val="auto"/>
        </w:rPr>
      </w:pPr>
      <w:r>
        <w:rPr>
          <w:rFonts w:hint="eastAsia"/>
          <w:color w:val="auto"/>
        </w:rPr>
        <w:t xml:space="preserve">    监管工作中</w:t>
      </w:r>
      <w:r>
        <w:rPr>
          <w:color w:val="auto"/>
        </w:rPr>
        <w:t>所涉及的卫星影像、无人机影像、水土保持措施图斑矢量图等空间数据的大地基准应按照GB 22021的规定执行，采用CGCS2000国家大地坐标系统；高程基准应按照GB 22021的规定执行，采用1985国家高程基准；投影坐标系采用高斯-克吕格投影，3°分带。</w:t>
      </w:r>
    </w:p>
    <w:p w14:paraId="20071C1C">
      <w:pPr>
        <w:pStyle w:val="4"/>
        <w:rPr>
          <w:rFonts w:hint="eastAsia"/>
          <w:color w:val="auto"/>
        </w:rPr>
      </w:pPr>
      <w:bookmarkStart w:id="20" w:name="_Toc5857"/>
      <w:r>
        <w:rPr>
          <w:color w:val="auto"/>
        </w:rPr>
        <w:t>4.4</w:t>
      </w:r>
      <w:r>
        <w:rPr>
          <w:rFonts w:hint="eastAsia"/>
          <w:color w:val="auto"/>
        </w:rPr>
        <w:t xml:space="preserve"> </w:t>
      </w:r>
      <w:r>
        <w:rPr>
          <w:color w:val="auto"/>
        </w:rPr>
        <w:t>水土保持措施数据类型</w:t>
      </w:r>
      <w:bookmarkEnd w:id="20"/>
    </w:p>
    <w:p w14:paraId="494BAF62">
      <w:pPr>
        <w:pStyle w:val="23"/>
        <w:spacing w:before="156" w:after="156"/>
        <w:ind w:firstLine="0" w:firstLineChars="0"/>
        <w:rPr>
          <w:rFonts w:hint="eastAsia"/>
          <w:color w:val="auto"/>
        </w:rPr>
      </w:pPr>
      <w:r>
        <w:rPr>
          <w:color w:val="auto"/>
        </w:rPr>
        <w:t xml:space="preserve">    水土保持措施数据类型（参见附录A）应包括点状措施、线状措施和面状措施。</w:t>
      </w:r>
    </w:p>
    <w:p w14:paraId="6A83434A">
      <w:pPr>
        <w:pStyle w:val="4"/>
        <w:rPr>
          <w:rFonts w:hint="eastAsia"/>
          <w:color w:val="auto"/>
        </w:rPr>
      </w:pPr>
      <w:bookmarkStart w:id="21" w:name="_Toc28420"/>
      <w:r>
        <w:rPr>
          <w:color w:val="auto"/>
        </w:rPr>
        <w:t>4.5</w:t>
      </w:r>
      <w:r>
        <w:rPr>
          <w:rFonts w:hint="eastAsia"/>
          <w:color w:val="auto"/>
        </w:rPr>
        <w:t xml:space="preserve"> </w:t>
      </w:r>
      <w:r>
        <w:rPr>
          <w:color w:val="auto"/>
        </w:rPr>
        <w:t>矢量数据属性表要求</w:t>
      </w:r>
      <w:bookmarkEnd w:id="21"/>
    </w:p>
    <w:p w14:paraId="73F4AC6F">
      <w:pPr>
        <w:pStyle w:val="23"/>
        <w:pBdr>
          <w:bottom w:val="none" w:color="auto" w:sz="0" w:space="0"/>
        </w:pBdr>
        <w:spacing w:before="156" w:after="156"/>
        <w:ind w:firstLine="0" w:firstLineChars="0"/>
        <w:rPr>
          <w:color w:val="auto"/>
        </w:rPr>
      </w:pPr>
      <w:r>
        <w:rPr>
          <w:rFonts w:hint="eastAsia"/>
          <w:color w:val="auto"/>
        </w:rPr>
        <w:t xml:space="preserve">    监管工作</w:t>
      </w:r>
      <w:r>
        <w:rPr>
          <w:color w:val="auto"/>
        </w:rPr>
        <w:t>中形成的矢量数据成果属性表应符合SL 513的规定，包括字段名称、字段标识、类型、长度和计量单位等。</w:t>
      </w:r>
    </w:p>
    <w:p w14:paraId="3B115A09">
      <w:pPr>
        <w:pStyle w:val="3"/>
        <w:bidi w:val="0"/>
        <w:rPr>
          <w:color w:val="auto"/>
        </w:rPr>
      </w:pPr>
      <w:bookmarkStart w:id="22" w:name="_Toc786"/>
      <w:r>
        <w:rPr>
          <w:color w:val="auto"/>
        </w:rPr>
        <w:t>5 工程设计</w:t>
      </w:r>
      <w:bookmarkEnd w:id="22"/>
    </w:p>
    <w:p w14:paraId="367A3989">
      <w:pPr>
        <w:pStyle w:val="4"/>
        <w:rPr>
          <w:rFonts w:hint="eastAsia"/>
          <w:color w:val="auto"/>
        </w:rPr>
      </w:pPr>
      <w:bookmarkStart w:id="23" w:name="_Toc27512"/>
      <w:r>
        <w:rPr>
          <w:color w:val="auto"/>
        </w:rPr>
        <w:t>5.1</w:t>
      </w:r>
      <w:r>
        <w:rPr>
          <w:rFonts w:hint="eastAsia"/>
          <w:color w:val="auto"/>
        </w:rPr>
        <w:t xml:space="preserve"> 监管内容</w:t>
      </w:r>
      <w:bookmarkEnd w:id="23"/>
    </w:p>
    <w:p w14:paraId="742F3CEF">
      <w:pPr>
        <w:pStyle w:val="23"/>
        <w:spacing w:before="156" w:after="156"/>
        <w:ind w:firstLine="0" w:firstLineChars="0"/>
        <w:rPr>
          <w:color w:val="auto"/>
        </w:rPr>
      </w:pPr>
      <w:r>
        <w:rPr>
          <w:color w:val="auto"/>
        </w:rPr>
        <w:t>5.1.1 根据工程所在小流域范围内的卫星影像、土地利用类型、地形、植被覆盖以及土壤侵蚀情况，监管初步设计实施方案中水土保持措施图斑与现状地物的一致性和措施布局的合理性。</w:t>
      </w:r>
    </w:p>
    <w:p w14:paraId="469BF314">
      <w:pPr>
        <w:pStyle w:val="23"/>
        <w:spacing w:before="156" w:after="156"/>
        <w:ind w:firstLine="0" w:firstLineChars="0"/>
        <w:rPr>
          <w:rFonts w:hint="eastAsia"/>
          <w:color w:val="auto"/>
        </w:rPr>
      </w:pPr>
      <w:r>
        <w:rPr>
          <w:color w:val="auto"/>
        </w:rPr>
        <w:t>5.1.2</w:t>
      </w:r>
      <w:r>
        <w:rPr>
          <w:rFonts w:hint="eastAsia"/>
          <w:color w:val="auto"/>
        </w:rPr>
        <w:t xml:space="preserve"> </w:t>
      </w:r>
      <w:r>
        <w:rPr>
          <w:color w:val="auto"/>
        </w:rPr>
        <w:t>根据GB 51018、SL 657、SL 665中的规定，监管措施类型（参见附录A）的适宜性与措施边界的合理性。</w:t>
      </w:r>
    </w:p>
    <w:p w14:paraId="6DA3C17C">
      <w:pPr>
        <w:pStyle w:val="23"/>
        <w:spacing w:before="156" w:after="156"/>
        <w:ind w:firstLine="0" w:firstLineChars="0"/>
        <w:rPr>
          <w:rFonts w:hint="eastAsia"/>
          <w:color w:val="auto"/>
        </w:rPr>
      </w:pPr>
      <w:r>
        <w:rPr>
          <w:color w:val="auto"/>
        </w:rPr>
        <w:t>5.1.3</w:t>
      </w:r>
      <w:r>
        <w:rPr>
          <w:rFonts w:hint="eastAsia"/>
          <w:color w:val="auto"/>
        </w:rPr>
        <w:t xml:space="preserve"> 监管</w:t>
      </w:r>
      <w:r>
        <w:rPr>
          <w:color w:val="auto"/>
        </w:rPr>
        <w:t>初步设计实施方案中水土保持措施图斑是否侵占生态保护红线、耕地保护红线和永久基本农田保护红线。</w:t>
      </w:r>
    </w:p>
    <w:p w14:paraId="18526FF9">
      <w:pPr>
        <w:pStyle w:val="4"/>
        <w:rPr>
          <w:rFonts w:hint="eastAsia"/>
          <w:color w:val="auto"/>
        </w:rPr>
      </w:pPr>
      <w:bookmarkStart w:id="24" w:name="_Toc5832"/>
      <w:r>
        <w:rPr>
          <w:color w:val="auto"/>
        </w:rPr>
        <w:t>5.2</w:t>
      </w:r>
      <w:r>
        <w:rPr>
          <w:rFonts w:hint="eastAsia"/>
          <w:color w:val="auto"/>
        </w:rPr>
        <w:t xml:space="preserve"> 信息采集</w:t>
      </w:r>
      <w:bookmarkEnd w:id="24"/>
    </w:p>
    <w:p w14:paraId="6A7692DA">
      <w:pPr>
        <w:pStyle w:val="23"/>
        <w:spacing w:before="156" w:after="156"/>
        <w:ind w:firstLine="0" w:firstLineChars="0"/>
        <w:rPr>
          <w:color w:val="auto"/>
        </w:rPr>
      </w:pPr>
      <w:r>
        <w:rPr>
          <w:b/>
          <w:color w:val="auto"/>
        </w:rPr>
        <w:t xml:space="preserve">5.2.1 </w:t>
      </w:r>
      <w:r>
        <w:rPr>
          <w:color w:val="auto"/>
        </w:rPr>
        <w:t>资料准备应搜集工程所在小流域范围内的卫星影像、土地利用类型、地形、植被覆盖以及土壤侵蚀情况等基础资料。</w:t>
      </w:r>
    </w:p>
    <w:p w14:paraId="4AAB1554">
      <w:pPr>
        <w:pStyle w:val="23"/>
        <w:spacing w:before="156" w:after="156"/>
        <w:ind w:firstLine="0" w:firstLineChars="0"/>
        <w:rPr>
          <w:color w:val="auto"/>
        </w:rPr>
      </w:pPr>
      <w:r>
        <w:rPr>
          <w:b/>
          <w:color w:val="auto"/>
        </w:rPr>
        <w:t xml:space="preserve">5.2.2 </w:t>
      </w:r>
      <w:r>
        <w:rPr>
          <w:color w:val="auto"/>
        </w:rPr>
        <w:t>卫星影像选择应符合下列要求：</w:t>
      </w:r>
    </w:p>
    <w:p w14:paraId="412BBD15">
      <w:pPr>
        <w:pStyle w:val="23"/>
        <w:spacing w:before="156" w:after="156"/>
        <w:ind w:firstLine="0" w:firstLineChars="0"/>
        <w:rPr>
          <w:color w:val="auto"/>
        </w:rPr>
      </w:pPr>
      <w:r>
        <w:rPr>
          <w:color w:val="auto"/>
        </w:rPr>
        <w:t xml:space="preserve">   </w:t>
      </w:r>
      <w:r>
        <w:rPr>
          <w:b/>
          <w:color w:val="auto"/>
        </w:rPr>
        <w:t xml:space="preserve"> 1 </w:t>
      </w:r>
      <w:r>
        <w:rPr>
          <w:color w:val="auto"/>
        </w:rPr>
        <w:t>宜选择2 m或优于2 m空间分辨率的卫星影像。</w:t>
      </w:r>
    </w:p>
    <w:p w14:paraId="44B4B8B6">
      <w:pPr>
        <w:pStyle w:val="23"/>
        <w:pBdr>
          <w:bottom w:val="none" w:color="auto" w:sz="0" w:space="0"/>
        </w:pBdr>
        <w:spacing w:before="156" w:after="156"/>
        <w:ind w:firstLine="0" w:firstLineChars="0"/>
        <w:rPr>
          <w:color w:val="auto"/>
        </w:rPr>
      </w:pPr>
      <w:r>
        <w:rPr>
          <w:color w:val="auto"/>
        </w:rPr>
        <w:t xml:space="preserve">   </w:t>
      </w:r>
      <w:r>
        <w:rPr>
          <w:b/>
          <w:color w:val="auto"/>
        </w:rPr>
        <w:t xml:space="preserve"> 2</w:t>
      </w:r>
      <w:r>
        <w:rPr>
          <w:color w:val="auto"/>
        </w:rPr>
        <w:t xml:space="preserve"> 选择时相宜处于工程设计前一年内，易于区分土地利用、植被类型等变化特征的卫星影像。</w:t>
      </w:r>
    </w:p>
    <w:p w14:paraId="6F54FCDC">
      <w:pPr>
        <w:pStyle w:val="23"/>
        <w:pBdr>
          <w:bottom w:val="none" w:color="auto" w:sz="0" w:space="0"/>
        </w:pBdr>
        <w:spacing w:before="156" w:after="156"/>
        <w:ind w:firstLine="0" w:firstLineChars="0"/>
        <w:rPr>
          <w:rFonts w:hint="eastAsia"/>
          <w:color w:val="auto"/>
        </w:rPr>
      </w:pPr>
      <w:r>
        <w:rPr>
          <w:color w:val="auto"/>
        </w:rPr>
        <w:t xml:space="preserve">   </w:t>
      </w:r>
      <w:r>
        <w:rPr>
          <w:b/>
          <w:color w:val="auto"/>
        </w:rPr>
        <w:t xml:space="preserve"> 3 </w:t>
      </w:r>
      <w:r>
        <w:rPr>
          <w:color w:val="auto"/>
        </w:rPr>
        <w:t>卫星影像质量应符合SL</w:t>
      </w:r>
      <w:r>
        <w:rPr>
          <w:rFonts w:hint="eastAsia"/>
          <w:color w:val="auto"/>
          <w:lang w:val="en-US" w:eastAsia="zh-CN"/>
        </w:rPr>
        <w:t>/T 277</w:t>
      </w:r>
      <w:r>
        <w:rPr>
          <w:color w:val="auto"/>
        </w:rPr>
        <w:t>的规定，并满足以下具体要求：影像没有坏行、缺带，没有条带、斑点噪声和耀斑；图像清晰，地物层次分明，色调均匀，覆盖项目区；头文件应包括影像拍摄时间、传感器类型、太阳高度角、太阳辐照度和中心点经纬度。</w:t>
      </w:r>
    </w:p>
    <w:p w14:paraId="378CD226">
      <w:pPr>
        <w:pStyle w:val="23"/>
        <w:spacing w:before="156" w:after="156"/>
        <w:ind w:firstLine="0" w:firstLineChars="0"/>
        <w:rPr>
          <w:color w:val="auto"/>
        </w:rPr>
      </w:pPr>
      <w:r>
        <w:rPr>
          <w:b/>
          <w:color w:val="auto"/>
        </w:rPr>
        <w:t>5.2.3</w:t>
      </w:r>
      <w:r>
        <w:rPr>
          <w:color w:val="auto"/>
        </w:rPr>
        <w:t xml:space="preserve"> 土壤侵蚀数据宜选择工程设计前一年的水土流失动态监测成果。</w:t>
      </w:r>
    </w:p>
    <w:p w14:paraId="65C2EC88">
      <w:pPr>
        <w:pStyle w:val="4"/>
        <w:rPr>
          <w:rFonts w:hint="eastAsia"/>
          <w:color w:val="auto"/>
        </w:rPr>
      </w:pPr>
      <w:bookmarkStart w:id="25" w:name="_Toc12478"/>
      <w:r>
        <w:rPr>
          <w:color w:val="auto"/>
        </w:rPr>
        <w:t>5.3</w:t>
      </w:r>
      <w:r>
        <w:rPr>
          <w:rFonts w:hint="eastAsia"/>
          <w:color w:val="auto"/>
        </w:rPr>
        <w:t xml:space="preserve"> 数据处理与分析</w:t>
      </w:r>
      <w:bookmarkEnd w:id="25"/>
    </w:p>
    <w:p w14:paraId="605F2824">
      <w:pPr>
        <w:pStyle w:val="23"/>
        <w:spacing w:before="156" w:after="156"/>
        <w:ind w:firstLine="0" w:firstLineChars="0"/>
        <w:rPr>
          <w:color w:val="auto"/>
        </w:rPr>
      </w:pPr>
      <w:r>
        <w:rPr>
          <w:b/>
          <w:color w:val="auto"/>
        </w:rPr>
        <w:t xml:space="preserve">5.3.1 </w:t>
      </w:r>
      <w:r>
        <w:rPr>
          <w:color w:val="auto"/>
        </w:rPr>
        <w:t>对卫星影像开展影像预处理（参照附录B）。</w:t>
      </w:r>
    </w:p>
    <w:p w14:paraId="5A1DDCF1">
      <w:pPr>
        <w:pStyle w:val="23"/>
        <w:spacing w:before="156" w:after="156"/>
        <w:ind w:firstLine="0" w:firstLineChars="0"/>
        <w:rPr>
          <w:b w:val="0"/>
          <w:color w:val="auto"/>
        </w:rPr>
      </w:pPr>
      <w:r>
        <w:rPr>
          <w:b/>
          <w:color w:val="auto"/>
        </w:rPr>
        <w:t xml:space="preserve">5.3.2 </w:t>
      </w:r>
      <w:r>
        <w:rPr>
          <w:b w:val="0"/>
          <w:color w:val="auto"/>
        </w:rPr>
        <w:t>对信息采集的资料进行大地坐标系和投影坐标系转换校正，使其满足4.3的规定。</w:t>
      </w:r>
    </w:p>
    <w:p w14:paraId="2F768BFF">
      <w:pPr>
        <w:pStyle w:val="23"/>
        <w:pBdr>
          <w:bottom w:val="none" w:color="auto" w:sz="0" w:space="0"/>
        </w:pBdr>
        <w:spacing w:before="156" w:after="156"/>
        <w:ind w:firstLine="0" w:firstLineChars="0"/>
        <w:rPr>
          <w:color w:val="auto"/>
        </w:rPr>
      </w:pPr>
      <w:r>
        <w:rPr>
          <w:b/>
          <w:bCs/>
          <w:color w:val="auto"/>
        </w:rPr>
        <w:t>5.3.3</w:t>
      </w:r>
      <w:r>
        <w:rPr>
          <w:color w:val="auto"/>
        </w:rPr>
        <w:t xml:space="preserve"> 卫星影像数据以“市-县（市/区）-工程名称-卫星影像-时相”的格式进行命名。</w:t>
      </w:r>
    </w:p>
    <w:p w14:paraId="4932775A">
      <w:pPr>
        <w:pStyle w:val="23"/>
        <w:spacing w:before="156" w:after="156"/>
        <w:ind w:firstLine="0" w:firstLineChars="0"/>
        <w:rPr>
          <w:color w:val="auto"/>
        </w:rPr>
      </w:pPr>
      <w:r>
        <w:rPr>
          <w:b/>
          <w:color w:val="auto"/>
        </w:rPr>
        <w:t xml:space="preserve">5.3.4 </w:t>
      </w:r>
      <w:r>
        <w:rPr>
          <w:b w:val="0"/>
          <w:color w:val="auto"/>
        </w:rPr>
        <w:t>以</w:t>
      </w:r>
      <w:r>
        <w:rPr>
          <w:color w:val="auto"/>
        </w:rPr>
        <w:t>植被覆盖以及土壤侵蚀情况</w:t>
      </w:r>
      <w:r>
        <w:rPr>
          <w:b w:val="0"/>
          <w:color w:val="auto"/>
        </w:rPr>
        <w:t>等资料为参考，</w:t>
      </w:r>
      <w:r>
        <w:rPr>
          <w:color w:val="auto"/>
        </w:rPr>
        <w:t>对比动态监测中水土流失分布，分析水土流失治理面积是否满足治理要求。</w:t>
      </w:r>
    </w:p>
    <w:p w14:paraId="4ABAB439">
      <w:pPr>
        <w:pStyle w:val="23"/>
        <w:pBdr>
          <w:bottom w:val="none" w:color="auto" w:sz="0" w:space="0"/>
        </w:pBdr>
        <w:spacing w:before="156" w:after="156"/>
        <w:ind w:firstLine="0" w:firstLineChars="0"/>
        <w:rPr>
          <w:color w:val="auto"/>
        </w:rPr>
      </w:pPr>
      <w:r>
        <w:rPr>
          <w:b/>
          <w:color w:val="auto"/>
        </w:rPr>
        <w:t>5.3.5</w:t>
      </w:r>
      <w:r>
        <w:rPr>
          <w:b w:val="0"/>
          <w:color w:val="auto"/>
        </w:rPr>
        <w:t xml:space="preserve"> 以卫星影像和地形图等资料为参考，</w:t>
      </w:r>
      <w:r>
        <w:rPr>
          <w:color w:val="auto"/>
        </w:rPr>
        <w:t>按照“预防保护区、综合治理区、生态修复区”三道防线治理要求和因地制宜的原则，</w:t>
      </w:r>
      <w:r>
        <w:rPr>
          <w:b w:val="0"/>
          <w:color w:val="auto"/>
        </w:rPr>
        <w:t>分析</w:t>
      </w:r>
      <w:r>
        <w:rPr>
          <w:color w:val="auto"/>
        </w:rPr>
        <w:t>初步设计实施方案中水土保持措施图斑的布局合理性。预防保护区宜布设</w:t>
      </w:r>
      <w:r>
        <w:rPr>
          <w:i w:val="0"/>
          <w:strike w:val="0"/>
          <w:color w:val="auto"/>
          <w:spacing w:val="0"/>
          <w:sz w:val="22"/>
          <w:u w:val="none"/>
        </w:rPr>
        <w:t>封禁治理措施；</w:t>
      </w:r>
      <w:r>
        <w:rPr>
          <w:color w:val="auto"/>
        </w:rPr>
        <w:t>综合治理区宜</w:t>
      </w:r>
      <w:r>
        <w:rPr>
          <w:i w:val="0"/>
          <w:strike w:val="0"/>
          <w:color w:val="auto"/>
          <w:spacing w:val="0"/>
          <w:sz w:val="22"/>
          <w:u w:val="none"/>
        </w:rPr>
        <w:t>布设水蚀坡林地整治、坡改梯、造林等措施；</w:t>
      </w:r>
      <w:r>
        <w:rPr>
          <w:color w:val="auto"/>
        </w:rPr>
        <w:t>生态修复区宜布设沟（河）道整治、湿地等措施。</w:t>
      </w:r>
    </w:p>
    <w:p w14:paraId="53CC4DE4">
      <w:pPr>
        <w:pStyle w:val="23"/>
        <w:spacing w:before="156" w:after="156"/>
        <w:ind w:firstLine="0" w:firstLineChars="0"/>
        <w:rPr>
          <w:color w:val="auto"/>
        </w:rPr>
      </w:pPr>
      <w:r>
        <w:rPr>
          <w:b/>
          <w:color w:val="auto"/>
        </w:rPr>
        <w:t>5.3.6</w:t>
      </w:r>
      <w:r>
        <w:rPr>
          <w:color w:val="auto"/>
        </w:rPr>
        <w:t xml:space="preserve"> </w:t>
      </w:r>
      <w:r>
        <w:rPr>
          <w:b w:val="0"/>
          <w:color w:val="auto"/>
        </w:rPr>
        <w:t>以卫星影像和土地利用类型等资料为参考，分析</w:t>
      </w:r>
      <w:r>
        <w:rPr>
          <w:color w:val="auto"/>
        </w:rPr>
        <w:t>初步设计实施方案中各类水土保持措施图斑的适宜性与措施边界的合理性。重点分析下列内容：</w:t>
      </w:r>
    </w:p>
    <w:p w14:paraId="258E2161">
      <w:pPr>
        <w:pStyle w:val="23"/>
        <w:spacing w:before="156" w:after="156" w:line="240" w:lineRule="auto"/>
        <w:ind w:firstLine="0" w:firstLineChars="0"/>
        <w:rPr>
          <w:color w:val="auto"/>
        </w:rPr>
      </w:pPr>
      <w:r>
        <w:rPr>
          <w:b/>
          <w:color w:val="auto"/>
        </w:rPr>
        <w:t xml:space="preserve">    1 </w:t>
      </w:r>
      <w:r>
        <w:rPr>
          <w:color w:val="auto"/>
        </w:rPr>
        <w:t>坡改梯措施</w:t>
      </w:r>
      <w:r>
        <w:rPr>
          <w:b w:val="0"/>
          <w:color w:val="auto"/>
        </w:rPr>
        <w:t>分析</w:t>
      </w:r>
      <w:r>
        <w:rPr>
          <w:rFonts w:hint="eastAsia"/>
          <w:color w:val="auto"/>
          <w:lang w:eastAsia="zh-CN"/>
        </w:rPr>
        <w:t>措施</w:t>
      </w:r>
      <w:r>
        <w:rPr>
          <w:color w:val="auto"/>
        </w:rPr>
        <w:t>图斑所在地面坡度是否小于25°，是否根据坡面地形自上而下沿等高线布设。</w:t>
      </w:r>
    </w:p>
    <w:p w14:paraId="7AF80BE2">
      <w:pPr>
        <w:pStyle w:val="23"/>
        <w:spacing w:before="156" w:after="156"/>
        <w:ind w:firstLine="0" w:firstLineChars="0"/>
        <w:rPr>
          <w:color w:val="auto"/>
        </w:rPr>
      </w:pPr>
      <w:r>
        <w:rPr>
          <w:b/>
          <w:color w:val="auto"/>
        </w:rPr>
        <w:t xml:space="preserve">    2 </w:t>
      </w:r>
      <w:r>
        <w:rPr>
          <w:rFonts w:hint="eastAsia"/>
          <w:color w:val="auto"/>
        </w:rPr>
        <w:t>封禁治理措施</w:t>
      </w:r>
      <w:r>
        <w:rPr>
          <w:b w:val="0"/>
          <w:color w:val="auto"/>
        </w:rPr>
        <w:t>分析</w:t>
      </w:r>
      <w:r>
        <w:rPr>
          <w:rFonts w:hint="eastAsia"/>
          <w:color w:val="auto"/>
        </w:rPr>
        <w:t>措施图斑内是否包含建设用地等非封禁要素，水土流失面积占比是否≥10%。</w:t>
      </w:r>
    </w:p>
    <w:p w14:paraId="3F446DA2">
      <w:pPr>
        <w:pStyle w:val="23"/>
        <w:spacing w:before="156" w:after="156"/>
        <w:ind w:firstLine="0" w:firstLineChars="0"/>
        <w:rPr>
          <w:b/>
          <w:color w:val="auto"/>
        </w:rPr>
      </w:pPr>
      <w:r>
        <w:rPr>
          <w:color w:val="auto"/>
        </w:rPr>
        <w:t xml:space="preserve">    </w:t>
      </w:r>
      <w:r>
        <w:rPr>
          <w:b/>
          <w:color w:val="auto"/>
        </w:rPr>
        <w:t>3</w:t>
      </w:r>
      <w:r>
        <w:rPr>
          <w:color w:val="auto"/>
        </w:rPr>
        <w:t xml:space="preserve"> 小型水利水保工程措施分析设计是否符合现状实际，是否存在超标准设计。</w:t>
      </w:r>
    </w:p>
    <w:p w14:paraId="34F7291E">
      <w:pPr>
        <w:pStyle w:val="23"/>
        <w:spacing w:before="156" w:after="156"/>
        <w:ind w:firstLine="0" w:firstLineChars="0"/>
        <w:rPr>
          <w:rFonts w:hint="eastAsia"/>
          <w:color w:val="auto"/>
        </w:rPr>
      </w:pPr>
      <w:r>
        <w:rPr>
          <w:b/>
          <w:color w:val="auto"/>
        </w:rPr>
        <w:t xml:space="preserve">    4 </w:t>
      </w:r>
      <w:r>
        <w:rPr>
          <w:color w:val="auto"/>
        </w:rPr>
        <w:t>坡面截流工程措施</w:t>
      </w:r>
      <w:r>
        <w:rPr>
          <w:b w:val="0"/>
          <w:color w:val="auto"/>
        </w:rPr>
        <w:t>分析</w:t>
      </w:r>
      <w:r>
        <w:rPr>
          <w:color w:val="auto"/>
        </w:rPr>
        <w:t>截水沟、排水沟衔接是否合理，截水是否有效，排水是否畅通。</w:t>
      </w:r>
    </w:p>
    <w:p w14:paraId="319D6FF4">
      <w:pPr>
        <w:pStyle w:val="23"/>
        <w:spacing w:before="156" w:after="156"/>
        <w:ind w:firstLine="0" w:firstLineChars="0"/>
        <w:rPr>
          <w:rFonts w:hint="eastAsia"/>
          <w:color w:val="auto"/>
        </w:rPr>
      </w:pPr>
      <w:r>
        <w:rPr>
          <w:b/>
          <w:color w:val="auto"/>
        </w:rPr>
        <w:t xml:space="preserve">    5 </w:t>
      </w:r>
      <w:r>
        <w:rPr>
          <w:color w:val="auto"/>
        </w:rPr>
        <w:t>人居环境整治措施</w:t>
      </w:r>
      <w:r>
        <w:rPr>
          <w:b w:val="0"/>
          <w:color w:val="auto"/>
        </w:rPr>
        <w:t>分析</w:t>
      </w:r>
      <w:r>
        <w:rPr>
          <w:rFonts w:hint="eastAsia"/>
          <w:color w:val="auto"/>
          <w:lang w:eastAsia="zh-CN"/>
        </w:rPr>
        <w:t>措施图斑</w:t>
      </w:r>
      <w:r>
        <w:rPr>
          <w:color w:val="auto"/>
        </w:rPr>
        <w:t>是否位于人口聚集区，并有效改善人居环境。</w:t>
      </w:r>
    </w:p>
    <w:p w14:paraId="09642D4B">
      <w:pPr>
        <w:pStyle w:val="23"/>
        <w:pBdr>
          <w:bottom w:val="none" w:color="auto" w:sz="0" w:space="0"/>
        </w:pBdr>
        <w:spacing w:before="156" w:after="156"/>
        <w:ind w:firstLine="0" w:firstLineChars="0"/>
        <w:rPr>
          <w:rFonts w:hint="eastAsia"/>
          <w:color w:val="auto"/>
        </w:rPr>
      </w:pPr>
      <w:r>
        <w:rPr>
          <w:b/>
          <w:color w:val="auto"/>
        </w:rPr>
        <w:t xml:space="preserve">    6</w:t>
      </w:r>
      <w:r>
        <w:rPr>
          <w:color w:val="auto"/>
        </w:rPr>
        <w:t xml:space="preserve"> 水蚀坡林地整治措施</w:t>
      </w:r>
      <w:r>
        <w:rPr>
          <w:b w:val="0"/>
          <w:color w:val="auto"/>
        </w:rPr>
        <w:t>分析</w:t>
      </w:r>
      <w:r>
        <w:rPr>
          <w:color w:val="auto"/>
        </w:rPr>
        <w:t>措施图斑内是否形成综合防治体系。</w:t>
      </w:r>
    </w:p>
    <w:p w14:paraId="44BB0A28">
      <w:pPr>
        <w:pStyle w:val="4"/>
        <w:rPr>
          <w:color w:val="auto"/>
        </w:rPr>
      </w:pPr>
      <w:bookmarkStart w:id="26" w:name="_Toc29403"/>
      <w:r>
        <w:rPr>
          <w:color w:val="auto"/>
        </w:rPr>
        <w:t>5.4</w:t>
      </w:r>
      <w:r>
        <w:rPr>
          <w:rFonts w:hint="eastAsia"/>
          <w:color w:val="auto"/>
        </w:rPr>
        <w:t xml:space="preserve"> </w:t>
      </w:r>
      <w:r>
        <w:rPr>
          <w:color w:val="auto"/>
        </w:rPr>
        <w:t>成果</w:t>
      </w:r>
      <w:bookmarkEnd w:id="26"/>
    </w:p>
    <w:p w14:paraId="4A8046E1">
      <w:pPr>
        <w:pStyle w:val="23"/>
        <w:spacing w:before="156" w:after="156"/>
        <w:ind w:firstLine="0" w:firstLineChars="0"/>
        <w:rPr>
          <w:color w:val="auto"/>
        </w:rPr>
      </w:pPr>
      <w:r>
        <w:rPr>
          <w:b/>
          <w:color w:val="auto"/>
        </w:rPr>
        <w:t>5.4.1</w:t>
      </w:r>
      <w:r>
        <w:rPr>
          <w:color w:val="auto"/>
        </w:rPr>
        <w:t xml:space="preserve"> 根据工程设计监管情况，填写水土保持综合治理工程工程设计监管信息表，见表1。</w:t>
      </w:r>
    </w:p>
    <w:p w14:paraId="73DBD3D8">
      <w:pPr>
        <w:pStyle w:val="23"/>
        <w:spacing w:before="156" w:after="156"/>
        <w:ind w:firstLine="0" w:firstLineChars="0"/>
        <w:rPr>
          <w:color w:val="auto"/>
        </w:rPr>
      </w:pPr>
      <w:r>
        <w:rPr>
          <w:b/>
          <w:color w:val="auto"/>
        </w:rPr>
        <w:t xml:space="preserve">5.4.2 </w:t>
      </w:r>
      <w:r>
        <w:rPr>
          <w:color w:val="auto"/>
        </w:rPr>
        <w:t>根据表1，同步形成水土保持工程遥感监管措施矢量图属性表信息（参见附录</w:t>
      </w:r>
      <w:r>
        <w:rPr>
          <w:rFonts w:hint="eastAsia"/>
          <w:color w:val="auto"/>
          <w:lang w:val="en-US" w:eastAsia="zh-CN"/>
        </w:rPr>
        <w:t>C</w:t>
      </w:r>
      <w:r>
        <w:rPr>
          <w:color w:val="auto"/>
        </w:rPr>
        <w:t>）。</w:t>
      </w:r>
    </w:p>
    <w:p w14:paraId="239C4662">
      <w:pPr>
        <w:pStyle w:val="23"/>
        <w:spacing w:before="156" w:after="156"/>
        <w:ind w:firstLine="0" w:firstLineChars="0"/>
        <w:rPr>
          <w:b w:val="0"/>
          <w:color w:val="auto"/>
        </w:rPr>
      </w:pPr>
      <w:r>
        <w:rPr>
          <w:b/>
          <w:color w:val="auto"/>
        </w:rPr>
        <w:t xml:space="preserve">5.4.3 </w:t>
      </w:r>
      <w:r>
        <w:rPr>
          <w:b w:val="0"/>
          <w:color w:val="auto"/>
        </w:rPr>
        <w:t>在工程设计监管工作完成后，应进行中间资料和成果资料的整理、归档。</w:t>
      </w:r>
    </w:p>
    <w:p w14:paraId="3E662A3B">
      <w:pPr>
        <w:pStyle w:val="23"/>
        <w:pBdr>
          <w:bottom w:val="none" w:color="auto" w:sz="0" w:space="0"/>
        </w:pBdr>
        <w:spacing w:before="156" w:after="156"/>
        <w:ind w:firstLine="0" w:firstLineChars="0"/>
        <w:rPr>
          <w:b/>
          <w:color w:val="auto"/>
        </w:rPr>
      </w:pPr>
      <w:r>
        <w:rPr>
          <w:b/>
          <w:color w:val="auto"/>
        </w:rPr>
        <w:t>5.4.4</w:t>
      </w:r>
      <w:r>
        <w:rPr>
          <w:b w:val="0"/>
          <w:color w:val="auto"/>
        </w:rPr>
        <w:t xml:space="preserve"> 原始数据和最终成果均应有元数据。</w:t>
      </w:r>
    </w:p>
    <w:p w14:paraId="2E1289B7">
      <w:pPr>
        <w:tabs>
          <w:tab w:val="left" w:pos="753"/>
        </w:tabs>
        <w:spacing w:line="360" w:lineRule="auto"/>
        <w:jc w:val="center"/>
        <w:rPr>
          <w:rFonts w:ascii="Times New Roman" w:hAnsi="Times New Roman" w:eastAsia="黑体"/>
          <w:color w:val="auto"/>
        </w:rPr>
      </w:pPr>
      <w:r>
        <w:rPr>
          <w:rFonts w:hint="eastAsia" w:ascii="Times New Roman" w:hAnsi="Times New Roman" w:eastAsia="黑体"/>
          <w:color w:val="auto"/>
        </w:rPr>
        <w:t xml:space="preserve">表1 </w:t>
      </w:r>
      <w:r>
        <w:rPr>
          <w:rFonts w:ascii="Times New Roman" w:hAnsi="Times New Roman" w:eastAsia="黑体"/>
          <w:color w:val="auto"/>
        </w:rPr>
        <w:t>水土保持综合治理工程工程设计监管信息表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74"/>
        <w:gridCol w:w="1598"/>
        <w:gridCol w:w="2058"/>
        <w:gridCol w:w="1996"/>
        <w:gridCol w:w="1848"/>
      </w:tblGrid>
      <w:tr w14:paraId="07BC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Borders>
              <w:right w:val="nil"/>
            </w:tcBorders>
          </w:tcPr>
          <w:p w14:paraId="3A01B578">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市</w:t>
            </w:r>
            <w:r>
              <w:rPr>
                <w:rFonts w:hint="eastAsia" w:ascii="宋体" w:hAnsi="宋体" w:eastAsia="宋体" w:cs="宋体"/>
                <w:color w:val="auto"/>
                <w:sz w:val="18"/>
                <w:szCs w:val="18"/>
              </w:rPr>
              <w:t>：</w:t>
            </w:r>
          </w:p>
        </w:tc>
        <w:tc>
          <w:tcPr>
            <w:tcW w:w="1598" w:type="dxa"/>
            <w:tcBorders>
              <w:left w:val="nil"/>
              <w:right w:val="nil"/>
            </w:tcBorders>
          </w:tcPr>
          <w:p w14:paraId="4DF2D8AE">
            <w:pPr>
              <w:pStyle w:val="22"/>
              <w:rPr>
                <w:rFonts w:hint="eastAsia" w:ascii="宋体" w:hAnsi="宋体" w:eastAsia="宋体" w:cs="宋体"/>
                <w:color w:val="auto"/>
                <w:sz w:val="18"/>
                <w:szCs w:val="18"/>
              </w:rPr>
            </w:pPr>
          </w:p>
        </w:tc>
        <w:tc>
          <w:tcPr>
            <w:tcW w:w="2058" w:type="dxa"/>
            <w:tcBorders>
              <w:left w:val="nil"/>
              <w:right w:val="nil"/>
            </w:tcBorders>
          </w:tcPr>
          <w:p w14:paraId="41EBAE90">
            <w:pPr>
              <w:pStyle w:val="22"/>
              <w:spacing w:before="22"/>
              <w:ind w:left="267"/>
              <w:rPr>
                <w:rFonts w:hint="eastAsia" w:ascii="宋体" w:hAnsi="宋体" w:eastAsia="宋体" w:cs="宋体"/>
                <w:color w:val="auto"/>
                <w:sz w:val="18"/>
                <w:szCs w:val="18"/>
              </w:rPr>
            </w:pPr>
            <w:r>
              <w:rPr>
                <w:rFonts w:hint="eastAsia" w:ascii="宋体" w:hAnsi="宋体" w:eastAsia="宋体" w:cs="宋体"/>
                <w:color w:val="auto"/>
                <w:sz w:val="18"/>
                <w:szCs w:val="18"/>
              </w:rPr>
              <w:t>县：</w:t>
            </w:r>
          </w:p>
        </w:tc>
        <w:tc>
          <w:tcPr>
            <w:tcW w:w="3844" w:type="dxa"/>
            <w:gridSpan w:val="2"/>
            <w:tcBorders>
              <w:left w:val="nil"/>
            </w:tcBorders>
          </w:tcPr>
          <w:p w14:paraId="6CF2D312">
            <w:pPr>
              <w:pStyle w:val="22"/>
              <w:spacing w:before="22"/>
              <w:ind w:left="833"/>
              <w:rPr>
                <w:rFonts w:hint="eastAsia" w:ascii="宋体" w:hAnsi="宋体" w:eastAsia="宋体" w:cs="宋体"/>
                <w:color w:val="auto"/>
                <w:sz w:val="18"/>
                <w:szCs w:val="18"/>
              </w:rPr>
            </w:pPr>
            <w:r>
              <w:rPr>
                <w:rFonts w:hint="eastAsia" w:ascii="宋体" w:hAnsi="宋体" w:eastAsia="宋体" w:cs="宋体"/>
                <w:color w:val="auto"/>
                <w:sz w:val="18"/>
                <w:szCs w:val="18"/>
              </w:rPr>
              <w:t>设计时间：</w:t>
            </w:r>
          </w:p>
        </w:tc>
      </w:tr>
      <w:tr w14:paraId="12567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374" w:type="dxa"/>
            <w:gridSpan w:val="5"/>
          </w:tcPr>
          <w:p w14:paraId="62FE38E9">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rPr>
              <w:t>工程名称：</w:t>
            </w:r>
          </w:p>
        </w:tc>
      </w:tr>
      <w:tr w14:paraId="7A01D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Borders>
              <w:right w:val="nil"/>
            </w:tcBorders>
          </w:tcPr>
          <w:p w14:paraId="335393A0">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rPr>
              <w:t>监管时间：</w:t>
            </w:r>
          </w:p>
        </w:tc>
        <w:tc>
          <w:tcPr>
            <w:tcW w:w="1598" w:type="dxa"/>
            <w:tcBorders>
              <w:left w:val="nil"/>
              <w:right w:val="nil"/>
            </w:tcBorders>
          </w:tcPr>
          <w:p w14:paraId="0081FC08">
            <w:pPr>
              <w:pStyle w:val="22"/>
              <w:spacing w:before="22"/>
              <w:ind w:left="657"/>
              <w:rPr>
                <w:rFonts w:hint="eastAsia" w:ascii="宋体" w:hAnsi="宋体" w:eastAsia="宋体" w:cs="宋体"/>
                <w:color w:val="auto"/>
                <w:sz w:val="18"/>
                <w:szCs w:val="18"/>
              </w:rPr>
            </w:pPr>
            <w:r>
              <w:rPr>
                <w:rFonts w:hint="eastAsia" w:ascii="宋体" w:hAnsi="宋体" w:eastAsia="宋体" w:cs="宋体"/>
                <w:color w:val="auto"/>
                <w:sz w:val="18"/>
                <w:szCs w:val="18"/>
              </w:rPr>
              <w:t>年</w:t>
            </w:r>
          </w:p>
        </w:tc>
        <w:tc>
          <w:tcPr>
            <w:tcW w:w="2058" w:type="dxa"/>
            <w:tcBorders>
              <w:left w:val="nil"/>
              <w:right w:val="nil"/>
            </w:tcBorders>
          </w:tcPr>
          <w:p w14:paraId="1ED06415">
            <w:pPr>
              <w:pStyle w:val="22"/>
              <w:tabs>
                <w:tab w:val="left" w:pos="687"/>
              </w:tabs>
              <w:spacing w:before="22"/>
              <w:rPr>
                <w:rFonts w:hint="eastAsia" w:ascii="宋体" w:hAnsi="宋体" w:eastAsia="宋体" w:cs="宋体"/>
                <w:color w:val="auto"/>
                <w:sz w:val="18"/>
                <w:szCs w:val="18"/>
              </w:rPr>
            </w:pPr>
            <w:r>
              <w:rPr>
                <w:rFonts w:hint="eastAsia" w:ascii="宋体" w:hAnsi="宋体" w:eastAsia="宋体" w:cs="宋体"/>
                <w:color w:val="auto"/>
                <w:sz w:val="18"/>
                <w:szCs w:val="18"/>
              </w:rPr>
              <w:t>月</w:t>
            </w:r>
            <w:r>
              <w:rPr>
                <w:rFonts w:hint="eastAsia" w:ascii="宋体" w:hAnsi="宋体" w:eastAsia="宋体" w:cs="宋体"/>
                <w:color w:val="auto"/>
                <w:sz w:val="18"/>
                <w:szCs w:val="18"/>
              </w:rPr>
              <w:tab/>
            </w:r>
            <w:r>
              <w:rPr>
                <w:rFonts w:hint="eastAsia" w:ascii="宋体" w:hAnsi="宋体" w:eastAsia="宋体" w:cs="宋体"/>
                <w:color w:val="auto"/>
                <w:sz w:val="18"/>
                <w:szCs w:val="18"/>
              </w:rPr>
              <w:t>日</w:t>
            </w:r>
          </w:p>
        </w:tc>
        <w:tc>
          <w:tcPr>
            <w:tcW w:w="3844" w:type="dxa"/>
            <w:gridSpan w:val="2"/>
            <w:tcBorders>
              <w:left w:val="nil"/>
            </w:tcBorders>
          </w:tcPr>
          <w:p w14:paraId="4164929D">
            <w:pPr>
              <w:pStyle w:val="22"/>
              <w:spacing w:before="22"/>
              <w:rPr>
                <w:rFonts w:hint="eastAsia" w:ascii="宋体" w:hAnsi="宋体" w:eastAsia="宋体" w:cs="宋体"/>
                <w:color w:val="auto"/>
                <w:sz w:val="18"/>
                <w:szCs w:val="18"/>
              </w:rPr>
            </w:pPr>
          </w:p>
        </w:tc>
      </w:tr>
      <w:tr w14:paraId="332F1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Pr>
          <w:p w14:paraId="77181986">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图斑编码</w:t>
            </w:r>
          </w:p>
        </w:tc>
        <w:tc>
          <w:tcPr>
            <w:tcW w:w="1598" w:type="dxa"/>
            <w:tcBorders>
              <w:right w:val="single" w:color="auto" w:sz="4" w:space="0"/>
            </w:tcBorders>
          </w:tcPr>
          <w:p w14:paraId="261BFA4C">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措施名称</w:t>
            </w:r>
          </w:p>
        </w:tc>
        <w:tc>
          <w:tcPr>
            <w:tcW w:w="2058" w:type="dxa"/>
            <w:tcBorders>
              <w:left w:val="single" w:color="auto" w:sz="4" w:space="0"/>
            </w:tcBorders>
          </w:tcPr>
          <w:p w14:paraId="3B176786">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设计措施数量</w:t>
            </w:r>
          </w:p>
        </w:tc>
        <w:tc>
          <w:tcPr>
            <w:tcW w:w="1996" w:type="dxa"/>
          </w:tcPr>
          <w:p w14:paraId="477CF47C">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设计监管结果</w:t>
            </w:r>
          </w:p>
        </w:tc>
        <w:tc>
          <w:tcPr>
            <w:tcW w:w="1848" w:type="dxa"/>
          </w:tcPr>
          <w:p w14:paraId="51EEC844">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设计监管结果说明</w:t>
            </w:r>
          </w:p>
        </w:tc>
      </w:tr>
      <w:tr w14:paraId="0E8DAA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Pr>
          <w:p w14:paraId="644BB1FF">
            <w:pPr>
              <w:pStyle w:val="22"/>
              <w:rPr>
                <w:rFonts w:hint="eastAsia" w:ascii="宋体" w:hAnsi="宋体" w:eastAsia="宋体" w:cs="宋体"/>
                <w:color w:val="auto"/>
                <w:sz w:val="18"/>
                <w:szCs w:val="18"/>
                <w:lang w:eastAsia="zh-CN"/>
              </w:rPr>
            </w:pPr>
          </w:p>
        </w:tc>
        <w:tc>
          <w:tcPr>
            <w:tcW w:w="1598" w:type="dxa"/>
            <w:tcBorders>
              <w:right w:val="single" w:color="auto" w:sz="4" w:space="0"/>
            </w:tcBorders>
          </w:tcPr>
          <w:p w14:paraId="7E22DCF7">
            <w:pPr>
              <w:pStyle w:val="22"/>
              <w:rPr>
                <w:rFonts w:hint="eastAsia" w:ascii="宋体" w:hAnsi="宋体" w:eastAsia="宋体" w:cs="宋体"/>
                <w:color w:val="auto"/>
                <w:sz w:val="18"/>
                <w:szCs w:val="18"/>
                <w:lang w:eastAsia="zh-CN"/>
              </w:rPr>
            </w:pPr>
          </w:p>
        </w:tc>
        <w:tc>
          <w:tcPr>
            <w:tcW w:w="2058" w:type="dxa"/>
            <w:tcBorders>
              <w:left w:val="single" w:color="auto" w:sz="4" w:space="0"/>
            </w:tcBorders>
          </w:tcPr>
          <w:p w14:paraId="5C4E2B52">
            <w:pPr>
              <w:pStyle w:val="22"/>
              <w:rPr>
                <w:rFonts w:hint="eastAsia" w:ascii="宋体" w:hAnsi="宋体" w:eastAsia="宋体" w:cs="宋体"/>
                <w:color w:val="auto"/>
                <w:sz w:val="18"/>
                <w:szCs w:val="18"/>
                <w:lang w:eastAsia="zh-CN"/>
              </w:rPr>
            </w:pPr>
          </w:p>
        </w:tc>
        <w:tc>
          <w:tcPr>
            <w:tcW w:w="1996" w:type="dxa"/>
          </w:tcPr>
          <w:p w14:paraId="24A9C144">
            <w:pPr>
              <w:pStyle w:val="22"/>
              <w:rPr>
                <w:rFonts w:hint="eastAsia" w:ascii="宋体" w:hAnsi="宋体" w:eastAsia="宋体" w:cs="宋体"/>
                <w:color w:val="auto"/>
                <w:sz w:val="18"/>
                <w:szCs w:val="18"/>
                <w:lang w:eastAsia="zh-CN"/>
              </w:rPr>
            </w:pPr>
          </w:p>
        </w:tc>
        <w:tc>
          <w:tcPr>
            <w:tcW w:w="1848" w:type="dxa"/>
          </w:tcPr>
          <w:p w14:paraId="6C73D6CB">
            <w:pPr>
              <w:pStyle w:val="22"/>
              <w:rPr>
                <w:rFonts w:hint="eastAsia" w:ascii="宋体" w:hAnsi="宋体" w:eastAsia="宋体" w:cs="宋体"/>
                <w:color w:val="auto"/>
                <w:sz w:val="18"/>
                <w:szCs w:val="18"/>
                <w:lang w:eastAsia="zh-CN"/>
              </w:rPr>
            </w:pPr>
          </w:p>
        </w:tc>
      </w:tr>
      <w:tr w14:paraId="55106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Pr>
          <w:p w14:paraId="41B57297">
            <w:pPr>
              <w:pStyle w:val="22"/>
              <w:rPr>
                <w:rFonts w:hint="eastAsia" w:ascii="宋体" w:hAnsi="宋体" w:eastAsia="宋体" w:cs="宋体"/>
                <w:color w:val="auto"/>
                <w:sz w:val="18"/>
                <w:szCs w:val="18"/>
                <w:lang w:eastAsia="zh-CN"/>
              </w:rPr>
            </w:pPr>
          </w:p>
        </w:tc>
        <w:tc>
          <w:tcPr>
            <w:tcW w:w="1598" w:type="dxa"/>
            <w:tcBorders>
              <w:right w:val="single" w:color="auto" w:sz="4" w:space="0"/>
            </w:tcBorders>
          </w:tcPr>
          <w:p w14:paraId="1257821A">
            <w:pPr>
              <w:pStyle w:val="22"/>
              <w:rPr>
                <w:rFonts w:hint="eastAsia" w:ascii="宋体" w:hAnsi="宋体" w:eastAsia="宋体" w:cs="宋体"/>
                <w:color w:val="auto"/>
                <w:sz w:val="18"/>
                <w:szCs w:val="18"/>
                <w:lang w:eastAsia="zh-CN"/>
              </w:rPr>
            </w:pPr>
          </w:p>
        </w:tc>
        <w:tc>
          <w:tcPr>
            <w:tcW w:w="2058" w:type="dxa"/>
            <w:tcBorders>
              <w:left w:val="single" w:color="auto" w:sz="4" w:space="0"/>
            </w:tcBorders>
          </w:tcPr>
          <w:p w14:paraId="2F8266A6">
            <w:pPr>
              <w:pStyle w:val="22"/>
              <w:rPr>
                <w:rFonts w:hint="eastAsia" w:ascii="宋体" w:hAnsi="宋体" w:eastAsia="宋体" w:cs="宋体"/>
                <w:color w:val="auto"/>
                <w:sz w:val="18"/>
                <w:szCs w:val="18"/>
                <w:lang w:eastAsia="zh-CN"/>
              </w:rPr>
            </w:pPr>
          </w:p>
        </w:tc>
        <w:tc>
          <w:tcPr>
            <w:tcW w:w="1996" w:type="dxa"/>
          </w:tcPr>
          <w:p w14:paraId="58010C24">
            <w:pPr>
              <w:pStyle w:val="22"/>
              <w:rPr>
                <w:rFonts w:hint="eastAsia" w:ascii="宋体" w:hAnsi="宋体" w:eastAsia="宋体" w:cs="宋体"/>
                <w:color w:val="auto"/>
                <w:sz w:val="18"/>
                <w:szCs w:val="18"/>
                <w:lang w:eastAsia="zh-CN"/>
              </w:rPr>
            </w:pPr>
          </w:p>
        </w:tc>
        <w:tc>
          <w:tcPr>
            <w:tcW w:w="1848" w:type="dxa"/>
          </w:tcPr>
          <w:p w14:paraId="3C8DB2DC">
            <w:pPr>
              <w:pStyle w:val="22"/>
              <w:rPr>
                <w:rFonts w:hint="eastAsia" w:ascii="宋体" w:hAnsi="宋体" w:eastAsia="宋体" w:cs="宋体"/>
                <w:color w:val="auto"/>
                <w:sz w:val="18"/>
                <w:szCs w:val="18"/>
                <w:lang w:eastAsia="zh-CN"/>
              </w:rPr>
            </w:pPr>
          </w:p>
        </w:tc>
      </w:tr>
      <w:tr w14:paraId="475B4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874" w:type="dxa"/>
          </w:tcPr>
          <w:p w14:paraId="0C7BD0B3">
            <w:pPr>
              <w:pStyle w:val="22"/>
              <w:spacing w:before="1"/>
              <w:ind w:left="0"/>
              <w:jc w:val="center"/>
              <w:rPr>
                <w:rFonts w:hint="eastAsia" w:ascii="宋体" w:hAnsi="宋体" w:eastAsia="宋体" w:cs="宋体"/>
                <w:color w:val="auto"/>
                <w:sz w:val="18"/>
                <w:szCs w:val="18"/>
              </w:rPr>
            </w:pPr>
            <w:r>
              <w:rPr>
                <w:rFonts w:hint="eastAsia" w:ascii="宋体" w:hAnsi="宋体" w:eastAsia="宋体" w:cs="宋体"/>
                <w:color w:val="auto"/>
                <w:sz w:val="18"/>
                <w:szCs w:val="18"/>
              </w:rPr>
              <w:t>设计监管意见</w:t>
            </w:r>
          </w:p>
        </w:tc>
        <w:tc>
          <w:tcPr>
            <w:tcW w:w="7500" w:type="dxa"/>
            <w:gridSpan w:val="4"/>
          </w:tcPr>
          <w:p w14:paraId="65DADB23">
            <w:pPr>
              <w:pStyle w:val="22"/>
              <w:rPr>
                <w:rFonts w:hint="eastAsia" w:ascii="宋体" w:hAnsi="宋体" w:eastAsia="宋体" w:cs="宋体"/>
                <w:color w:val="auto"/>
                <w:sz w:val="18"/>
                <w:szCs w:val="18"/>
              </w:rPr>
            </w:pPr>
          </w:p>
        </w:tc>
      </w:tr>
      <w:tr w14:paraId="1EF47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374" w:type="dxa"/>
            <w:gridSpan w:val="5"/>
          </w:tcPr>
          <w:p w14:paraId="04EC642D">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填表说明：</w:t>
            </w:r>
          </w:p>
          <w:p w14:paraId="25E2BFB9">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1</w:t>
            </w:r>
            <w:r>
              <w:rPr>
                <w:rFonts w:hint="eastAsia" w:ascii="宋体" w:hAnsi="宋体" w:eastAsia="宋体" w:cs="宋体"/>
                <w:color w:val="auto"/>
                <w:sz w:val="18"/>
                <w:szCs w:val="18"/>
              </w:rPr>
              <w:t>：监管时间为开展工程设计监管工作的起始日期，格式为 YYYY 年 MM 月 DD 日。</w:t>
            </w:r>
          </w:p>
          <w:p w14:paraId="47A7B291">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2</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图斑编码为水土保持措施设计矢量图中标注的措施图斑编码。水土保持措施设计矢量图基于初步设计实施方案中的水土保持措施图斑构建。</w:t>
            </w:r>
          </w:p>
          <w:p w14:paraId="57F97901">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3</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措施名称参照附录A中三级水土保持措施名称</w:t>
            </w:r>
            <w:r>
              <w:rPr>
                <w:rFonts w:hint="eastAsia" w:ascii="宋体" w:hAnsi="宋体" w:eastAsia="宋体" w:cs="宋体"/>
                <w:color w:val="auto"/>
                <w:sz w:val="18"/>
                <w:szCs w:val="18"/>
                <w:lang w:eastAsia="zh-CN"/>
              </w:rPr>
              <w:t>填写</w:t>
            </w:r>
            <w:r>
              <w:rPr>
                <w:rFonts w:hint="eastAsia" w:ascii="宋体" w:hAnsi="宋体" w:eastAsia="宋体" w:cs="宋体"/>
                <w:color w:val="auto"/>
                <w:sz w:val="18"/>
                <w:szCs w:val="18"/>
              </w:rPr>
              <w:t>。</w:t>
            </w:r>
          </w:p>
          <w:p w14:paraId="241C70F7">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4</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设计措施数量</w:t>
            </w:r>
            <w:r>
              <w:rPr>
                <w:rFonts w:hint="eastAsia" w:ascii="宋体" w:hAnsi="宋体" w:eastAsia="宋体" w:cs="宋体"/>
                <w:color w:val="auto"/>
                <w:sz w:val="18"/>
                <w:szCs w:val="18"/>
                <w:lang w:eastAsia="zh-CN"/>
              </w:rPr>
              <w:t>为</w:t>
            </w:r>
            <w:r>
              <w:rPr>
                <w:rFonts w:hint="eastAsia" w:ascii="宋体" w:hAnsi="宋体" w:eastAsia="宋体" w:cs="宋体"/>
                <w:color w:val="auto"/>
                <w:sz w:val="18"/>
                <w:szCs w:val="18"/>
              </w:rPr>
              <w:t>水土保持措施设计矢量图中填写的措施数量，面状措施数量指措施面积，单位为hm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rPr>
              <w:t>，保留2位小数，线状措施数量指措施长度，单位为km，保留2位小数，点状措施数量指措施个（处、座）数，以整数表示。</w:t>
            </w:r>
          </w:p>
          <w:p w14:paraId="2FF38E76">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5</w:t>
            </w:r>
            <w:r>
              <w:rPr>
                <w:rFonts w:hint="eastAsia" w:ascii="宋体" w:hAnsi="宋体" w:eastAsia="宋体" w:cs="宋体"/>
                <w:color w:val="auto"/>
                <w:sz w:val="18"/>
                <w:szCs w:val="18"/>
              </w:rPr>
              <w:t>：设计监管结果根据各类水土保持措施图斑的适宜性与措施边界的合理性进行判断，填写“合格”或“不合格”。</w:t>
            </w:r>
          </w:p>
          <w:p w14:paraId="703E3B29">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6：</w:t>
            </w:r>
            <w:r>
              <w:rPr>
                <w:rFonts w:hint="eastAsia" w:ascii="宋体" w:hAnsi="宋体" w:eastAsia="宋体" w:cs="宋体"/>
                <w:color w:val="auto"/>
                <w:sz w:val="18"/>
                <w:szCs w:val="18"/>
              </w:rPr>
              <w:t>当设计监管结果为“不合格”时，设计监管结果说明应根据实际监管情况，填写必要的情况说明。</w:t>
            </w:r>
          </w:p>
          <w:p w14:paraId="055EEAAA">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7</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设计监管意见应综合实际监管情况，对水土保持措施图斑的布局合理性、水土流失治理面积等情况进行说明。</w:t>
            </w:r>
          </w:p>
        </w:tc>
      </w:tr>
    </w:tbl>
    <w:p w14:paraId="73BB1553">
      <w:pPr>
        <w:pStyle w:val="3"/>
        <w:spacing w:before="156" w:after="156"/>
        <w:rPr>
          <w:rFonts w:hint="eastAsia"/>
          <w:color w:val="auto"/>
        </w:rPr>
      </w:pPr>
      <w:bookmarkStart w:id="27" w:name="_Toc4468"/>
      <w:r>
        <w:rPr>
          <w:rFonts w:hint="eastAsia"/>
          <w:color w:val="auto"/>
        </w:rPr>
        <w:t>6 工程建设</w:t>
      </w:r>
      <w:bookmarkEnd w:id="27"/>
    </w:p>
    <w:p w14:paraId="0AD02537">
      <w:pPr>
        <w:pStyle w:val="4"/>
        <w:rPr>
          <w:color w:val="auto"/>
        </w:rPr>
      </w:pPr>
      <w:bookmarkStart w:id="28" w:name="_Toc2061"/>
      <w:r>
        <w:rPr>
          <w:color w:val="auto"/>
        </w:rPr>
        <w:t>6.1 监管内容</w:t>
      </w:r>
      <w:bookmarkEnd w:id="28"/>
    </w:p>
    <w:p w14:paraId="70553EDC">
      <w:pPr>
        <w:pStyle w:val="23"/>
        <w:spacing w:before="156" w:after="156"/>
        <w:ind w:firstLine="0" w:firstLineChars="0"/>
        <w:rPr>
          <w:color w:val="auto"/>
        </w:rPr>
      </w:pPr>
      <w:r>
        <w:rPr>
          <w:color w:val="auto"/>
        </w:rPr>
        <w:t>6.1.1 对水土保持综合治理工程的施工进度、已完成的水土保持措施建设情况、施工期水土流失防护情况等进行工程建设监管。</w:t>
      </w:r>
    </w:p>
    <w:p w14:paraId="511B6D7D">
      <w:pPr>
        <w:pStyle w:val="23"/>
        <w:pBdr>
          <w:bottom w:val="none" w:color="auto" w:sz="0" w:space="0"/>
        </w:pBdr>
        <w:spacing w:before="156" w:after="156"/>
        <w:ind w:firstLine="0" w:firstLineChars="0"/>
        <w:rPr>
          <w:rFonts w:hint="eastAsia"/>
          <w:color w:val="auto"/>
        </w:rPr>
      </w:pPr>
      <w:r>
        <w:rPr>
          <w:color w:val="auto"/>
        </w:rPr>
        <w:t>6.1.2 应对已建成的所有点、线、面状措施图斑开展工程建设遥感监管。</w:t>
      </w:r>
    </w:p>
    <w:p w14:paraId="5D34F0A5">
      <w:pPr>
        <w:pStyle w:val="4"/>
        <w:pBdr>
          <w:bottom w:val="none" w:color="auto" w:sz="0" w:space="0"/>
        </w:pBdr>
        <w:rPr>
          <w:color w:val="auto"/>
        </w:rPr>
      </w:pPr>
      <w:bookmarkStart w:id="29" w:name="_Toc27014"/>
      <w:r>
        <w:rPr>
          <w:color w:val="auto"/>
        </w:rPr>
        <w:t>6.2 信息采集</w:t>
      </w:r>
      <w:bookmarkEnd w:id="29"/>
    </w:p>
    <w:p w14:paraId="2BA83BB9">
      <w:pPr>
        <w:pStyle w:val="23"/>
        <w:spacing w:before="156" w:after="156"/>
        <w:ind w:firstLine="0" w:firstLineChars="0"/>
        <w:rPr>
          <w:rFonts w:hint="eastAsia"/>
          <w:color w:val="auto"/>
        </w:rPr>
      </w:pPr>
      <w:r>
        <w:rPr>
          <w:color w:val="auto"/>
        </w:rPr>
        <w:t>6.2.1</w:t>
      </w:r>
      <w:r>
        <w:rPr>
          <w:rFonts w:hint="eastAsia"/>
          <w:color w:val="auto"/>
        </w:rPr>
        <w:t xml:space="preserve"> </w:t>
      </w:r>
      <w:r>
        <w:rPr>
          <w:color w:val="auto"/>
        </w:rPr>
        <w:t>收集监管工程的初步设计实施方案、批复文件、施工图、工程项目区遥感影像等资料。</w:t>
      </w:r>
    </w:p>
    <w:p w14:paraId="5114917E">
      <w:pPr>
        <w:pStyle w:val="23"/>
        <w:spacing w:before="156" w:after="156"/>
        <w:ind w:firstLine="0" w:firstLineChars="0"/>
        <w:rPr>
          <w:color w:val="auto"/>
        </w:rPr>
      </w:pPr>
      <w:r>
        <w:rPr>
          <w:color w:val="auto"/>
        </w:rPr>
        <w:t>6.2.2 卫星影像的选择与预处理参照5.2.2条的规定进行。</w:t>
      </w:r>
    </w:p>
    <w:p w14:paraId="44AF50B0">
      <w:pPr>
        <w:pStyle w:val="23"/>
        <w:spacing w:before="156" w:after="156"/>
        <w:ind w:firstLine="0" w:firstLineChars="0"/>
        <w:rPr>
          <w:color w:val="auto"/>
        </w:rPr>
      </w:pPr>
      <w:r>
        <w:rPr>
          <w:color w:val="auto"/>
        </w:rPr>
        <w:t>6.2.3 在工程项目区现场利用无人机低空航摄获取水土保持措施图斑的正射影像数据，具体技术流程及成果精度要求应符合下列规定：</w:t>
      </w:r>
    </w:p>
    <w:p w14:paraId="20C85D70">
      <w:pPr>
        <w:pStyle w:val="23"/>
        <w:pBdr>
          <w:bottom w:val="none" w:color="auto" w:sz="0" w:space="0"/>
        </w:pBdr>
        <w:spacing w:before="156" w:after="156"/>
        <w:ind w:firstLine="0" w:firstLineChars="0"/>
        <w:rPr>
          <w:color w:val="auto"/>
        </w:rPr>
      </w:pPr>
      <w:r>
        <w:rPr>
          <w:b/>
          <w:color w:val="auto"/>
        </w:rPr>
        <w:t xml:space="preserve">    1 </w:t>
      </w:r>
      <w:r>
        <w:rPr>
          <w:color w:val="auto"/>
        </w:rPr>
        <w:t>影像空间分辨率应优于0.2m。</w:t>
      </w:r>
    </w:p>
    <w:p w14:paraId="14468E7F">
      <w:pPr>
        <w:pStyle w:val="23"/>
        <w:pBdr>
          <w:bottom w:val="none" w:color="auto" w:sz="0" w:space="0"/>
        </w:pBdr>
        <w:spacing w:before="156" w:after="156"/>
        <w:ind w:firstLine="0" w:firstLineChars="0"/>
        <w:rPr>
          <w:rFonts w:hint="eastAsia"/>
          <w:color w:val="auto"/>
        </w:rPr>
      </w:pPr>
      <w:r>
        <w:rPr>
          <w:color w:val="auto"/>
        </w:rPr>
        <w:t xml:space="preserve">   </w:t>
      </w:r>
      <w:r>
        <w:rPr>
          <w:b/>
          <w:color w:val="auto"/>
        </w:rPr>
        <w:t xml:space="preserve"> 2 </w:t>
      </w:r>
      <w:r>
        <w:rPr>
          <w:b w:val="0"/>
          <w:color w:val="auto"/>
        </w:rPr>
        <w:t>无人机正射</w:t>
      </w:r>
      <w:r>
        <w:rPr>
          <w:color w:val="auto"/>
        </w:rPr>
        <w:t>影像质量应符合CH/Z 3005的规定，并满足以下具体要求：影像应清晰，层次丰富，反差适中，色调柔和；应能辨认出与地面空间分辨率相适应的水土保持措施和土地利用类型；影像上不能有云、云影、烟、大面积反光和污点等缺陷；拼接影像应无明显模糊、重影和错位现象；影像应覆盖监管措施实施范围。</w:t>
      </w:r>
    </w:p>
    <w:p w14:paraId="40B26828">
      <w:pPr>
        <w:pStyle w:val="23"/>
        <w:spacing w:before="156" w:after="156"/>
        <w:ind w:firstLine="0" w:firstLineChars="0"/>
        <w:rPr>
          <w:color w:val="auto"/>
        </w:rPr>
      </w:pPr>
      <w:r>
        <w:rPr>
          <w:color w:val="auto"/>
        </w:rPr>
        <w:t>6.2.4</w:t>
      </w:r>
      <w:r>
        <w:rPr>
          <w:rFonts w:hint="eastAsia"/>
          <w:color w:val="auto"/>
        </w:rPr>
        <w:t xml:space="preserve"> </w:t>
      </w:r>
      <w:r>
        <w:rPr>
          <w:color w:val="auto"/>
        </w:rPr>
        <w:t>利用无人机等设备拍摄措施现状照片，每项措施图斑至少拍摄1张低空全景照片、2张措施局部照片、1张监管工作照片和1张施工现场照片。照片要求清晰，具有代表性。</w:t>
      </w:r>
    </w:p>
    <w:p w14:paraId="23DC7BDF">
      <w:pPr>
        <w:pStyle w:val="23"/>
        <w:spacing w:before="156" w:after="156"/>
        <w:ind w:firstLine="0" w:firstLineChars="0"/>
        <w:rPr>
          <w:rFonts w:hint="eastAsia"/>
          <w:color w:val="auto"/>
        </w:rPr>
      </w:pPr>
      <w:r>
        <w:rPr>
          <w:color w:val="auto"/>
        </w:rPr>
        <w:t>6.2.5</w:t>
      </w:r>
      <w:r>
        <w:rPr>
          <w:rFonts w:hint="eastAsia"/>
          <w:color w:val="auto"/>
        </w:rPr>
        <w:t xml:space="preserve"> </w:t>
      </w:r>
      <w:r>
        <w:rPr>
          <w:color w:val="auto"/>
        </w:rPr>
        <w:t>对已实施的措施图斑开展现场调查，对实施措施的位置、施工情况、外观质量、现场水土流失情况、工程管护情况等进行记录，作为监管意见填写的依据。</w:t>
      </w:r>
    </w:p>
    <w:p w14:paraId="3FCA9779">
      <w:pPr>
        <w:pStyle w:val="4"/>
        <w:rPr>
          <w:rFonts w:hint="eastAsia"/>
          <w:color w:val="auto"/>
        </w:rPr>
      </w:pPr>
      <w:bookmarkStart w:id="30" w:name="_Toc3"/>
      <w:r>
        <w:rPr>
          <w:color w:val="auto"/>
        </w:rPr>
        <w:t>6.3</w:t>
      </w:r>
      <w:r>
        <w:rPr>
          <w:rFonts w:hint="eastAsia"/>
          <w:color w:val="auto"/>
        </w:rPr>
        <w:t xml:space="preserve"> 数据处理与分析</w:t>
      </w:r>
      <w:bookmarkEnd w:id="30"/>
    </w:p>
    <w:p w14:paraId="3CCADF1C">
      <w:pPr>
        <w:pStyle w:val="23"/>
        <w:spacing w:before="156" w:after="156"/>
        <w:ind w:firstLine="0" w:firstLineChars="0"/>
        <w:rPr>
          <w:color w:val="auto"/>
        </w:rPr>
      </w:pPr>
      <w:r>
        <w:rPr>
          <w:color w:val="auto"/>
        </w:rPr>
        <w:t>6.3.1对卫星影像与无人机正射影像开展影像预处理（参照附录B）</w:t>
      </w:r>
    </w:p>
    <w:p w14:paraId="40DCE580">
      <w:pPr>
        <w:pStyle w:val="23"/>
        <w:pBdr>
          <w:bottom w:val="none" w:color="auto" w:sz="0" w:space="0"/>
        </w:pBdr>
        <w:spacing w:before="156" w:after="156"/>
        <w:ind w:firstLine="0" w:firstLineChars="0"/>
        <w:rPr>
          <w:color w:val="auto"/>
        </w:rPr>
      </w:pPr>
      <w:r>
        <w:rPr>
          <w:color w:val="auto"/>
        </w:rPr>
        <w:t>6.3.2 卫星影像数据以“市-县（市/区）-工程名称-卫星影像-时相”的格式进行命名。</w:t>
      </w:r>
    </w:p>
    <w:p w14:paraId="359B063A">
      <w:pPr>
        <w:pStyle w:val="23"/>
        <w:spacing w:before="156" w:after="156"/>
        <w:ind w:firstLine="0" w:firstLineChars="0"/>
        <w:rPr>
          <w:color w:val="auto"/>
        </w:rPr>
      </w:pPr>
      <w:r>
        <w:rPr>
          <w:color w:val="auto"/>
        </w:rPr>
        <w:t>6.3.3无人机正射影像数据以“市-县（市/区）-工程名称-无人机影像-拍摄年月”的格式进行命名。</w:t>
      </w:r>
    </w:p>
    <w:p w14:paraId="4BB97AC9">
      <w:pPr>
        <w:pStyle w:val="23"/>
        <w:spacing w:before="156" w:after="156"/>
        <w:ind w:firstLine="0" w:firstLineChars="0"/>
        <w:rPr>
          <w:color w:val="auto"/>
        </w:rPr>
      </w:pPr>
      <w:r>
        <w:rPr>
          <w:color w:val="auto"/>
        </w:rPr>
        <w:t>6.3.4 参照卫星影像与无人机正射影像结合现场调查情况提取已实施的措施信息，面状措施提取边界与措施名称并计算措施面积，线状措施提取位置与措施名称并计算措施长度，点状措施提取位置与措施名称。</w:t>
      </w:r>
    </w:p>
    <w:p w14:paraId="60FD0517">
      <w:pPr>
        <w:pStyle w:val="23"/>
        <w:pBdr>
          <w:bottom w:val="none" w:color="auto" w:sz="0" w:space="0"/>
        </w:pBdr>
        <w:spacing w:before="156" w:after="156"/>
        <w:ind w:firstLine="0" w:firstLineChars="0"/>
        <w:rPr>
          <w:color w:val="auto"/>
        </w:rPr>
      </w:pPr>
      <w:r>
        <w:rPr>
          <w:color w:val="auto"/>
        </w:rPr>
        <w:t>6.3.5 建设监管误差要求</w:t>
      </w:r>
    </w:p>
    <w:p w14:paraId="12D9931E">
      <w:pPr>
        <w:pStyle w:val="23"/>
        <w:spacing w:before="156" w:after="156"/>
        <w:ind w:firstLine="0" w:firstLineChars="0"/>
        <w:rPr>
          <w:rFonts w:hint="eastAsia"/>
          <w:color w:val="auto"/>
        </w:rPr>
      </w:pPr>
      <w:r>
        <w:rPr>
          <w:color w:val="auto"/>
        </w:rPr>
        <w:t xml:space="preserve">  </w:t>
      </w:r>
      <w:r>
        <w:rPr>
          <w:b/>
          <w:color w:val="auto"/>
        </w:rPr>
        <w:t xml:space="preserve">  1 </w:t>
      </w:r>
      <w:r>
        <w:rPr>
          <w:color w:val="auto"/>
        </w:rPr>
        <w:t>点位置误差 ≤</w:t>
      </w:r>
      <w:r>
        <w:rPr>
          <w:rFonts w:hint="eastAsia"/>
          <w:color w:val="auto"/>
        </w:rPr>
        <w:t xml:space="preserve"> </w:t>
      </w:r>
      <w:r>
        <w:rPr>
          <w:color w:val="auto"/>
        </w:rPr>
        <w:t xml:space="preserve">20 m，指各个点状措施经遥感提取位置与设计位置之间的直线距离。 </w:t>
      </w:r>
    </w:p>
    <w:p w14:paraId="244656AD">
      <w:pPr>
        <w:pStyle w:val="23"/>
        <w:spacing w:before="156" w:after="156"/>
        <w:ind w:firstLine="0" w:firstLineChars="0"/>
        <w:rPr>
          <w:rFonts w:hint="eastAsia"/>
          <w:color w:val="auto"/>
        </w:rPr>
      </w:pPr>
      <w:r>
        <w:rPr>
          <w:color w:val="auto"/>
        </w:rPr>
        <w:t xml:space="preserve">   </w:t>
      </w:r>
      <w:r>
        <w:rPr>
          <w:b/>
          <w:color w:val="auto"/>
        </w:rPr>
        <w:t xml:space="preserve"> 2</w:t>
      </w:r>
      <w:r>
        <w:rPr>
          <w:rFonts w:hint="eastAsia"/>
          <w:b/>
          <w:color w:val="auto"/>
        </w:rPr>
        <w:t xml:space="preserve"> </w:t>
      </w:r>
      <w:r>
        <w:rPr>
          <w:rFonts w:hint="eastAsia"/>
          <w:color w:val="auto"/>
        </w:rPr>
        <w:t>长度</w:t>
      </w:r>
      <w:r>
        <w:rPr>
          <w:color w:val="auto"/>
        </w:rPr>
        <w:t>误差 ≤</w:t>
      </w:r>
      <w:r>
        <w:rPr>
          <w:rFonts w:hint="eastAsia"/>
          <w:color w:val="auto"/>
        </w:rPr>
        <w:t xml:space="preserve"> </w:t>
      </w:r>
      <w:r>
        <w:rPr>
          <w:color w:val="auto"/>
        </w:rPr>
        <w:t xml:space="preserve">5 %，指各个线状措施经遥感提取长度与设计长度之间的误差。 </w:t>
      </w:r>
    </w:p>
    <w:p w14:paraId="03AD74CF">
      <w:pPr>
        <w:pStyle w:val="23"/>
        <w:spacing w:before="156" w:after="156"/>
        <w:ind w:firstLine="0" w:firstLineChars="0"/>
        <w:rPr>
          <w:rFonts w:hint="eastAsia"/>
          <w:color w:val="auto"/>
        </w:rPr>
      </w:pPr>
      <w:r>
        <w:rPr>
          <w:color w:val="auto"/>
        </w:rPr>
        <w:t xml:space="preserve">   </w:t>
      </w:r>
      <w:r>
        <w:rPr>
          <w:b/>
          <w:color w:val="auto"/>
        </w:rPr>
        <w:t xml:space="preserve"> 3</w:t>
      </w:r>
      <w:r>
        <w:rPr>
          <w:rFonts w:hint="eastAsia"/>
          <w:b/>
          <w:color w:val="auto"/>
        </w:rPr>
        <w:t xml:space="preserve"> </w:t>
      </w:r>
      <w:r>
        <w:rPr>
          <w:color w:val="auto"/>
        </w:rPr>
        <w:t>面积误差 ≤</w:t>
      </w:r>
      <w:r>
        <w:rPr>
          <w:rFonts w:hint="eastAsia"/>
          <w:color w:val="auto"/>
        </w:rPr>
        <w:t xml:space="preserve"> </w:t>
      </w:r>
      <w:r>
        <w:rPr>
          <w:color w:val="auto"/>
        </w:rPr>
        <w:t>10 %，指各个面状措施经遥感提取面积与设计面积之间的误差。</w:t>
      </w:r>
    </w:p>
    <w:p w14:paraId="063047B2">
      <w:pPr>
        <w:pStyle w:val="23"/>
        <w:spacing w:before="156" w:after="156"/>
        <w:ind w:firstLine="0" w:firstLineChars="0"/>
        <w:rPr>
          <w:color w:val="auto"/>
        </w:rPr>
      </w:pPr>
      <w:r>
        <w:rPr>
          <w:color w:val="auto"/>
        </w:rPr>
        <w:t>6.3.6 将初步设计实施方案中水土保持措施图斑与提取的已实施措施信息进行对比分析，结合施工图等材料和现场调查情况，填写水土保持综合治理工程工程建设监管信息表，见表2。</w:t>
      </w:r>
    </w:p>
    <w:p w14:paraId="455726AE">
      <w:pPr>
        <w:pStyle w:val="4"/>
        <w:rPr>
          <w:color w:val="auto"/>
        </w:rPr>
      </w:pPr>
      <w:bookmarkStart w:id="31" w:name="_Toc11206"/>
      <w:r>
        <w:rPr>
          <w:color w:val="auto"/>
        </w:rPr>
        <w:t>6.4</w:t>
      </w:r>
      <w:r>
        <w:rPr>
          <w:rFonts w:hint="eastAsia"/>
          <w:color w:val="auto"/>
        </w:rPr>
        <w:t xml:space="preserve"> </w:t>
      </w:r>
      <w:r>
        <w:rPr>
          <w:color w:val="auto"/>
        </w:rPr>
        <w:t>成果</w:t>
      </w:r>
      <w:bookmarkEnd w:id="31"/>
    </w:p>
    <w:p w14:paraId="10AB9540">
      <w:pPr>
        <w:pStyle w:val="23"/>
        <w:pBdr>
          <w:bottom w:val="none" w:color="auto" w:sz="0" w:space="0"/>
        </w:pBdr>
        <w:spacing w:before="156" w:after="156"/>
        <w:ind w:firstLine="0" w:firstLineChars="0"/>
        <w:rPr>
          <w:color w:val="auto"/>
        </w:rPr>
      </w:pPr>
      <w:r>
        <w:rPr>
          <w:b/>
          <w:color w:val="auto"/>
        </w:rPr>
        <w:t>6.4.1</w:t>
      </w:r>
      <w:r>
        <w:rPr>
          <w:color w:val="auto"/>
        </w:rPr>
        <w:t xml:space="preserve"> 根据工程建设监管情况，形成监管意见，填写水土保持综合治理工程工程建设监管信息表，见表2。</w:t>
      </w:r>
    </w:p>
    <w:p w14:paraId="2E96F8B8">
      <w:pPr>
        <w:pStyle w:val="23"/>
        <w:spacing w:before="156" w:after="156"/>
        <w:ind w:firstLine="0" w:firstLineChars="0"/>
        <w:rPr>
          <w:color w:val="auto"/>
        </w:rPr>
      </w:pPr>
      <w:r>
        <w:rPr>
          <w:b/>
          <w:color w:val="auto"/>
        </w:rPr>
        <w:t xml:space="preserve">6.4.2 </w:t>
      </w:r>
      <w:r>
        <w:rPr>
          <w:color w:val="auto"/>
        </w:rPr>
        <w:t>根据表2，同步形成水土保持工程遥感监管措施矢量图属性表信息（参见附录</w:t>
      </w:r>
      <w:r>
        <w:rPr>
          <w:rFonts w:hint="eastAsia"/>
          <w:color w:val="auto"/>
          <w:lang w:val="en-US" w:eastAsia="zh-CN"/>
        </w:rPr>
        <w:t>C</w:t>
      </w:r>
      <w:r>
        <w:rPr>
          <w:color w:val="auto"/>
        </w:rPr>
        <w:t>）。</w:t>
      </w:r>
    </w:p>
    <w:p w14:paraId="2EC32CEF">
      <w:pPr>
        <w:pStyle w:val="23"/>
        <w:spacing w:before="156" w:after="156"/>
        <w:ind w:firstLine="0" w:firstLineChars="0"/>
        <w:rPr>
          <w:b w:val="0"/>
          <w:color w:val="auto"/>
        </w:rPr>
      </w:pPr>
      <w:r>
        <w:rPr>
          <w:b/>
          <w:color w:val="auto"/>
        </w:rPr>
        <w:t xml:space="preserve">6.4.3 </w:t>
      </w:r>
      <w:r>
        <w:rPr>
          <w:b w:val="0"/>
          <w:color w:val="auto"/>
        </w:rPr>
        <w:t>在工程建设监管工作完成后，应进行中间资料和成果资料的整理、归档。</w:t>
      </w:r>
    </w:p>
    <w:p w14:paraId="442C8DE5">
      <w:pPr>
        <w:pStyle w:val="23"/>
        <w:spacing w:before="156" w:after="156"/>
        <w:ind w:firstLine="0" w:firstLineChars="0"/>
        <w:rPr>
          <w:b w:val="0"/>
          <w:color w:val="auto"/>
        </w:rPr>
      </w:pPr>
      <w:r>
        <w:rPr>
          <w:b/>
          <w:color w:val="auto"/>
        </w:rPr>
        <w:t>6.4.4</w:t>
      </w:r>
      <w:r>
        <w:rPr>
          <w:b w:val="0"/>
          <w:color w:val="auto"/>
        </w:rPr>
        <w:t xml:space="preserve"> 原始数据和最终成果均应有元数据。</w:t>
      </w:r>
    </w:p>
    <w:p w14:paraId="2C3CA9F4">
      <w:pPr>
        <w:tabs>
          <w:tab w:val="left" w:pos="753"/>
        </w:tabs>
        <w:spacing w:line="360" w:lineRule="auto"/>
        <w:jc w:val="center"/>
        <w:rPr>
          <w:rFonts w:ascii="Times New Roman" w:hAnsi="Times New Roman" w:eastAsia="黑体"/>
          <w:color w:val="auto"/>
        </w:rPr>
      </w:pPr>
      <w:r>
        <w:rPr>
          <w:rFonts w:hint="eastAsia" w:ascii="Times New Roman" w:hAnsi="Times New Roman" w:eastAsia="黑体"/>
          <w:color w:val="auto"/>
        </w:rPr>
        <w:t xml:space="preserve">表2 </w:t>
      </w:r>
      <w:r>
        <w:rPr>
          <w:rFonts w:ascii="Times New Roman" w:hAnsi="Times New Roman" w:eastAsia="黑体"/>
          <w:color w:val="auto"/>
        </w:rPr>
        <w:t>水土保持综合治理工程工程建设监管信息表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5"/>
        <w:gridCol w:w="1228"/>
        <w:gridCol w:w="1835"/>
        <w:gridCol w:w="1623"/>
        <w:gridCol w:w="1576"/>
        <w:gridCol w:w="1577"/>
      </w:tblGrid>
      <w:tr w14:paraId="074EC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Borders>
              <w:right w:val="nil"/>
            </w:tcBorders>
          </w:tcPr>
          <w:p w14:paraId="1436FDDF">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lang w:eastAsia="zh-CN"/>
              </w:rPr>
              <w:t>市</w:t>
            </w:r>
            <w:r>
              <w:rPr>
                <w:rFonts w:hint="eastAsia" w:ascii="宋体" w:hAnsi="宋体" w:eastAsia="宋体" w:cs="宋体"/>
                <w:color w:val="auto"/>
                <w:sz w:val="18"/>
                <w:szCs w:val="18"/>
              </w:rPr>
              <w:t>：</w:t>
            </w:r>
          </w:p>
        </w:tc>
        <w:tc>
          <w:tcPr>
            <w:tcW w:w="1228" w:type="dxa"/>
            <w:tcBorders>
              <w:left w:val="nil"/>
              <w:right w:val="nil"/>
            </w:tcBorders>
          </w:tcPr>
          <w:p w14:paraId="59A39BF3">
            <w:pPr>
              <w:pStyle w:val="22"/>
              <w:rPr>
                <w:rFonts w:hint="eastAsia" w:ascii="宋体" w:hAnsi="宋体" w:eastAsia="宋体" w:cs="宋体"/>
                <w:color w:val="auto"/>
                <w:sz w:val="18"/>
                <w:szCs w:val="18"/>
              </w:rPr>
            </w:pPr>
          </w:p>
        </w:tc>
        <w:tc>
          <w:tcPr>
            <w:tcW w:w="1835" w:type="dxa"/>
            <w:tcBorders>
              <w:left w:val="nil"/>
              <w:right w:val="nil"/>
            </w:tcBorders>
          </w:tcPr>
          <w:p w14:paraId="649CB658">
            <w:pPr>
              <w:pStyle w:val="22"/>
              <w:spacing w:before="22"/>
              <w:ind w:left="267"/>
              <w:rPr>
                <w:rFonts w:hint="eastAsia" w:ascii="宋体" w:hAnsi="宋体" w:eastAsia="宋体" w:cs="宋体"/>
                <w:color w:val="auto"/>
                <w:sz w:val="18"/>
                <w:szCs w:val="18"/>
              </w:rPr>
            </w:pPr>
            <w:r>
              <w:rPr>
                <w:rFonts w:hint="eastAsia" w:ascii="宋体" w:hAnsi="宋体" w:eastAsia="宋体" w:cs="宋体"/>
                <w:color w:val="auto"/>
                <w:sz w:val="18"/>
                <w:szCs w:val="18"/>
              </w:rPr>
              <w:t>县：</w:t>
            </w:r>
          </w:p>
        </w:tc>
        <w:tc>
          <w:tcPr>
            <w:tcW w:w="4776" w:type="dxa"/>
            <w:gridSpan w:val="3"/>
            <w:tcBorders>
              <w:left w:val="nil"/>
            </w:tcBorders>
          </w:tcPr>
          <w:p w14:paraId="11DBB1DB">
            <w:pPr>
              <w:pStyle w:val="22"/>
              <w:spacing w:before="22"/>
              <w:ind w:left="833"/>
              <w:rPr>
                <w:rFonts w:hint="eastAsia" w:ascii="宋体" w:hAnsi="宋体" w:eastAsia="宋体" w:cs="宋体"/>
                <w:color w:val="auto"/>
                <w:sz w:val="18"/>
                <w:szCs w:val="18"/>
              </w:rPr>
            </w:pPr>
            <w:r>
              <w:rPr>
                <w:rFonts w:hint="eastAsia" w:ascii="宋体" w:hAnsi="宋体" w:eastAsia="宋体" w:cs="宋体"/>
                <w:color w:val="auto"/>
                <w:sz w:val="18"/>
                <w:szCs w:val="18"/>
              </w:rPr>
              <w:t>实施年度：</w:t>
            </w:r>
          </w:p>
        </w:tc>
      </w:tr>
      <w:tr w14:paraId="264F8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374" w:type="dxa"/>
            <w:gridSpan w:val="6"/>
          </w:tcPr>
          <w:p w14:paraId="18E01153">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rPr>
              <w:t>工程名称：</w:t>
            </w:r>
          </w:p>
        </w:tc>
      </w:tr>
      <w:tr w14:paraId="1C064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Borders>
              <w:right w:val="nil"/>
            </w:tcBorders>
          </w:tcPr>
          <w:p w14:paraId="5748C802">
            <w:pPr>
              <w:pStyle w:val="22"/>
              <w:spacing w:before="22"/>
              <w:ind w:left="107"/>
              <w:rPr>
                <w:rFonts w:hint="eastAsia" w:ascii="宋体" w:hAnsi="宋体" w:eastAsia="宋体" w:cs="宋体"/>
                <w:color w:val="auto"/>
                <w:sz w:val="18"/>
                <w:szCs w:val="18"/>
              </w:rPr>
            </w:pPr>
            <w:r>
              <w:rPr>
                <w:rFonts w:hint="eastAsia" w:ascii="宋体" w:hAnsi="宋体" w:eastAsia="宋体" w:cs="宋体"/>
                <w:color w:val="auto"/>
                <w:sz w:val="18"/>
                <w:szCs w:val="18"/>
              </w:rPr>
              <w:t>监管时间：</w:t>
            </w:r>
          </w:p>
        </w:tc>
        <w:tc>
          <w:tcPr>
            <w:tcW w:w="1228" w:type="dxa"/>
            <w:tcBorders>
              <w:left w:val="nil"/>
              <w:right w:val="nil"/>
            </w:tcBorders>
          </w:tcPr>
          <w:p w14:paraId="78668CC2">
            <w:pPr>
              <w:pStyle w:val="22"/>
              <w:spacing w:before="22"/>
              <w:ind w:left="657"/>
              <w:rPr>
                <w:rFonts w:hint="eastAsia" w:ascii="宋体" w:hAnsi="宋体" w:eastAsia="宋体" w:cs="宋体"/>
                <w:color w:val="auto"/>
                <w:sz w:val="18"/>
                <w:szCs w:val="18"/>
              </w:rPr>
            </w:pPr>
            <w:r>
              <w:rPr>
                <w:rFonts w:hint="eastAsia" w:ascii="宋体" w:hAnsi="宋体" w:eastAsia="宋体" w:cs="宋体"/>
                <w:color w:val="auto"/>
                <w:sz w:val="18"/>
                <w:szCs w:val="18"/>
              </w:rPr>
              <w:t>年</w:t>
            </w:r>
          </w:p>
        </w:tc>
        <w:tc>
          <w:tcPr>
            <w:tcW w:w="1835" w:type="dxa"/>
            <w:tcBorders>
              <w:left w:val="nil"/>
              <w:right w:val="nil"/>
            </w:tcBorders>
          </w:tcPr>
          <w:p w14:paraId="7C4D039E">
            <w:pPr>
              <w:pStyle w:val="22"/>
              <w:tabs>
                <w:tab w:val="left" w:pos="687"/>
              </w:tabs>
              <w:spacing w:before="22"/>
              <w:rPr>
                <w:rFonts w:hint="eastAsia" w:ascii="宋体" w:hAnsi="宋体" w:eastAsia="宋体" w:cs="宋体"/>
                <w:color w:val="auto"/>
                <w:sz w:val="18"/>
                <w:szCs w:val="18"/>
              </w:rPr>
            </w:pPr>
            <w:r>
              <w:rPr>
                <w:rFonts w:hint="eastAsia" w:ascii="宋体" w:hAnsi="宋体" w:eastAsia="宋体" w:cs="宋体"/>
                <w:color w:val="auto"/>
                <w:sz w:val="18"/>
                <w:szCs w:val="18"/>
              </w:rPr>
              <w:t>月</w:t>
            </w:r>
            <w:r>
              <w:rPr>
                <w:rFonts w:hint="eastAsia" w:ascii="宋体" w:hAnsi="宋体" w:eastAsia="宋体" w:cs="宋体"/>
                <w:color w:val="auto"/>
                <w:sz w:val="18"/>
                <w:szCs w:val="18"/>
              </w:rPr>
              <w:tab/>
            </w:r>
            <w:r>
              <w:rPr>
                <w:rFonts w:hint="eastAsia" w:ascii="宋体" w:hAnsi="宋体" w:eastAsia="宋体" w:cs="宋体"/>
                <w:color w:val="auto"/>
                <w:sz w:val="18"/>
                <w:szCs w:val="18"/>
              </w:rPr>
              <w:t>日</w:t>
            </w:r>
          </w:p>
        </w:tc>
        <w:tc>
          <w:tcPr>
            <w:tcW w:w="4776" w:type="dxa"/>
            <w:gridSpan w:val="3"/>
            <w:tcBorders>
              <w:left w:val="nil"/>
            </w:tcBorders>
          </w:tcPr>
          <w:p w14:paraId="05E87193">
            <w:pPr>
              <w:pStyle w:val="22"/>
              <w:spacing w:before="22"/>
              <w:rPr>
                <w:rFonts w:hint="eastAsia" w:ascii="宋体" w:hAnsi="宋体" w:eastAsia="宋体" w:cs="宋体"/>
                <w:color w:val="auto"/>
                <w:sz w:val="18"/>
                <w:szCs w:val="18"/>
              </w:rPr>
            </w:pPr>
          </w:p>
        </w:tc>
      </w:tr>
      <w:tr w14:paraId="270C7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Pr>
          <w:p w14:paraId="18104A8B">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图斑编码</w:t>
            </w:r>
          </w:p>
        </w:tc>
        <w:tc>
          <w:tcPr>
            <w:tcW w:w="1228" w:type="dxa"/>
            <w:tcBorders>
              <w:right w:val="single" w:color="auto" w:sz="4" w:space="0"/>
            </w:tcBorders>
          </w:tcPr>
          <w:p w14:paraId="624F658B">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措施名称</w:t>
            </w:r>
          </w:p>
        </w:tc>
        <w:tc>
          <w:tcPr>
            <w:tcW w:w="1835" w:type="dxa"/>
            <w:tcBorders>
              <w:left w:val="single" w:color="auto" w:sz="4" w:space="0"/>
            </w:tcBorders>
          </w:tcPr>
          <w:p w14:paraId="684F7AE7">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设计措施数量</w:t>
            </w:r>
          </w:p>
        </w:tc>
        <w:tc>
          <w:tcPr>
            <w:tcW w:w="1623" w:type="dxa"/>
          </w:tcPr>
          <w:p w14:paraId="343C7489">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rPr>
              <w:t>完成措施数量</w:t>
            </w:r>
          </w:p>
        </w:tc>
        <w:tc>
          <w:tcPr>
            <w:tcW w:w="1576" w:type="dxa"/>
          </w:tcPr>
          <w:p w14:paraId="0318203A">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是否按设计施工</w:t>
            </w:r>
          </w:p>
        </w:tc>
        <w:tc>
          <w:tcPr>
            <w:tcW w:w="1577" w:type="dxa"/>
          </w:tcPr>
          <w:p w14:paraId="19015D68">
            <w:pPr>
              <w:pStyle w:val="22"/>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zh-CN"/>
              </w:rPr>
              <w:t>建设监管结果说明</w:t>
            </w:r>
          </w:p>
        </w:tc>
      </w:tr>
      <w:tr w14:paraId="74D51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Pr>
          <w:p w14:paraId="24CDE654">
            <w:pPr>
              <w:pStyle w:val="22"/>
              <w:rPr>
                <w:rFonts w:hint="eastAsia" w:ascii="宋体" w:hAnsi="宋体" w:eastAsia="宋体" w:cs="宋体"/>
                <w:color w:val="auto"/>
                <w:sz w:val="18"/>
                <w:szCs w:val="18"/>
                <w:lang w:eastAsia="zh-CN"/>
              </w:rPr>
            </w:pPr>
          </w:p>
        </w:tc>
        <w:tc>
          <w:tcPr>
            <w:tcW w:w="1228" w:type="dxa"/>
            <w:tcBorders>
              <w:right w:val="single" w:color="auto" w:sz="4" w:space="0"/>
            </w:tcBorders>
          </w:tcPr>
          <w:p w14:paraId="5BD1EDE9">
            <w:pPr>
              <w:pStyle w:val="22"/>
              <w:rPr>
                <w:rFonts w:hint="eastAsia" w:ascii="宋体" w:hAnsi="宋体" w:eastAsia="宋体" w:cs="宋体"/>
                <w:color w:val="auto"/>
                <w:sz w:val="18"/>
                <w:szCs w:val="18"/>
                <w:lang w:eastAsia="zh-CN"/>
              </w:rPr>
            </w:pPr>
          </w:p>
        </w:tc>
        <w:tc>
          <w:tcPr>
            <w:tcW w:w="1835" w:type="dxa"/>
            <w:tcBorders>
              <w:left w:val="single" w:color="auto" w:sz="4" w:space="0"/>
            </w:tcBorders>
          </w:tcPr>
          <w:p w14:paraId="19B5E1DA">
            <w:pPr>
              <w:pStyle w:val="22"/>
              <w:rPr>
                <w:rFonts w:hint="eastAsia" w:ascii="宋体" w:hAnsi="宋体" w:eastAsia="宋体" w:cs="宋体"/>
                <w:color w:val="auto"/>
                <w:sz w:val="18"/>
                <w:szCs w:val="18"/>
                <w:lang w:eastAsia="zh-CN"/>
              </w:rPr>
            </w:pPr>
          </w:p>
        </w:tc>
        <w:tc>
          <w:tcPr>
            <w:tcW w:w="1623" w:type="dxa"/>
          </w:tcPr>
          <w:p w14:paraId="21265C98">
            <w:pPr>
              <w:pStyle w:val="22"/>
              <w:rPr>
                <w:rFonts w:hint="eastAsia" w:ascii="宋体" w:hAnsi="宋体" w:eastAsia="宋体" w:cs="宋体"/>
                <w:color w:val="auto"/>
                <w:sz w:val="18"/>
                <w:szCs w:val="18"/>
                <w:lang w:eastAsia="zh-CN"/>
              </w:rPr>
            </w:pPr>
          </w:p>
        </w:tc>
        <w:tc>
          <w:tcPr>
            <w:tcW w:w="1576" w:type="dxa"/>
          </w:tcPr>
          <w:p w14:paraId="2F6965B0">
            <w:pPr>
              <w:pStyle w:val="22"/>
              <w:jc w:val="center"/>
              <w:rPr>
                <w:rFonts w:hint="eastAsia" w:ascii="宋体" w:hAnsi="宋体" w:eastAsia="宋体" w:cs="宋体"/>
                <w:color w:val="auto"/>
                <w:sz w:val="18"/>
                <w:szCs w:val="18"/>
                <w:lang w:eastAsia="zh-CN"/>
              </w:rPr>
            </w:pPr>
          </w:p>
        </w:tc>
        <w:tc>
          <w:tcPr>
            <w:tcW w:w="1577" w:type="dxa"/>
          </w:tcPr>
          <w:p w14:paraId="2C600B6C">
            <w:pPr>
              <w:pStyle w:val="22"/>
              <w:jc w:val="center"/>
              <w:rPr>
                <w:rFonts w:hint="eastAsia" w:ascii="宋体" w:hAnsi="宋体" w:eastAsia="宋体" w:cs="宋体"/>
                <w:color w:val="auto"/>
                <w:sz w:val="18"/>
                <w:szCs w:val="18"/>
                <w:lang w:eastAsia="zh-CN"/>
              </w:rPr>
            </w:pPr>
          </w:p>
        </w:tc>
      </w:tr>
      <w:tr w14:paraId="3F9DA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Pr>
          <w:p w14:paraId="09574DBF">
            <w:pPr>
              <w:pStyle w:val="22"/>
              <w:rPr>
                <w:rFonts w:hint="eastAsia" w:ascii="宋体" w:hAnsi="宋体" w:eastAsia="宋体" w:cs="宋体"/>
                <w:color w:val="auto"/>
                <w:sz w:val="18"/>
                <w:szCs w:val="18"/>
                <w:lang w:eastAsia="zh-CN"/>
              </w:rPr>
            </w:pPr>
          </w:p>
        </w:tc>
        <w:tc>
          <w:tcPr>
            <w:tcW w:w="1228" w:type="dxa"/>
            <w:tcBorders>
              <w:right w:val="single" w:color="auto" w:sz="4" w:space="0"/>
            </w:tcBorders>
          </w:tcPr>
          <w:p w14:paraId="75971BCB">
            <w:pPr>
              <w:pStyle w:val="22"/>
              <w:rPr>
                <w:rFonts w:hint="eastAsia" w:ascii="宋体" w:hAnsi="宋体" w:eastAsia="宋体" w:cs="宋体"/>
                <w:color w:val="auto"/>
                <w:sz w:val="18"/>
                <w:szCs w:val="18"/>
                <w:lang w:eastAsia="zh-CN"/>
              </w:rPr>
            </w:pPr>
          </w:p>
        </w:tc>
        <w:tc>
          <w:tcPr>
            <w:tcW w:w="1835" w:type="dxa"/>
            <w:tcBorders>
              <w:left w:val="single" w:color="auto" w:sz="4" w:space="0"/>
            </w:tcBorders>
          </w:tcPr>
          <w:p w14:paraId="31064B91">
            <w:pPr>
              <w:pStyle w:val="22"/>
              <w:rPr>
                <w:rFonts w:hint="eastAsia" w:ascii="宋体" w:hAnsi="宋体" w:eastAsia="宋体" w:cs="宋体"/>
                <w:color w:val="auto"/>
                <w:sz w:val="18"/>
                <w:szCs w:val="18"/>
                <w:lang w:eastAsia="zh-CN"/>
              </w:rPr>
            </w:pPr>
          </w:p>
        </w:tc>
        <w:tc>
          <w:tcPr>
            <w:tcW w:w="1623" w:type="dxa"/>
          </w:tcPr>
          <w:p w14:paraId="49584F75">
            <w:pPr>
              <w:pStyle w:val="22"/>
              <w:rPr>
                <w:rFonts w:hint="eastAsia" w:ascii="宋体" w:hAnsi="宋体" w:eastAsia="宋体" w:cs="宋体"/>
                <w:color w:val="auto"/>
                <w:sz w:val="18"/>
                <w:szCs w:val="18"/>
                <w:lang w:eastAsia="zh-CN"/>
              </w:rPr>
            </w:pPr>
          </w:p>
        </w:tc>
        <w:tc>
          <w:tcPr>
            <w:tcW w:w="1576" w:type="dxa"/>
          </w:tcPr>
          <w:p w14:paraId="750E7888">
            <w:pPr>
              <w:pStyle w:val="22"/>
              <w:jc w:val="center"/>
              <w:rPr>
                <w:rFonts w:hint="eastAsia" w:ascii="宋体" w:hAnsi="宋体" w:eastAsia="宋体" w:cs="宋体"/>
                <w:color w:val="auto"/>
                <w:sz w:val="18"/>
                <w:szCs w:val="18"/>
                <w:lang w:eastAsia="zh-CN"/>
              </w:rPr>
            </w:pPr>
          </w:p>
        </w:tc>
        <w:tc>
          <w:tcPr>
            <w:tcW w:w="1577" w:type="dxa"/>
          </w:tcPr>
          <w:p w14:paraId="46ABAA44">
            <w:pPr>
              <w:pStyle w:val="22"/>
              <w:jc w:val="center"/>
              <w:rPr>
                <w:rFonts w:hint="eastAsia" w:ascii="宋体" w:hAnsi="宋体" w:eastAsia="宋体" w:cs="宋体"/>
                <w:color w:val="auto"/>
                <w:sz w:val="18"/>
                <w:szCs w:val="18"/>
                <w:lang w:eastAsia="zh-CN"/>
              </w:rPr>
            </w:pPr>
          </w:p>
        </w:tc>
      </w:tr>
      <w:tr w14:paraId="0994E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Pr>
          <w:p w14:paraId="5ED70437">
            <w:pPr>
              <w:pStyle w:val="22"/>
              <w:spacing w:before="1"/>
              <w:ind w:left="407"/>
              <w:rPr>
                <w:rFonts w:hint="eastAsia" w:ascii="宋体" w:hAnsi="宋体" w:eastAsia="宋体" w:cs="宋体"/>
                <w:color w:val="auto"/>
                <w:sz w:val="18"/>
                <w:szCs w:val="18"/>
              </w:rPr>
            </w:pPr>
            <w:r>
              <w:rPr>
                <w:rFonts w:hint="eastAsia" w:ascii="宋体" w:hAnsi="宋体" w:eastAsia="宋体" w:cs="宋体"/>
                <w:color w:val="auto"/>
                <w:sz w:val="18"/>
                <w:szCs w:val="18"/>
              </w:rPr>
              <w:t>建设进度</w:t>
            </w:r>
          </w:p>
        </w:tc>
        <w:tc>
          <w:tcPr>
            <w:tcW w:w="7839" w:type="dxa"/>
            <w:gridSpan w:val="5"/>
          </w:tcPr>
          <w:p w14:paraId="248D467D">
            <w:pPr>
              <w:pStyle w:val="22"/>
              <w:rPr>
                <w:rFonts w:hint="eastAsia" w:ascii="宋体" w:hAnsi="宋体" w:eastAsia="宋体" w:cs="宋体"/>
                <w:color w:val="auto"/>
                <w:sz w:val="18"/>
                <w:szCs w:val="18"/>
              </w:rPr>
            </w:pPr>
          </w:p>
        </w:tc>
      </w:tr>
      <w:tr w14:paraId="2A994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535" w:type="dxa"/>
          </w:tcPr>
          <w:p w14:paraId="17468FB4">
            <w:pPr>
              <w:pStyle w:val="22"/>
              <w:spacing w:before="1"/>
              <w:ind w:left="407"/>
              <w:rPr>
                <w:rFonts w:hint="eastAsia" w:ascii="宋体" w:hAnsi="宋体" w:eastAsia="宋体" w:cs="宋体"/>
                <w:color w:val="auto"/>
                <w:sz w:val="18"/>
                <w:szCs w:val="18"/>
              </w:rPr>
            </w:pPr>
            <w:r>
              <w:rPr>
                <w:rFonts w:hint="eastAsia" w:ascii="宋体" w:hAnsi="宋体" w:eastAsia="宋体" w:cs="宋体"/>
                <w:color w:val="auto"/>
                <w:sz w:val="18"/>
                <w:szCs w:val="18"/>
              </w:rPr>
              <w:t>监管意见</w:t>
            </w:r>
          </w:p>
        </w:tc>
        <w:tc>
          <w:tcPr>
            <w:tcW w:w="7839" w:type="dxa"/>
            <w:gridSpan w:val="5"/>
          </w:tcPr>
          <w:p w14:paraId="47D21FB0">
            <w:pPr>
              <w:pStyle w:val="22"/>
              <w:rPr>
                <w:rFonts w:hint="eastAsia" w:ascii="宋体" w:hAnsi="宋体" w:eastAsia="宋体" w:cs="宋体"/>
                <w:color w:val="auto"/>
                <w:sz w:val="18"/>
                <w:szCs w:val="18"/>
              </w:rPr>
            </w:pPr>
          </w:p>
        </w:tc>
      </w:tr>
      <w:tr w14:paraId="3F89F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374" w:type="dxa"/>
            <w:gridSpan w:val="6"/>
          </w:tcPr>
          <w:p w14:paraId="1C07145D">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填表说明：</w:t>
            </w:r>
          </w:p>
          <w:p w14:paraId="098F4731">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1：</w:t>
            </w:r>
            <w:r>
              <w:rPr>
                <w:rFonts w:hint="eastAsia" w:ascii="宋体" w:hAnsi="宋体" w:eastAsia="宋体" w:cs="宋体"/>
                <w:color w:val="auto"/>
                <w:sz w:val="18"/>
                <w:szCs w:val="18"/>
              </w:rPr>
              <w:t>监管时间为开展工程建设监管工作的起始日期，格式为 YYYY 年 MM 月 DD 日。</w:t>
            </w:r>
          </w:p>
          <w:p w14:paraId="0D8AC937">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2</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图斑编码为水土保持措施设计矢量图中标注的措施图斑编码，水土保持措施设计矢量图基于初步设计实施方案中的水土保持措施图斑构建。</w:t>
            </w:r>
          </w:p>
          <w:p w14:paraId="6A9931C8">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3</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措施名称参照附录A中三级水土保持措施名称</w:t>
            </w:r>
            <w:r>
              <w:rPr>
                <w:rFonts w:hint="eastAsia" w:ascii="宋体" w:hAnsi="宋体" w:eastAsia="宋体" w:cs="宋体"/>
                <w:color w:val="auto"/>
                <w:sz w:val="18"/>
                <w:szCs w:val="18"/>
                <w:lang w:eastAsia="zh-CN"/>
              </w:rPr>
              <w:t>填写</w:t>
            </w:r>
            <w:r>
              <w:rPr>
                <w:rFonts w:hint="eastAsia" w:ascii="宋体" w:hAnsi="宋体" w:eastAsia="宋体" w:cs="宋体"/>
                <w:color w:val="auto"/>
                <w:sz w:val="18"/>
                <w:szCs w:val="18"/>
              </w:rPr>
              <w:t>。</w:t>
            </w:r>
          </w:p>
          <w:p w14:paraId="52439016">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4</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设计措施数量为水土保持措施设计图中填写的措施数量，面状措施数量指措施面积，单位为hm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rPr>
              <w:t>，保留2位小数，线状措施数量指措施长度，单位为km，保留2位小数，点状措施数量指措施个（处、座）数，以整数表示。</w:t>
            </w:r>
          </w:p>
          <w:p w14:paraId="70A5B89F">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5</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完成措施数量</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根据现场情况及卫星、无人机航摄影像监管结果，填写该措施数量，面状措施数量指措施面积，单位为hm</w:t>
            </w:r>
            <w:r>
              <w:rPr>
                <w:rFonts w:hint="eastAsia" w:ascii="宋体" w:hAnsi="宋体" w:eastAsia="宋体" w:cs="宋体"/>
                <w:color w:val="auto"/>
                <w:sz w:val="18"/>
                <w:szCs w:val="18"/>
                <w:vertAlign w:val="superscript"/>
              </w:rPr>
              <w:t>2</w:t>
            </w:r>
            <w:r>
              <w:rPr>
                <w:rFonts w:hint="eastAsia" w:ascii="宋体" w:hAnsi="宋体" w:eastAsia="宋体" w:cs="宋体"/>
                <w:color w:val="auto"/>
                <w:sz w:val="18"/>
                <w:szCs w:val="18"/>
              </w:rPr>
              <w:t>，保留2位小数，线状措施数量指措施长度，单位为km，保留2位小数，点状措施数量指措施个（处、座）数，以整数表示。</w:t>
            </w:r>
          </w:p>
          <w:p w14:paraId="495D818D">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6：</w:t>
            </w:r>
            <w:r>
              <w:rPr>
                <w:rFonts w:hint="eastAsia" w:ascii="宋体" w:hAnsi="宋体" w:eastAsia="宋体" w:cs="宋体"/>
                <w:color w:val="auto"/>
                <w:sz w:val="18"/>
                <w:szCs w:val="18"/>
              </w:rPr>
              <w:t>是否按设计施工应对照初步设计实施方案和施工图，根据实际措施建设情况，填写“是”或“否”。</w:t>
            </w:r>
          </w:p>
          <w:p w14:paraId="1085C819">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rPr>
              <w:t>7</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建设监管结果说明应对未按设计施工原因、措施质量问题、现场水土流失情况等，做出必要说明。</w:t>
            </w:r>
          </w:p>
          <w:p w14:paraId="3612B625">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注8：</w:t>
            </w:r>
            <w:r>
              <w:rPr>
                <w:rFonts w:hint="eastAsia" w:ascii="宋体" w:hAnsi="宋体" w:eastAsia="宋体" w:cs="宋体"/>
                <w:color w:val="auto"/>
                <w:sz w:val="18"/>
                <w:szCs w:val="18"/>
                <w:lang w:eastAsia="zh-CN"/>
              </w:rPr>
              <w:t>建设</w:t>
            </w:r>
            <w:r>
              <w:rPr>
                <w:rFonts w:hint="eastAsia" w:ascii="宋体" w:hAnsi="宋体" w:eastAsia="宋体" w:cs="宋体"/>
                <w:color w:val="auto"/>
                <w:sz w:val="18"/>
                <w:szCs w:val="18"/>
              </w:rPr>
              <w:t>进度</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根据现场监管结果，填写建设进度，建设进度=（Σ措施权重×完成措施数量）/（Σ措施权重×设计措施数量）*100%，以百分数表示，保留整数，措施权重参见附录A。</w:t>
            </w:r>
          </w:p>
          <w:p w14:paraId="2C7FB893">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注9：</w:t>
            </w:r>
            <w:r>
              <w:rPr>
                <w:rFonts w:hint="eastAsia" w:ascii="宋体" w:hAnsi="宋体" w:eastAsia="宋体" w:cs="宋体"/>
                <w:color w:val="auto"/>
                <w:sz w:val="18"/>
                <w:szCs w:val="18"/>
              </w:rPr>
              <w:t>监管意见</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rPr>
              <w:t>综合现场监管结果，填写监管意见。</w:t>
            </w:r>
          </w:p>
        </w:tc>
      </w:tr>
    </w:tbl>
    <w:p w14:paraId="67652BF7">
      <w:pPr>
        <w:pStyle w:val="3"/>
        <w:spacing w:before="156" w:after="156"/>
        <w:rPr>
          <w:rFonts w:hint="eastAsia"/>
          <w:color w:val="auto"/>
        </w:rPr>
      </w:pPr>
      <w:bookmarkStart w:id="32" w:name="_Toc15102"/>
      <w:r>
        <w:rPr>
          <w:color w:val="auto"/>
        </w:rPr>
        <w:t>7 工程竣工</w:t>
      </w:r>
      <w:bookmarkEnd w:id="32"/>
    </w:p>
    <w:p w14:paraId="79011E6F">
      <w:pPr>
        <w:pStyle w:val="4"/>
        <w:rPr>
          <w:rFonts w:hint="eastAsia"/>
          <w:color w:val="auto"/>
        </w:rPr>
      </w:pPr>
      <w:bookmarkStart w:id="33" w:name="_Toc30019"/>
      <w:r>
        <w:rPr>
          <w:rFonts w:hint="eastAsia"/>
          <w:color w:val="auto"/>
        </w:rPr>
        <w:t>7.1 监管内容</w:t>
      </w:r>
      <w:bookmarkEnd w:id="33"/>
    </w:p>
    <w:p w14:paraId="491BB3AA">
      <w:pPr>
        <w:pStyle w:val="23"/>
        <w:spacing w:before="156" w:after="156"/>
        <w:ind w:firstLine="0" w:firstLineChars="0"/>
        <w:rPr>
          <w:color w:val="auto"/>
        </w:rPr>
      </w:pPr>
      <w:r>
        <w:rPr>
          <w:color w:val="auto"/>
        </w:rPr>
        <w:t>7.1.1 水土保持综合治理工程竣工验收后，对水土保持措施实施的一致性、数量和质量进行工程竣工监管。</w:t>
      </w:r>
    </w:p>
    <w:p w14:paraId="239F9894">
      <w:pPr>
        <w:pStyle w:val="23"/>
        <w:spacing w:before="156" w:after="156"/>
        <w:ind w:firstLine="0" w:firstLineChars="0"/>
        <w:rPr>
          <w:b/>
          <w:color w:val="auto"/>
        </w:rPr>
      </w:pPr>
      <w:r>
        <w:rPr>
          <w:color w:val="auto"/>
        </w:rPr>
        <w:t>7.1.2</w:t>
      </w:r>
      <w:r>
        <w:rPr>
          <w:rFonts w:hint="eastAsia"/>
          <w:color w:val="auto"/>
        </w:rPr>
        <w:t xml:space="preserve"> </w:t>
      </w:r>
      <w:r>
        <w:rPr>
          <w:color w:val="auto"/>
        </w:rPr>
        <w:t>对已开展竣工验收工程的各类水土保持措施图斑进行抽查，对抽查图斑开展工程竣工监管。抽查的图斑应能代表该工程实施的整体情况。各类措施图斑选取遵循以下原则：</w:t>
      </w:r>
    </w:p>
    <w:p w14:paraId="131F03F2">
      <w:pPr>
        <w:pStyle w:val="23"/>
        <w:pBdr>
          <w:bottom w:val="none" w:color="auto" w:sz="0" w:space="0"/>
        </w:pBdr>
        <w:spacing w:before="156" w:after="156"/>
        <w:ind w:firstLine="0" w:firstLineChars="0"/>
        <w:rPr>
          <w:rFonts w:hint="eastAsia"/>
          <w:color w:val="auto"/>
        </w:rPr>
      </w:pPr>
      <w:r>
        <w:rPr>
          <w:b/>
          <w:color w:val="auto"/>
        </w:rPr>
        <w:t xml:space="preserve">    1</w:t>
      </w:r>
      <w:r>
        <w:rPr>
          <w:color w:val="auto"/>
        </w:rPr>
        <w:t xml:space="preserve"> 各类措施验收抽查比例参照GB/T 15773执行。</w:t>
      </w:r>
    </w:p>
    <w:p w14:paraId="5F395D68">
      <w:pPr>
        <w:pStyle w:val="23"/>
        <w:spacing w:before="156" w:after="156"/>
        <w:ind w:firstLine="0" w:firstLineChars="0"/>
        <w:rPr>
          <w:rFonts w:hint="eastAsia"/>
          <w:color w:val="auto"/>
        </w:rPr>
      </w:pPr>
      <w:r>
        <w:rPr>
          <w:b/>
          <w:color w:val="auto"/>
        </w:rPr>
        <w:t xml:space="preserve">    2</w:t>
      </w:r>
      <w:r>
        <w:rPr>
          <w:color w:val="auto"/>
        </w:rPr>
        <w:t xml:space="preserve"> 面状措施抽查应覆盖所有面状措施类型，重点抽查坡改梯、造林、水蚀坡林地整治等措施图斑</w:t>
      </w:r>
      <w:r>
        <w:rPr>
          <w:rFonts w:hint="eastAsia"/>
          <w:color w:val="auto"/>
        </w:rPr>
        <w:t>。</w:t>
      </w:r>
    </w:p>
    <w:p w14:paraId="1FD8EF14">
      <w:pPr>
        <w:pStyle w:val="23"/>
        <w:spacing w:before="156" w:after="156"/>
        <w:ind w:firstLine="0" w:firstLineChars="0"/>
        <w:rPr>
          <w:color w:val="auto"/>
        </w:rPr>
      </w:pPr>
      <w:r>
        <w:rPr>
          <w:b/>
          <w:color w:val="auto"/>
        </w:rPr>
        <w:t xml:space="preserve">    3</w:t>
      </w:r>
      <w:r>
        <w:rPr>
          <w:color w:val="auto"/>
        </w:rPr>
        <w:t xml:space="preserve"> 线状措施抽查应覆盖所有线状措施类型，重点抽查沟（河）道整治、生产道路、排灌沟渠等措施图斑，允许分段抽查。</w:t>
      </w:r>
    </w:p>
    <w:p w14:paraId="6556FEB6">
      <w:pPr>
        <w:pStyle w:val="23"/>
        <w:spacing w:before="156" w:after="156"/>
        <w:ind w:firstLine="0" w:firstLineChars="0"/>
        <w:rPr>
          <w:color w:val="auto"/>
        </w:rPr>
      </w:pPr>
      <w:r>
        <w:rPr>
          <w:b/>
          <w:color w:val="auto"/>
        </w:rPr>
        <w:t xml:space="preserve">    4</w:t>
      </w:r>
      <w:r>
        <w:rPr>
          <w:color w:val="auto"/>
        </w:rPr>
        <w:t xml:space="preserve"> 点状措施抽查应覆盖所有点状措施类型，重点抽查山塘坝堰、集蓄工程等措施图斑。</w:t>
      </w:r>
    </w:p>
    <w:p w14:paraId="212D7A53">
      <w:pPr>
        <w:pStyle w:val="4"/>
        <w:rPr>
          <w:rFonts w:hint="eastAsia"/>
          <w:color w:val="auto"/>
        </w:rPr>
      </w:pPr>
      <w:bookmarkStart w:id="34" w:name="_Toc28765"/>
      <w:r>
        <w:rPr>
          <w:color w:val="auto"/>
        </w:rPr>
        <w:t>7.2 信息采集</w:t>
      </w:r>
      <w:bookmarkEnd w:id="34"/>
    </w:p>
    <w:p w14:paraId="61C6F5A4">
      <w:pPr>
        <w:pStyle w:val="23"/>
        <w:spacing w:before="156" w:after="156"/>
        <w:ind w:firstLine="0" w:firstLineChars="0"/>
        <w:rPr>
          <w:color w:val="auto"/>
        </w:rPr>
      </w:pPr>
      <w:r>
        <w:rPr>
          <w:color w:val="auto"/>
        </w:rPr>
        <w:t>7.2.1</w:t>
      </w:r>
      <w:r>
        <w:rPr>
          <w:rFonts w:hint="eastAsia"/>
          <w:color w:val="auto"/>
        </w:rPr>
        <w:t xml:space="preserve"> </w:t>
      </w:r>
      <w:r>
        <w:rPr>
          <w:color w:val="auto"/>
        </w:rPr>
        <w:t>收集监管工程的初步设计实施方案、批复文件、施工图、竣工验收材料、工程项目区遥感影像等资料。</w:t>
      </w:r>
    </w:p>
    <w:p w14:paraId="644876CF">
      <w:pPr>
        <w:pStyle w:val="23"/>
        <w:spacing w:before="156" w:after="156"/>
        <w:ind w:firstLine="0" w:firstLineChars="0"/>
        <w:rPr>
          <w:color w:val="auto"/>
        </w:rPr>
      </w:pPr>
      <w:r>
        <w:rPr>
          <w:color w:val="auto"/>
        </w:rPr>
        <w:t>7.2.2 卫星影像的选择与预处理参照5.2.2条的规定进行。</w:t>
      </w:r>
    </w:p>
    <w:p w14:paraId="6EF15098">
      <w:pPr>
        <w:pStyle w:val="23"/>
        <w:pBdr>
          <w:bottom w:val="none" w:color="auto" w:sz="0" w:space="0"/>
        </w:pBdr>
        <w:spacing w:before="156" w:after="156"/>
        <w:ind w:firstLine="0" w:firstLineChars="0"/>
        <w:rPr>
          <w:color w:val="auto"/>
        </w:rPr>
      </w:pPr>
      <w:r>
        <w:rPr>
          <w:color w:val="auto"/>
        </w:rPr>
        <w:t>7.2.3 在工程项目区现场利用无人机低空航摄获取水土保持措施图斑的正射影像数据，具体技术流程及成果精度要求参照6.2.3条的规定进行。</w:t>
      </w:r>
    </w:p>
    <w:p w14:paraId="6B33C5A7">
      <w:pPr>
        <w:pStyle w:val="23"/>
        <w:spacing w:before="156" w:after="156"/>
        <w:ind w:firstLine="0" w:firstLineChars="0"/>
        <w:rPr>
          <w:color w:val="auto"/>
        </w:rPr>
      </w:pPr>
      <w:r>
        <w:rPr>
          <w:color w:val="auto"/>
        </w:rPr>
        <w:t>7.2.4</w:t>
      </w:r>
      <w:r>
        <w:rPr>
          <w:rFonts w:hint="eastAsia"/>
          <w:color w:val="auto"/>
        </w:rPr>
        <w:t xml:space="preserve"> </w:t>
      </w:r>
      <w:r>
        <w:rPr>
          <w:color w:val="auto"/>
        </w:rPr>
        <w:t>利用无人机等设备拍摄措施现状照片，每项措施图斑至少拍摄1张低空全景照片、2张措施局部照片、1张监管工作照片。照片要求清晰，具有代表性。</w:t>
      </w:r>
    </w:p>
    <w:p w14:paraId="486B38CB">
      <w:pPr>
        <w:pStyle w:val="23"/>
        <w:spacing w:before="156" w:after="156"/>
        <w:ind w:firstLine="0" w:firstLineChars="0"/>
        <w:rPr>
          <w:rFonts w:hint="eastAsia"/>
          <w:color w:val="auto"/>
        </w:rPr>
      </w:pPr>
      <w:r>
        <w:rPr>
          <w:color w:val="auto"/>
        </w:rPr>
        <w:t>7.2.5</w:t>
      </w:r>
      <w:r>
        <w:rPr>
          <w:rFonts w:hint="eastAsia"/>
          <w:color w:val="auto"/>
        </w:rPr>
        <w:t xml:space="preserve"> </w:t>
      </w:r>
      <w:r>
        <w:rPr>
          <w:color w:val="auto"/>
        </w:rPr>
        <w:t>对抽查的措施图斑开展现场调查，对实施措施的位置、数量、外观质量、工程管护情况等进行记录，作为监管意见填写的依据。</w:t>
      </w:r>
    </w:p>
    <w:p w14:paraId="12F9DA73">
      <w:pPr>
        <w:pStyle w:val="4"/>
        <w:rPr>
          <w:rFonts w:hint="eastAsia"/>
          <w:color w:val="auto"/>
        </w:rPr>
      </w:pPr>
      <w:bookmarkStart w:id="35" w:name="_Toc7231"/>
      <w:r>
        <w:rPr>
          <w:color w:val="auto"/>
        </w:rPr>
        <w:t>7.3 数据处理与分析</w:t>
      </w:r>
      <w:bookmarkEnd w:id="35"/>
    </w:p>
    <w:p w14:paraId="71BE9F63">
      <w:pPr>
        <w:pStyle w:val="23"/>
        <w:spacing w:before="156" w:after="156"/>
        <w:ind w:firstLine="0" w:firstLineChars="0"/>
        <w:rPr>
          <w:color w:val="auto"/>
        </w:rPr>
      </w:pPr>
      <w:r>
        <w:rPr>
          <w:color w:val="auto"/>
        </w:rPr>
        <w:t>7.3.1对卫星影像与无人机正射影像开展影像预处理（参照附录B）</w:t>
      </w:r>
    </w:p>
    <w:p w14:paraId="148E9914">
      <w:pPr>
        <w:pStyle w:val="23"/>
        <w:pBdr>
          <w:bottom w:val="none" w:color="auto" w:sz="0" w:space="0"/>
        </w:pBdr>
        <w:spacing w:before="156" w:after="156"/>
        <w:ind w:firstLine="0" w:firstLineChars="0"/>
        <w:rPr>
          <w:color w:val="auto"/>
        </w:rPr>
      </w:pPr>
      <w:r>
        <w:rPr>
          <w:color w:val="auto"/>
        </w:rPr>
        <w:t>7.3.2 卫星影像数据以“市-县（市/区）-工程名称-卫星影像-时相”的格式进行命名。</w:t>
      </w:r>
    </w:p>
    <w:p w14:paraId="6959448D">
      <w:pPr>
        <w:pStyle w:val="23"/>
        <w:spacing w:before="156" w:after="156"/>
        <w:ind w:firstLine="0" w:firstLineChars="0"/>
        <w:rPr>
          <w:color w:val="auto"/>
        </w:rPr>
      </w:pPr>
      <w:r>
        <w:rPr>
          <w:color w:val="auto"/>
        </w:rPr>
        <w:t>7.3.3无人机正射影像数据以“市-县（市/区）-工程名称-无人机影像-拍摄年月”的格式进行命名。</w:t>
      </w:r>
    </w:p>
    <w:p w14:paraId="76D5970A">
      <w:pPr>
        <w:pStyle w:val="23"/>
        <w:spacing w:before="156" w:after="156"/>
        <w:ind w:firstLine="0" w:firstLineChars="0"/>
        <w:rPr>
          <w:color w:val="auto"/>
        </w:rPr>
      </w:pPr>
      <w:r>
        <w:rPr>
          <w:color w:val="auto"/>
        </w:rPr>
        <w:t>7.3.4 参照卫星影像与无人机正射影像结合现场调查情况提取抽查的措施信息，面状措施提取边界与措施名称并计算措施面积，线状措施提取位置与措施名称并计算措施长度，点状措施提取位置与措施名称。</w:t>
      </w:r>
    </w:p>
    <w:p w14:paraId="02C7C6F0">
      <w:pPr>
        <w:pStyle w:val="23"/>
        <w:spacing w:before="156" w:after="156"/>
        <w:ind w:firstLine="0" w:firstLineChars="0"/>
        <w:rPr>
          <w:color w:val="auto"/>
        </w:rPr>
      </w:pPr>
      <w:r>
        <w:rPr>
          <w:color w:val="auto"/>
        </w:rPr>
        <w:t>7.3.5 竣工监管误差要求参照6.3.5条的规定进行。</w:t>
      </w:r>
    </w:p>
    <w:p w14:paraId="55DC4823">
      <w:pPr>
        <w:pStyle w:val="23"/>
        <w:pBdr>
          <w:bottom w:val="none" w:color="auto" w:sz="0" w:space="0"/>
        </w:pBdr>
        <w:spacing w:before="156" w:after="156"/>
        <w:ind w:firstLine="0" w:firstLineChars="0"/>
        <w:rPr>
          <w:rFonts w:ascii="Times New Roman" w:hAnsi="Times New Roman"/>
          <w:color w:val="auto"/>
          <w:szCs w:val="21"/>
        </w:rPr>
      </w:pPr>
      <w:r>
        <w:rPr>
          <w:rFonts w:ascii="Times New Roman" w:hAnsi="Times New Roman"/>
          <w:color w:val="auto"/>
          <w:szCs w:val="21"/>
        </w:rPr>
        <w:t>7.3.6 计算措施符合率、措施质量合格率和措施完成率共3项指标。各指标计算方法如下：</w:t>
      </w:r>
    </w:p>
    <w:p w14:paraId="79482F18">
      <w:pPr>
        <w:pStyle w:val="23"/>
        <w:spacing w:before="156" w:after="156"/>
        <w:rPr>
          <w:rFonts w:hAnsi="Cambria Math" w:cs="宋体"/>
          <w:iCs/>
          <w:color w:val="auto"/>
          <w:szCs w:val="21"/>
        </w:rPr>
      </w:pPr>
      <w:r>
        <w:rPr>
          <w:rFonts w:hint="eastAsia" w:ascii="Cambria Math" w:hAnsi="Cambria Math"/>
          <w:color w:val="auto"/>
          <w:szCs w:val="21"/>
        </w:rPr>
        <w:t xml:space="preserve">1 </w:t>
      </w:r>
      <m:oMath>
        <m:r>
          <m:rPr/>
          <w:rPr>
            <w:rFonts w:hint="eastAsia" w:ascii="Cambria Math" w:hAnsi="Cambria Math"/>
            <w:color w:val="auto"/>
            <w:szCs w:val="21"/>
          </w:rPr>
          <m:t>措施符合率</m:t>
        </m:r>
        <m:r>
          <m:rPr/>
          <w:rPr>
            <w:rFonts w:ascii="Cambria Math" w:hAnsi="Cambria Math"/>
            <w:color w:val="auto"/>
            <w:szCs w:val="21"/>
          </w:rPr>
          <m:t>=</m:t>
        </m:r>
        <m:f>
          <m:fPr>
            <m:ctrlPr>
              <w:rPr>
                <w:rFonts w:hint="eastAsia" w:ascii="Cambria Math" w:hAnsi="Cambria Math" w:cs="宋体"/>
                <w:iCs/>
                <w:color w:val="auto"/>
                <w:szCs w:val="21"/>
              </w:rPr>
            </m:ctrlPr>
          </m:fPr>
          <m:num>
            <m:r>
              <m:rPr/>
              <w:rPr>
                <w:rFonts w:hint="eastAsia" w:ascii="Cambria Math" w:hAnsi="Cambria Math" w:cs="宋体"/>
                <w:color w:val="auto"/>
                <w:szCs w:val="21"/>
              </w:rPr>
              <m:t>抽查图斑与设计图斑措施类型一致的个数</m:t>
            </m:r>
            <m:ctrlPr>
              <w:rPr>
                <w:rFonts w:hint="eastAsia" w:ascii="Cambria Math" w:hAnsi="Cambria Math" w:cs="宋体"/>
                <w:iCs/>
                <w:color w:val="auto"/>
                <w:szCs w:val="21"/>
              </w:rPr>
            </m:ctrlPr>
          </m:num>
          <m:den>
            <m:r>
              <m:rPr/>
              <w:rPr>
                <w:rFonts w:hint="eastAsia" w:ascii="Cambria Math" w:hAnsi="Cambria Math" w:cs="宋体"/>
                <w:color w:val="auto"/>
                <w:szCs w:val="21"/>
              </w:rPr>
              <m:t>抽查图斑总数</m:t>
            </m:r>
            <m:ctrlPr>
              <w:rPr>
                <w:rFonts w:hint="eastAsia" w:ascii="Cambria Math" w:hAnsi="Cambria Math" w:cs="宋体"/>
                <w:iCs/>
                <w:color w:val="auto"/>
                <w:szCs w:val="21"/>
              </w:rPr>
            </m:ctrlPr>
          </m:den>
        </m:f>
        <m:r>
          <m:rPr/>
          <w:rPr>
            <w:rFonts w:hint="eastAsia" w:ascii="Cambria Math" w:hAnsi="Cambria Math" w:cs="宋体"/>
            <w:color w:val="auto"/>
            <w:szCs w:val="21"/>
          </w:rPr>
          <m:t>×</m:t>
        </m:r>
        <m:r>
          <m:rPr/>
          <w:rPr>
            <w:rFonts w:ascii="Cambria Math" w:hAnsi="Cambria Math" w:cs="宋体"/>
            <w:color w:val="auto"/>
            <w:szCs w:val="21"/>
          </w:rPr>
          <m:t>100%</m:t>
        </m:r>
      </m:oMath>
      <w:r>
        <w:rPr>
          <w:rFonts w:hint="eastAsia" w:hAnsi="Cambria Math" w:cs="宋体"/>
          <w:iCs/>
          <w:color w:val="auto"/>
          <w:szCs w:val="21"/>
        </w:rPr>
        <w:t>；</w:t>
      </w:r>
    </w:p>
    <w:p w14:paraId="631805AF">
      <w:pPr>
        <w:pStyle w:val="6"/>
        <w:spacing w:line="480" w:lineRule="auto"/>
        <w:ind w:left="0" w:firstLine="420" w:firstLineChars="200"/>
        <w:jc w:val="both"/>
        <w:rPr>
          <w:rFonts w:hAnsi="Cambria Math" w:cs="Times New Roman"/>
          <w:iCs/>
          <w:color w:val="auto"/>
          <w:kern w:val="2"/>
          <w:sz w:val="21"/>
          <w:szCs w:val="21"/>
          <w:lang w:eastAsia="zh-CN"/>
        </w:rPr>
      </w:pPr>
      <w:r>
        <w:rPr>
          <w:rFonts w:hint="eastAsia" w:asciiTheme="minorEastAsia" w:hAnsiTheme="minorEastAsia" w:eastAsiaTheme="minorEastAsia" w:cstheme="minorEastAsia"/>
          <w:b/>
          <w:iCs/>
          <w:color w:val="auto"/>
          <w:kern w:val="2"/>
          <w:sz w:val="21"/>
          <w:szCs w:val="21"/>
          <w:lang w:eastAsia="zh-CN"/>
        </w:rPr>
        <w:t>2</w:t>
      </w:r>
      <w:r>
        <w:rPr>
          <w:rFonts w:hint="eastAsia" w:asciiTheme="minorEastAsia" w:hAnsiTheme="minorEastAsia" w:eastAsiaTheme="minorEastAsia" w:cstheme="minorEastAsia"/>
          <w:iCs/>
          <w:color w:val="auto"/>
          <w:kern w:val="2"/>
          <w:sz w:val="21"/>
          <w:szCs w:val="21"/>
          <w:lang w:eastAsia="zh-CN"/>
        </w:rPr>
        <w:t xml:space="preserve"> </w:t>
      </w:r>
      <m:oMath>
        <m:r>
          <m:rPr/>
          <w:rPr>
            <w:rFonts w:hint="eastAsia" w:ascii="DejaVu Math TeX Gyre" w:hAnsi="DejaVu Math TeX Gyre" w:eastAsiaTheme="minorEastAsia" w:cstheme="minorEastAsia"/>
            <w:color w:val="auto"/>
            <w:kern w:val="2"/>
            <w:sz w:val="21"/>
            <w:szCs w:val="21"/>
            <w:lang w:eastAsia="zh-CN"/>
          </w:rPr>
          <m:t>措施质量合格率</m:t>
        </m:r>
        <m:r>
          <m:rPr/>
          <w:rPr>
            <w:rFonts w:hint="eastAsia" w:ascii="DejaVu Math TeX Gyre" w:hAnsi="DejaVu Math TeX Gyre" w:eastAsiaTheme="minorEastAsia" w:cstheme="minorEastAsia"/>
            <w:color w:val="auto"/>
            <w:kern w:val="2"/>
            <w:sz w:val="21"/>
            <w:szCs w:val="21"/>
          </w:rPr>
          <m:t>=</m:t>
        </m:r>
        <m:f>
          <m:fPr>
            <m:ctrlPr>
              <w:rPr>
                <w:rFonts w:hint="eastAsia" w:ascii="DejaVu Math TeX Gyre" w:hAnsi="DejaVu Math TeX Gyre" w:eastAsiaTheme="minorEastAsia" w:cstheme="minorEastAsia"/>
                <w:iCs/>
                <w:color w:val="auto"/>
                <w:kern w:val="2"/>
                <w:sz w:val="21"/>
                <w:szCs w:val="21"/>
              </w:rPr>
            </m:ctrlPr>
          </m:fPr>
          <m:num>
            <m:r>
              <m:rPr/>
              <w:rPr>
                <w:rFonts w:hint="eastAsia" w:ascii="DejaVu Math TeX Gyre" w:hAnsi="DejaVu Math TeX Gyre" w:eastAsiaTheme="minorEastAsia" w:cstheme="minorEastAsia"/>
                <w:color w:val="auto"/>
                <w:kern w:val="2"/>
                <w:sz w:val="21"/>
                <w:szCs w:val="21"/>
                <w:lang w:eastAsia="zh-CN"/>
              </w:rPr>
              <m:t>抽查措施图斑质量合格的个数</m:t>
            </m:r>
            <m:ctrlPr>
              <w:rPr>
                <w:rFonts w:hint="eastAsia" w:ascii="DejaVu Math TeX Gyre" w:hAnsi="DejaVu Math TeX Gyre" w:eastAsiaTheme="minorEastAsia" w:cstheme="minorEastAsia"/>
                <w:iCs/>
                <w:color w:val="auto"/>
                <w:kern w:val="2"/>
                <w:sz w:val="21"/>
                <w:szCs w:val="21"/>
              </w:rPr>
            </m:ctrlPr>
          </m:num>
          <m:den>
            <m:r>
              <m:rPr/>
              <w:rPr>
                <w:rFonts w:hint="eastAsia" w:ascii="DejaVu Math TeX Gyre" w:hAnsi="DejaVu Math TeX Gyre" w:eastAsiaTheme="minorEastAsia" w:cstheme="minorEastAsia"/>
                <w:color w:val="auto"/>
                <w:kern w:val="2"/>
                <w:sz w:val="21"/>
                <w:szCs w:val="21"/>
                <w:lang w:eastAsia="zh-CN"/>
              </w:rPr>
              <m:t>抽查图斑总数</m:t>
            </m:r>
            <m:ctrlPr>
              <w:rPr>
                <w:rFonts w:hint="eastAsia" w:ascii="DejaVu Math TeX Gyre" w:hAnsi="DejaVu Math TeX Gyre" w:eastAsiaTheme="minorEastAsia" w:cstheme="minorEastAsia"/>
                <w:iCs/>
                <w:color w:val="auto"/>
                <w:kern w:val="2"/>
                <w:sz w:val="21"/>
                <w:szCs w:val="21"/>
              </w:rPr>
            </m:ctrlPr>
          </m:den>
        </m:f>
        <m:r>
          <m:rPr/>
          <w:rPr>
            <w:rFonts w:hint="eastAsia" w:ascii="DejaVu Math TeX Gyre" w:hAnsi="DejaVu Math TeX Gyre" w:eastAsiaTheme="minorEastAsia" w:cstheme="minorEastAsia"/>
            <w:color w:val="auto"/>
            <w:kern w:val="2"/>
            <w:sz w:val="21"/>
            <w:szCs w:val="21"/>
            <w:lang w:eastAsia="zh-CN"/>
          </w:rPr>
          <m:t>×100%</m:t>
        </m:r>
      </m:oMath>
      <w:r>
        <w:rPr>
          <w:rFonts w:hint="eastAsia" w:hAnsi="Cambria Math" w:cs="Times New Roman"/>
          <w:iCs/>
          <w:color w:val="auto"/>
          <w:kern w:val="2"/>
          <w:sz w:val="21"/>
          <w:szCs w:val="21"/>
          <w:lang w:eastAsia="zh-CN"/>
        </w:rPr>
        <w:t>；</w:t>
      </w:r>
    </w:p>
    <w:p w14:paraId="5BA20471">
      <w:pPr>
        <w:pStyle w:val="23"/>
        <w:spacing w:before="156" w:after="156"/>
        <w:rPr>
          <w:rFonts w:ascii="Times New Roman" w:hAnsi="Times New Roman"/>
          <w:color w:val="auto"/>
          <w:szCs w:val="21"/>
        </w:rPr>
      </w:pPr>
      <w:r>
        <w:rPr>
          <w:rFonts w:hint="eastAsia" w:asciiTheme="minorEastAsia" w:hAnsiTheme="minorEastAsia" w:eastAsiaTheme="minorEastAsia" w:cstheme="minorEastAsia"/>
          <w:b/>
          <w:color w:val="auto"/>
          <w:szCs w:val="21"/>
        </w:rPr>
        <w:t xml:space="preserve">3 </w:t>
      </w:r>
      <m:oMath>
        <m:r>
          <m:rPr/>
          <w:rPr>
            <w:rFonts w:hint="eastAsia" w:ascii="Cambria Math" w:hAnsi="Cambria Math"/>
            <w:color w:val="auto"/>
            <w:szCs w:val="21"/>
          </w:rPr>
          <m:t>措施完成率</m:t>
        </m:r>
        <m:r>
          <m:rPr/>
          <w:rPr>
            <w:rFonts w:ascii="Cambria Math" w:hAnsi="Cambria Math"/>
            <w:color w:val="auto"/>
            <w:szCs w:val="21"/>
          </w:rPr>
          <m:t>=</m:t>
        </m:r>
        <m:f>
          <m:fPr>
            <m:ctrlPr>
              <w:rPr>
                <w:rFonts w:ascii="Cambria Math" w:hAnsi="Cambria Math"/>
                <w:iCs/>
                <w:color w:val="auto"/>
                <w:szCs w:val="21"/>
              </w:rPr>
            </m:ctrlPr>
          </m:fPr>
          <m:num>
            <m:r>
              <m:rPr/>
              <w:rPr>
                <w:rFonts w:ascii="Cambria Math" w:hAnsi="Cambria Math"/>
                <w:color w:val="auto"/>
                <w:szCs w:val="21"/>
              </w:rPr>
              <m:t>Σ</m:t>
            </m:r>
            <m:r>
              <m:rPr/>
              <w:rPr>
                <w:rFonts w:hint="eastAsia" w:ascii="Cambria Math" w:hAnsi="Cambria Math"/>
                <w:color w:val="auto"/>
                <w:szCs w:val="21"/>
              </w:rPr>
              <m:t>措施权重×抽查措施数量</m:t>
            </m:r>
            <m:ctrlPr>
              <w:rPr>
                <w:rFonts w:ascii="Cambria Math" w:hAnsi="Cambria Math"/>
                <w:iCs/>
                <w:color w:val="auto"/>
                <w:szCs w:val="21"/>
              </w:rPr>
            </m:ctrlPr>
          </m:num>
          <m:den>
            <m:r>
              <m:rPr/>
              <w:rPr>
                <w:rFonts w:hint="eastAsia" w:ascii="Cambria Math" w:hAnsi="Cambria Math"/>
                <w:color w:val="auto"/>
                <w:szCs w:val="21"/>
              </w:rPr>
              <m:t>Σ措施权重×设计措施数量</m:t>
            </m:r>
            <m:ctrlPr>
              <w:rPr>
                <w:rFonts w:ascii="Cambria Math" w:hAnsi="Cambria Math"/>
                <w:iCs/>
                <w:color w:val="auto"/>
                <w:szCs w:val="21"/>
              </w:rPr>
            </m:ctrlPr>
          </m:den>
        </m:f>
        <m:r>
          <m:rPr/>
          <w:rPr>
            <w:rFonts w:hint="eastAsia" w:ascii="Cambria Math" w:hAnsi="Cambria Math"/>
            <w:color w:val="auto"/>
            <w:szCs w:val="21"/>
          </w:rPr>
          <m:t>×</m:t>
        </m:r>
        <m:r>
          <m:rPr/>
          <w:rPr>
            <w:rFonts w:ascii="Cambria Math" w:hAnsi="Cambria Math"/>
            <w:color w:val="auto"/>
            <w:szCs w:val="21"/>
          </w:rPr>
          <m:t>100%</m:t>
        </m:r>
      </m:oMath>
      <w:r>
        <w:rPr>
          <w:rFonts w:hint="eastAsia" w:hAnsi="Cambria Math"/>
          <w:iCs/>
          <w:color w:val="auto"/>
          <w:szCs w:val="21"/>
        </w:rPr>
        <w:t>。</w:t>
      </w:r>
    </w:p>
    <w:p w14:paraId="3852AED3">
      <w:pPr>
        <w:pStyle w:val="23"/>
        <w:spacing w:before="156" w:after="156"/>
        <w:rPr>
          <w:rFonts w:hint="eastAsia"/>
          <w:color w:val="auto"/>
        </w:rPr>
      </w:pPr>
      <w:r>
        <w:rPr>
          <w:color w:val="auto"/>
        </w:rPr>
        <w:t>式中：措施权重</w:t>
      </w:r>
      <w:r>
        <w:rPr>
          <w:rFonts w:hint="eastAsia"/>
          <w:color w:val="auto"/>
        </w:rPr>
        <w:t>参</w:t>
      </w:r>
      <w:r>
        <w:rPr>
          <w:color w:val="auto"/>
        </w:rPr>
        <w:t>见附录A。措施数量指面状措施的面积、线状措施的长度和点状措施的个（处、座、套）数。</w:t>
      </w:r>
    </w:p>
    <w:p w14:paraId="20232A5D">
      <w:pPr>
        <w:pStyle w:val="23"/>
        <w:spacing w:before="156" w:after="156"/>
        <w:ind w:firstLine="0" w:firstLineChars="0"/>
        <w:rPr>
          <w:rFonts w:hint="eastAsia"/>
          <w:color w:val="auto"/>
        </w:rPr>
      </w:pPr>
      <w:r>
        <w:rPr>
          <w:color w:val="auto"/>
        </w:rPr>
        <w:t xml:space="preserve">7.3.7 </w:t>
      </w:r>
      <w:r>
        <w:rPr>
          <w:rFonts w:ascii="Times New Roman" w:hAnsi="Times New Roman"/>
          <w:color w:val="auto"/>
          <w:szCs w:val="21"/>
        </w:rPr>
        <w:t>通过对比实施方案初步设计中的水土保持措施图斑和实施后的措施图斑类型、质量和数量，</w:t>
      </w:r>
      <w:r>
        <w:rPr>
          <w:color w:val="auto"/>
        </w:rPr>
        <w:t>填写水土保持综合治理</w:t>
      </w:r>
      <w:r>
        <w:rPr>
          <w:rFonts w:hint="eastAsia"/>
          <w:color w:val="auto"/>
          <w:lang w:eastAsia="zh-CN"/>
        </w:rPr>
        <w:t>工程</w:t>
      </w:r>
      <w:r>
        <w:rPr>
          <w:color w:val="auto"/>
        </w:rPr>
        <w:t>竣工监管信息表，见表3。</w:t>
      </w:r>
    </w:p>
    <w:p w14:paraId="09567517">
      <w:pPr>
        <w:tabs>
          <w:tab w:val="left" w:pos="753"/>
        </w:tabs>
        <w:autoSpaceDE w:val="0"/>
        <w:autoSpaceDN w:val="0"/>
        <w:spacing w:line="360" w:lineRule="auto"/>
        <w:jc w:val="center"/>
        <w:rPr>
          <w:rFonts w:ascii="Times New Roman" w:hAnsi="Times New Roman" w:eastAsia="黑体"/>
          <w:color w:val="auto"/>
          <w:kern w:val="0"/>
        </w:rPr>
      </w:pPr>
      <w:r>
        <w:rPr>
          <w:rFonts w:ascii="Times New Roman" w:hAnsi="Times New Roman" w:eastAsia="黑体"/>
          <w:color w:val="auto"/>
          <w:kern w:val="0"/>
        </w:rPr>
        <w:t>表3 水土保持综合治理</w:t>
      </w:r>
      <w:r>
        <w:rPr>
          <w:rFonts w:hint="eastAsia" w:ascii="Times New Roman" w:hAnsi="Times New Roman" w:eastAsia="黑体"/>
          <w:color w:val="auto"/>
          <w:kern w:val="0"/>
          <w:lang w:eastAsia="zh-CN"/>
        </w:rPr>
        <w:t>工程</w:t>
      </w:r>
      <w:r>
        <w:rPr>
          <w:rFonts w:ascii="Times New Roman" w:hAnsi="Times New Roman" w:eastAsia="黑体"/>
          <w:color w:val="auto"/>
          <w:kern w:val="0"/>
        </w:rPr>
        <w:t>竣工监管信息表</w:t>
      </w:r>
    </w:p>
    <w:tbl>
      <w:tblPr>
        <w:tblStyle w:val="2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0"/>
        <w:gridCol w:w="890"/>
        <w:gridCol w:w="1069"/>
        <w:gridCol w:w="239"/>
        <w:gridCol w:w="697"/>
        <w:gridCol w:w="512"/>
        <w:gridCol w:w="732"/>
        <w:gridCol w:w="1247"/>
        <w:gridCol w:w="1091"/>
        <w:gridCol w:w="1089"/>
        <w:gridCol w:w="989"/>
      </w:tblGrid>
      <w:tr w14:paraId="6243D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700" w:type="dxa"/>
            <w:gridSpan w:val="2"/>
            <w:tcBorders>
              <w:right w:val="nil"/>
            </w:tcBorders>
          </w:tcPr>
          <w:p w14:paraId="73DE2D20">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市：</w:t>
            </w:r>
          </w:p>
        </w:tc>
        <w:tc>
          <w:tcPr>
            <w:tcW w:w="1308" w:type="dxa"/>
            <w:gridSpan w:val="2"/>
            <w:tcBorders>
              <w:left w:val="nil"/>
              <w:right w:val="nil"/>
            </w:tcBorders>
          </w:tcPr>
          <w:p w14:paraId="251C0756">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c>
          <w:tcPr>
            <w:tcW w:w="1209" w:type="dxa"/>
            <w:gridSpan w:val="2"/>
            <w:tcBorders>
              <w:left w:val="nil"/>
              <w:right w:val="nil"/>
            </w:tcBorders>
          </w:tcPr>
          <w:p w14:paraId="0C85243B">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县：</w:t>
            </w:r>
          </w:p>
        </w:tc>
        <w:tc>
          <w:tcPr>
            <w:tcW w:w="732" w:type="dxa"/>
            <w:tcBorders>
              <w:left w:val="nil"/>
              <w:right w:val="nil"/>
            </w:tcBorders>
          </w:tcPr>
          <w:p w14:paraId="6D416A9B">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c>
          <w:tcPr>
            <w:tcW w:w="1247" w:type="dxa"/>
            <w:tcBorders>
              <w:left w:val="nil"/>
              <w:right w:val="nil"/>
            </w:tcBorders>
          </w:tcPr>
          <w:p w14:paraId="220B57CB">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c>
          <w:tcPr>
            <w:tcW w:w="2180" w:type="dxa"/>
            <w:gridSpan w:val="2"/>
            <w:tcBorders>
              <w:left w:val="nil"/>
              <w:right w:val="nil"/>
            </w:tcBorders>
          </w:tcPr>
          <w:p w14:paraId="6097B791">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实施年度：</w:t>
            </w:r>
          </w:p>
        </w:tc>
        <w:tc>
          <w:tcPr>
            <w:tcW w:w="989" w:type="dxa"/>
            <w:tcBorders>
              <w:left w:val="nil"/>
            </w:tcBorders>
          </w:tcPr>
          <w:p w14:paraId="1A388B7B">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r>
      <w:tr w14:paraId="13B95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365" w:type="dxa"/>
            <w:gridSpan w:val="11"/>
          </w:tcPr>
          <w:p w14:paraId="479A368A">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工程名称：</w:t>
            </w:r>
          </w:p>
        </w:tc>
      </w:tr>
      <w:tr w14:paraId="2BAAB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700" w:type="dxa"/>
            <w:gridSpan w:val="2"/>
            <w:tcBorders>
              <w:right w:val="nil"/>
            </w:tcBorders>
          </w:tcPr>
          <w:p w14:paraId="70B8DC64">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监管时间：</w:t>
            </w:r>
          </w:p>
        </w:tc>
        <w:tc>
          <w:tcPr>
            <w:tcW w:w="1308" w:type="dxa"/>
            <w:gridSpan w:val="2"/>
            <w:tcBorders>
              <w:left w:val="nil"/>
              <w:right w:val="nil"/>
            </w:tcBorders>
          </w:tcPr>
          <w:p w14:paraId="1CD10D52">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年</w:t>
            </w:r>
          </w:p>
        </w:tc>
        <w:tc>
          <w:tcPr>
            <w:tcW w:w="1209" w:type="dxa"/>
            <w:gridSpan w:val="2"/>
            <w:tcBorders>
              <w:left w:val="nil"/>
              <w:right w:val="nil"/>
            </w:tcBorders>
          </w:tcPr>
          <w:p w14:paraId="4F9DCBD5">
            <w:pPr>
              <w:keepNext w:val="0"/>
              <w:keepLines w:val="0"/>
              <w:pageBreakBefore w:val="0"/>
              <w:widowControl w:val="0"/>
              <w:kinsoku/>
              <w:wordWrap/>
              <w:overflowPunct/>
              <w:topLinePunct w:val="0"/>
              <w:autoSpaceDE w:val="0"/>
              <w:autoSpaceDN w:val="0"/>
              <w:bidi w:val="0"/>
              <w:adjustRightInd w:val="0"/>
              <w:snapToGrid w:val="0"/>
              <w:spacing w:before="63" w:beforeLines="20"/>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月</w:t>
            </w:r>
          </w:p>
        </w:tc>
        <w:tc>
          <w:tcPr>
            <w:tcW w:w="732" w:type="dxa"/>
            <w:tcBorders>
              <w:left w:val="nil"/>
              <w:right w:val="nil"/>
            </w:tcBorders>
          </w:tcPr>
          <w:p w14:paraId="0400094B">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日</w:t>
            </w:r>
          </w:p>
        </w:tc>
        <w:tc>
          <w:tcPr>
            <w:tcW w:w="1247" w:type="dxa"/>
            <w:tcBorders>
              <w:left w:val="nil"/>
              <w:right w:val="nil"/>
            </w:tcBorders>
          </w:tcPr>
          <w:p w14:paraId="2F92100D">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c>
          <w:tcPr>
            <w:tcW w:w="2180" w:type="dxa"/>
            <w:gridSpan w:val="2"/>
            <w:tcBorders>
              <w:left w:val="nil"/>
              <w:right w:val="nil"/>
            </w:tcBorders>
          </w:tcPr>
          <w:p w14:paraId="3CBDB1F9">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c>
          <w:tcPr>
            <w:tcW w:w="989" w:type="dxa"/>
            <w:tcBorders>
              <w:left w:val="nil"/>
            </w:tcBorders>
          </w:tcPr>
          <w:p w14:paraId="077047F5">
            <w:pPr>
              <w:keepNext w:val="0"/>
              <w:keepLines w:val="0"/>
              <w:pageBreakBefore w:val="0"/>
              <w:widowControl w:val="0"/>
              <w:kinsoku/>
              <w:wordWrap/>
              <w:overflowPunct/>
              <w:topLinePunct w:val="0"/>
              <w:autoSpaceDE w:val="0"/>
              <w:autoSpaceDN w:val="0"/>
              <w:bidi w:val="0"/>
              <w:adjustRightInd w:val="0"/>
              <w:snapToGrid w:val="0"/>
              <w:spacing w:before="63" w:beforeLines="20"/>
              <w:ind w:left="105" w:leftChars="50"/>
              <w:jc w:val="left"/>
              <w:textAlignment w:val="auto"/>
              <w:rPr>
                <w:rFonts w:hint="eastAsia" w:ascii="宋体" w:hAnsi="宋体" w:cs="宋体" w:eastAsiaTheme="minorEastAsia"/>
                <w:color w:val="auto"/>
                <w:kern w:val="0"/>
                <w:sz w:val="18"/>
                <w:szCs w:val="18"/>
                <w:lang w:eastAsia="en-US"/>
              </w:rPr>
            </w:pPr>
          </w:p>
        </w:tc>
      </w:tr>
      <w:tr w14:paraId="7A3A7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810" w:type="dxa"/>
            <w:vAlign w:val="center"/>
          </w:tcPr>
          <w:p w14:paraId="3981B9A9">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图斑</w:t>
            </w:r>
          </w:p>
          <w:p w14:paraId="25E6702B">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编码</w:t>
            </w:r>
          </w:p>
        </w:tc>
        <w:tc>
          <w:tcPr>
            <w:tcW w:w="890" w:type="dxa"/>
            <w:vAlign w:val="center"/>
          </w:tcPr>
          <w:p w14:paraId="42FECCA9">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措施</w:t>
            </w:r>
          </w:p>
          <w:p w14:paraId="37973754">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名称</w:t>
            </w:r>
          </w:p>
        </w:tc>
        <w:tc>
          <w:tcPr>
            <w:tcW w:w="2005" w:type="dxa"/>
            <w:gridSpan w:val="3"/>
            <w:vAlign w:val="center"/>
          </w:tcPr>
          <w:p w14:paraId="4F47FCFF">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是否按照设计措</w:t>
            </w:r>
          </w:p>
          <w:p w14:paraId="0EA9B52C">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施执行</w:t>
            </w:r>
          </w:p>
        </w:tc>
        <w:tc>
          <w:tcPr>
            <w:tcW w:w="1244" w:type="dxa"/>
            <w:gridSpan w:val="2"/>
            <w:vAlign w:val="center"/>
          </w:tcPr>
          <w:p w14:paraId="7B838988">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施工措</w:t>
            </w:r>
          </w:p>
          <w:p w14:paraId="62622F6B">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施名称</w:t>
            </w:r>
          </w:p>
        </w:tc>
        <w:tc>
          <w:tcPr>
            <w:tcW w:w="1247" w:type="dxa"/>
            <w:vAlign w:val="center"/>
          </w:tcPr>
          <w:p w14:paraId="1D8853D3">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质量是</w:t>
            </w:r>
          </w:p>
          <w:p w14:paraId="261D368A">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否合格</w:t>
            </w:r>
          </w:p>
        </w:tc>
        <w:tc>
          <w:tcPr>
            <w:tcW w:w="1091" w:type="dxa"/>
            <w:vAlign w:val="center"/>
          </w:tcPr>
          <w:p w14:paraId="732ED65F">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设计措</w:t>
            </w:r>
          </w:p>
          <w:p w14:paraId="35136764">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施数量</w:t>
            </w:r>
          </w:p>
        </w:tc>
        <w:tc>
          <w:tcPr>
            <w:tcW w:w="1089" w:type="dxa"/>
            <w:vAlign w:val="center"/>
          </w:tcPr>
          <w:p w14:paraId="16F09859">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完成措</w:t>
            </w:r>
          </w:p>
          <w:p w14:paraId="22C8E5CD">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施数量</w:t>
            </w:r>
          </w:p>
        </w:tc>
        <w:tc>
          <w:tcPr>
            <w:tcW w:w="989" w:type="dxa"/>
            <w:vAlign w:val="center"/>
          </w:tcPr>
          <w:p w14:paraId="24D37675">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完成率</w:t>
            </w:r>
          </w:p>
          <w:p w14:paraId="7FFCA5A3">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w:t>
            </w:r>
          </w:p>
        </w:tc>
      </w:tr>
      <w:tr w14:paraId="63A84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810" w:type="dxa"/>
            <w:vAlign w:val="center"/>
          </w:tcPr>
          <w:p w14:paraId="47277074">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center"/>
              <w:textAlignment w:val="auto"/>
              <w:rPr>
                <w:rFonts w:hint="eastAsia" w:ascii="宋体" w:hAnsi="宋体" w:cs="宋体" w:eastAsiaTheme="minorEastAsia"/>
                <w:color w:val="auto"/>
                <w:kern w:val="0"/>
                <w:sz w:val="18"/>
                <w:szCs w:val="18"/>
                <w:lang w:eastAsia="en-US"/>
              </w:rPr>
            </w:pPr>
          </w:p>
        </w:tc>
        <w:tc>
          <w:tcPr>
            <w:tcW w:w="890" w:type="dxa"/>
            <w:vAlign w:val="center"/>
          </w:tcPr>
          <w:p w14:paraId="7770661F">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center"/>
              <w:textAlignment w:val="auto"/>
              <w:rPr>
                <w:rFonts w:hint="eastAsia" w:ascii="宋体" w:hAnsi="宋体" w:cs="宋体" w:eastAsiaTheme="minorEastAsia"/>
                <w:color w:val="auto"/>
                <w:kern w:val="0"/>
                <w:sz w:val="18"/>
                <w:szCs w:val="18"/>
                <w:lang w:eastAsia="en-US"/>
              </w:rPr>
            </w:pPr>
          </w:p>
        </w:tc>
        <w:tc>
          <w:tcPr>
            <w:tcW w:w="2005" w:type="dxa"/>
            <w:gridSpan w:val="3"/>
            <w:vAlign w:val="center"/>
          </w:tcPr>
          <w:p w14:paraId="56787C62">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□是□否</w:t>
            </w:r>
          </w:p>
        </w:tc>
        <w:tc>
          <w:tcPr>
            <w:tcW w:w="1244" w:type="dxa"/>
            <w:gridSpan w:val="2"/>
            <w:vAlign w:val="center"/>
          </w:tcPr>
          <w:p w14:paraId="5DF3EBD6">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1247" w:type="dxa"/>
            <w:vAlign w:val="center"/>
          </w:tcPr>
          <w:p w14:paraId="0CC78516">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□是□否</w:t>
            </w:r>
          </w:p>
        </w:tc>
        <w:tc>
          <w:tcPr>
            <w:tcW w:w="1091" w:type="dxa"/>
            <w:vAlign w:val="center"/>
          </w:tcPr>
          <w:p w14:paraId="108F814D">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1089" w:type="dxa"/>
            <w:vAlign w:val="center"/>
          </w:tcPr>
          <w:p w14:paraId="05585F29">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989" w:type="dxa"/>
            <w:vAlign w:val="center"/>
          </w:tcPr>
          <w:p w14:paraId="5BB73481">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r>
      <w:tr w14:paraId="50F08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810" w:type="dxa"/>
            <w:vAlign w:val="center"/>
          </w:tcPr>
          <w:p w14:paraId="28C31B82">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center"/>
              <w:textAlignment w:val="auto"/>
              <w:rPr>
                <w:rFonts w:hint="eastAsia" w:ascii="宋体" w:hAnsi="宋体" w:cs="宋体" w:eastAsiaTheme="minorEastAsia"/>
                <w:color w:val="auto"/>
                <w:kern w:val="0"/>
                <w:sz w:val="18"/>
                <w:szCs w:val="18"/>
                <w:lang w:eastAsia="en-US"/>
              </w:rPr>
            </w:pPr>
          </w:p>
        </w:tc>
        <w:tc>
          <w:tcPr>
            <w:tcW w:w="890" w:type="dxa"/>
            <w:vAlign w:val="center"/>
          </w:tcPr>
          <w:p w14:paraId="5F2B9535">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center"/>
              <w:textAlignment w:val="auto"/>
              <w:rPr>
                <w:rFonts w:hint="eastAsia" w:ascii="宋体" w:hAnsi="宋体" w:cs="宋体" w:eastAsiaTheme="minorEastAsia"/>
                <w:color w:val="auto"/>
                <w:kern w:val="0"/>
                <w:sz w:val="18"/>
                <w:szCs w:val="18"/>
                <w:lang w:eastAsia="en-US"/>
              </w:rPr>
            </w:pPr>
          </w:p>
        </w:tc>
        <w:tc>
          <w:tcPr>
            <w:tcW w:w="2005" w:type="dxa"/>
            <w:gridSpan w:val="3"/>
            <w:vAlign w:val="center"/>
          </w:tcPr>
          <w:p w14:paraId="4F55804C">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□是□否</w:t>
            </w:r>
          </w:p>
        </w:tc>
        <w:tc>
          <w:tcPr>
            <w:tcW w:w="1244" w:type="dxa"/>
            <w:gridSpan w:val="2"/>
            <w:vAlign w:val="center"/>
          </w:tcPr>
          <w:p w14:paraId="6BB5A3BD">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1247" w:type="dxa"/>
            <w:vAlign w:val="center"/>
          </w:tcPr>
          <w:p w14:paraId="5218574D">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□是□否</w:t>
            </w:r>
          </w:p>
        </w:tc>
        <w:tc>
          <w:tcPr>
            <w:tcW w:w="1091" w:type="dxa"/>
            <w:vAlign w:val="center"/>
          </w:tcPr>
          <w:p w14:paraId="7697C8C5">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1089" w:type="dxa"/>
            <w:vAlign w:val="center"/>
          </w:tcPr>
          <w:p w14:paraId="2501DF2E">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c>
          <w:tcPr>
            <w:tcW w:w="989" w:type="dxa"/>
            <w:vAlign w:val="center"/>
          </w:tcPr>
          <w:p w14:paraId="4D09FB26">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p>
        </w:tc>
      </w:tr>
      <w:tr w14:paraId="14427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700" w:type="dxa"/>
            <w:gridSpan w:val="2"/>
          </w:tcPr>
          <w:p w14:paraId="1B456093">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措施符合率</w:t>
            </w:r>
          </w:p>
          <w:p w14:paraId="44DD0367">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w:t>
            </w:r>
          </w:p>
        </w:tc>
        <w:tc>
          <w:tcPr>
            <w:tcW w:w="1069" w:type="dxa"/>
          </w:tcPr>
          <w:p w14:paraId="37ED4565">
            <w:pPr>
              <w:keepNext w:val="0"/>
              <w:keepLines w:val="0"/>
              <w:pageBreakBefore w:val="0"/>
              <w:widowControl w:val="0"/>
              <w:kinsoku/>
              <w:wordWrap/>
              <w:overflowPunct/>
              <w:topLinePunct w:val="0"/>
              <w:autoSpaceDE w:val="0"/>
              <w:autoSpaceDN w:val="0"/>
              <w:bidi w:val="0"/>
              <w:adjustRightInd w:val="0"/>
              <w:snapToGrid w:val="0"/>
              <w:spacing w:before="63" w:beforeLines="20"/>
              <w:jc w:val="left"/>
              <w:textAlignment w:val="auto"/>
              <w:rPr>
                <w:rFonts w:hint="eastAsia" w:ascii="宋体" w:hAnsi="宋体" w:cs="宋体" w:eastAsiaTheme="minorEastAsia"/>
                <w:color w:val="auto"/>
                <w:kern w:val="0"/>
                <w:sz w:val="18"/>
                <w:szCs w:val="18"/>
                <w:lang w:eastAsia="en-US"/>
              </w:rPr>
            </w:pPr>
          </w:p>
        </w:tc>
        <w:tc>
          <w:tcPr>
            <w:tcW w:w="2180" w:type="dxa"/>
            <w:gridSpan w:val="4"/>
          </w:tcPr>
          <w:p w14:paraId="06E334FA">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措施质量合格率</w:t>
            </w:r>
          </w:p>
          <w:p w14:paraId="66ED4C3A">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w:t>
            </w:r>
          </w:p>
        </w:tc>
        <w:tc>
          <w:tcPr>
            <w:tcW w:w="1247" w:type="dxa"/>
          </w:tcPr>
          <w:p w14:paraId="3ACCEA19">
            <w:pPr>
              <w:keepNext w:val="0"/>
              <w:keepLines w:val="0"/>
              <w:pageBreakBefore w:val="0"/>
              <w:widowControl w:val="0"/>
              <w:kinsoku/>
              <w:wordWrap/>
              <w:overflowPunct/>
              <w:topLinePunct w:val="0"/>
              <w:autoSpaceDE w:val="0"/>
              <w:autoSpaceDN w:val="0"/>
              <w:bidi w:val="0"/>
              <w:adjustRightInd w:val="0"/>
              <w:snapToGrid w:val="0"/>
              <w:spacing w:before="63" w:beforeLines="20"/>
              <w:jc w:val="left"/>
              <w:textAlignment w:val="auto"/>
              <w:rPr>
                <w:rFonts w:hint="eastAsia" w:ascii="宋体" w:hAnsi="宋体" w:cs="宋体" w:eastAsiaTheme="minorEastAsia"/>
                <w:color w:val="auto"/>
                <w:kern w:val="0"/>
                <w:sz w:val="18"/>
                <w:szCs w:val="18"/>
                <w:lang w:eastAsia="en-US"/>
              </w:rPr>
            </w:pPr>
          </w:p>
        </w:tc>
        <w:tc>
          <w:tcPr>
            <w:tcW w:w="2180" w:type="dxa"/>
            <w:gridSpan w:val="2"/>
          </w:tcPr>
          <w:p w14:paraId="01F82774">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措施完成率</w:t>
            </w:r>
          </w:p>
          <w:p w14:paraId="54706E34">
            <w:pPr>
              <w:keepNext w:val="0"/>
              <w:keepLines w:val="0"/>
              <w:pageBreakBefore w:val="0"/>
              <w:widowControl w:val="0"/>
              <w:kinsoku/>
              <w:wordWrap/>
              <w:overflowPunct/>
              <w:topLinePunct w:val="0"/>
              <w:autoSpaceDE w:val="0"/>
              <w:autoSpaceDN w:val="0"/>
              <w:bidi w:val="0"/>
              <w:adjustRightInd w:val="0"/>
              <w:snapToGrid w:val="0"/>
              <w:spacing w:before="63" w:beforeLines="20"/>
              <w:jc w:val="center"/>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w:t>
            </w:r>
          </w:p>
        </w:tc>
        <w:tc>
          <w:tcPr>
            <w:tcW w:w="989" w:type="dxa"/>
          </w:tcPr>
          <w:p w14:paraId="61B339B4">
            <w:pPr>
              <w:keepNext w:val="0"/>
              <w:keepLines w:val="0"/>
              <w:pageBreakBefore w:val="0"/>
              <w:widowControl w:val="0"/>
              <w:kinsoku/>
              <w:wordWrap/>
              <w:overflowPunct/>
              <w:topLinePunct w:val="0"/>
              <w:autoSpaceDE w:val="0"/>
              <w:autoSpaceDN w:val="0"/>
              <w:bidi w:val="0"/>
              <w:adjustRightInd w:val="0"/>
              <w:snapToGrid w:val="0"/>
              <w:spacing w:before="63" w:beforeLines="20"/>
              <w:jc w:val="left"/>
              <w:textAlignment w:val="auto"/>
              <w:rPr>
                <w:rFonts w:hint="eastAsia" w:ascii="宋体" w:hAnsi="宋体" w:cs="宋体" w:eastAsiaTheme="minorEastAsia"/>
                <w:color w:val="auto"/>
                <w:kern w:val="0"/>
                <w:sz w:val="18"/>
                <w:szCs w:val="18"/>
                <w:lang w:eastAsia="en-US"/>
              </w:rPr>
            </w:pPr>
          </w:p>
        </w:tc>
      </w:tr>
      <w:tr w14:paraId="7F873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810" w:type="dxa"/>
          </w:tcPr>
          <w:p w14:paraId="06B3DF87">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监管</w:t>
            </w:r>
          </w:p>
          <w:p w14:paraId="51E74427">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left"/>
              <w:textAlignment w:val="auto"/>
              <w:rPr>
                <w:rFonts w:hint="eastAsia" w:ascii="宋体" w:hAnsi="宋体" w:cs="宋体" w:eastAsiaTheme="minorEastAsia"/>
                <w:color w:val="auto"/>
                <w:kern w:val="0"/>
                <w:sz w:val="18"/>
                <w:szCs w:val="18"/>
                <w:lang w:eastAsia="en-US"/>
              </w:rPr>
            </w:pPr>
            <w:r>
              <w:rPr>
                <w:rFonts w:hint="eastAsia" w:ascii="宋体" w:hAnsi="宋体" w:cs="宋体" w:eastAsiaTheme="minorEastAsia"/>
                <w:color w:val="auto"/>
                <w:kern w:val="0"/>
                <w:sz w:val="18"/>
                <w:szCs w:val="18"/>
                <w:lang w:eastAsia="en-US"/>
              </w:rPr>
              <w:t>意见</w:t>
            </w:r>
          </w:p>
        </w:tc>
        <w:tc>
          <w:tcPr>
            <w:tcW w:w="8555" w:type="dxa"/>
            <w:gridSpan w:val="10"/>
          </w:tcPr>
          <w:p w14:paraId="5AB2782E">
            <w:pPr>
              <w:keepNext w:val="0"/>
              <w:keepLines w:val="0"/>
              <w:pageBreakBefore w:val="0"/>
              <w:widowControl w:val="0"/>
              <w:kinsoku/>
              <w:wordWrap/>
              <w:overflowPunct/>
              <w:topLinePunct w:val="0"/>
              <w:autoSpaceDE w:val="0"/>
              <w:autoSpaceDN w:val="0"/>
              <w:bidi w:val="0"/>
              <w:adjustRightInd w:val="0"/>
              <w:snapToGrid w:val="0"/>
              <w:spacing w:before="63" w:beforeLines="20"/>
              <w:ind w:left="157" w:leftChars="75"/>
              <w:jc w:val="left"/>
              <w:textAlignment w:val="auto"/>
              <w:rPr>
                <w:rFonts w:hint="eastAsia" w:ascii="宋体" w:hAnsi="宋体" w:cs="宋体" w:eastAsiaTheme="minorEastAsia"/>
                <w:color w:val="auto"/>
                <w:kern w:val="0"/>
                <w:sz w:val="18"/>
                <w:szCs w:val="18"/>
                <w:lang w:eastAsia="en-US"/>
              </w:rPr>
            </w:pPr>
          </w:p>
        </w:tc>
      </w:tr>
      <w:tr w14:paraId="6715C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9365" w:type="dxa"/>
            <w:gridSpan w:val="11"/>
          </w:tcPr>
          <w:p w14:paraId="5AD89248">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填表说明：</w:t>
            </w:r>
          </w:p>
          <w:p w14:paraId="6415D513">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1：</w:t>
            </w:r>
            <w:r>
              <w:rPr>
                <w:rFonts w:hint="eastAsia" w:ascii="宋体" w:hAnsi="宋体" w:eastAsia="宋体" w:cs="宋体"/>
                <w:color w:val="auto"/>
                <w:sz w:val="18"/>
                <w:szCs w:val="18"/>
              </w:rPr>
              <w:t>监管时间为开展工程竣工监管工作的起始日期，格式为 YYYY 年 MM 月 DD 日。</w:t>
            </w:r>
          </w:p>
          <w:p w14:paraId="4B1012C8">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2</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rPr>
              <w:t>图斑编码为水土保持措施设计矢量图中标注的措施图斑编码，水土保持措施设计矢量图基于初步设计实施方案中的水土保持措施图斑构建。</w:t>
            </w:r>
          </w:p>
          <w:p w14:paraId="263DB44E">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val="en-US" w:eastAsia="zh-CN"/>
              </w:rPr>
              <w:t>3：</w:t>
            </w:r>
            <w:r>
              <w:rPr>
                <w:rFonts w:hint="eastAsia" w:ascii="宋体" w:hAnsi="宋体" w:eastAsia="宋体" w:cs="宋体"/>
                <w:color w:val="auto"/>
                <w:sz w:val="18"/>
                <w:szCs w:val="18"/>
                <w:lang w:eastAsia="en-US"/>
              </w:rPr>
              <w:t>措施名称参照附录A中三级水土保持措施名称</w:t>
            </w:r>
            <w:r>
              <w:rPr>
                <w:rFonts w:hint="eastAsia" w:ascii="宋体" w:hAnsi="宋体" w:eastAsia="宋体" w:cs="宋体"/>
                <w:color w:val="auto"/>
                <w:sz w:val="18"/>
                <w:szCs w:val="18"/>
                <w:lang w:eastAsia="zh-CN"/>
              </w:rPr>
              <w:t>填写</w:t>
            </w:r>
            <w:r>
              <w:rPr>
                <w:rFonts w:hint="eastAsia" w:ascii="宋体" w:hAnsi="宋体" w:eastAsia="宋体" w:cs="宋体"/>
                <w:color w:val="auto"/>
                <w:sz w:val="18"/>
                <w:szCs w:val="18"/>
                <w:lang w:eastAsia="en-US"/>
              </w:rPr>
              <w:t>。</w:t>
            </w:r>
          </w:p>
          <w:p w14:paraId="2F8C4D75">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4</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是否按照设计措施执行</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eastAsia="en-US"/>
              </w:rPr>
              <w:t>重点监管施工措施图斑的类型是否按照设计措施类型执行，通过现场调查，若施工图斑与设计图斑类型一致，则勾选“是”选项，若施工图斑与设计图斑类型不一致，则勾选“否”选项。</w:t>
            </w:r>
          </w:p>
          <w:p w14:paraId="4F08CD77">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5</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在“是否按照设计措施执行”一栏勾选“是”选项，则施工措施名称一栏不需填写，若在“是否按照设计执行”一栏勾选“否”选项，则施工措施名称一栏填写实际施工措施。</w:t>
            </w:r>
          </w:p>
          <w:p w14:paraId="16BDDCB2">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6</w:t>
            </w:r>
            <w:r>
              <w:rPr>
                <w:rFonts w:hint="eastAsia" w:ascii="黑体" w:hAnsi="黑体" w:eastAsia="黑体" w:cs="黑体"/>
                <w:color w:val="auto"/>
                <w:sz w:val="18"/>
                <w:szCs w:val="18"/>
                <w:lang w:eastAsia="zh-CN"/>
              </w:rPr>
              <w:t>：</w:t>
            </w:r>
            <w:r>
              <w:rPr>
                <w:rFonts w:hint="eastAsia" w:asciiTheme="minorEastAsia" w:hAnsiTheme="minorEastAsia" w:eastAsiaTheme="minorEastAsia" w:cstheme="minorEastAsia"/>
                <w:color w:val="auto"/>
                <w:sz w:val="18"/>
                <w:szCs w:val="18"/>
                <w:lang w:eastAsia="en-US"/>
              </w:rPr>
              <w:t>参</w:t>
            </w:r>
            <w:r>
              <w:rPr>
                <w:rFonts w:hint="eastAsia" w:ascii="宋体" w:hAnsi="宋体" w:eastAsia="宋体" w:cs="宋体"/>
                <w:color w:val="auto"/>
                <w:sz w:val="18"/>
                <w:szCs w:val="18"/>
                <w:lang w:eastAsia="en-US"/>
              </w:rPr>
              <w:t>照GB/T 15773规范要求，判断措施质量是否合格。若措施质量合格，则勾选“是”选项，若措施质量不合格，则勾选“否”选项。</w:t>
            </w:r>
          </w:p>
          <w:p w14:paraId="5CD64697">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7</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设计措施数量</w:t>
            </w:r>
            <w:r>
              <w:rPr>
                <w:rFonts w:hint="eastAsia" w:ascii="宋体" w:hAnsi="宋体" w:eastAsia="宋体" w:cs="宋体"/>
                <w:color w:val="auto"/>
                <w:sz w:val="18"/>
                <w:szCs w:val="18"/>
                <w:lang w:eastAsia="zh-CN"/>
              </w:rPr>
              <w:t>为</w:t>
            </w:r>
            <w:r>
              <w:rPr>
                <w:rFonts w:hint="eastAsia" w:ascii="宋体" w:hAnsi="宋体" w:eastAsia="宋体" w:cs="宋体"/>
                <w:color w:val="auto"/>
                <w:sz w:val="18"/>
                <w:szCs w:val="18"/>
              </w:rPr>
              <w:t>水土保持措施设计矢量图</w:t>
            </w:r>
            <w:r>
              <w:rPr>
                <w:rFonts w:hint="eastAsia" w:ascii="宋体" w:hAnsi="宋体" w:eastAsia="宋体" w:cs="宋体"/>
                <w:color w:val="auto"/>
                <w:sz w:val="18"/>
                <w:szCs w:val="18"/>
                <w:lang w:eastAsia="en-US"/>
              </w:rPr>
              <w:t>中的措施数量，面状措施数量指措施面积，单位为hm</w:t>
            </w:r>
            <w:r>
              <w:rPr>
                <w:rFonts w:hint="eastAsia" w:ascii="宋体" w:hAnsi="宋体" w:eastAsia="宋体" w:cs="宋体"/>
                <w:color w:val="auto"/>
                <w:sz w:val="18"/>
                <w:szCs w:val="18"/>
                <w:vertAlign w:val="superscript"/>
                <w:lang w:eastAsia="en-US"/>
              </w:rPr>
              <w:t>2</w:t>
            </w:r>
            <w:r>
              <w:rPr>
                <w:rFonts w:hint="eastAsia" w:ascii="宋体" w:hAnsi="宋体" w:eastAsia="宋体" w:cs="宋体"/>
                <w:color w:val="auto"/>
                <w:sz w:val="18"/>
                <w:szCs w:val="18"/>
                <w:lang w:eastAsia="en-US"/>
              </w:rPr>
              <w:t>，保留2位小数，线状措施数量指措施长度，单位为km，保留2位小数，点状措施数量指措施个（处、座），以整数表示。</w:t>
            </w:r>
          </w:p>
          <w:p w14:paraId="6595141C">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8</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完成措施数量</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lang w:eastAsia="en-US"/>
              </w:rPr>
              <w:t>根据</w:t>
            </w:r>
            <w:r>
              <w:rPr>
                <w:rFonts w:hint="eastAsia" w:ascii="宋体" w:hAnsi="宋体" w:eastAsia="宋体" w:cs="宋体"/>
                <w:color w:val="auto"/>
                <w:sz w:val="18"/>
                <w:szCs w:val="18"/>
              </w:rPr>
              <w:t>现场情况及卫星、无人机航摄影像监管结果</w:t>
            </w:r>
            <w:r>
              <w:rPr>
                <w:rFonts w:hint="eastAsia" w:ascii="宋体" w:hAnsi="宋体" w:eastAsia="宋体" w:cs="宋体"/>
                <w:color w:val="auto"/>
                <w:sz w:val="18"/>
                <w:szCs w:val="18"/>
                <w:lang w:eastAsia="en-US"/>
              </w:rPr>
              <w:t>填写完成措施数量，面状措施数量指措施面积，单位为hm</w:t>
            </w:r>
            <w:r>
              <w:rPr>
                <w:rFonts w:hint="eastAsia" w:ascii="宋体" w:hAnsi="宋体" w:eastAsia="宋体" w:cs="宋体"/>
                <w:color w:val="auto"/>
                <w:sz w:val="18"/>
                <w:szCs w:val="18"/>
                <w:vertAlign w:val="superscript"/>
                <w:lang w:eastAsia="en-US"/>
              </w:rPr>
              <w:t>2</w:t>
            </w:r>
            <w:r>
              <w:rPr>
                <w:rFonts w:hint="eastAsia" w:ascii="宋体" w:hAnsi="宋体" w:eastAsia="宋体" w:cs="宋体"/>
                <w:color w:val="auto"/>
                <w:sz w:val="18"/>
                <w:szCs w:val="18"/>
                <w:lang w:eastAsia="en-US"/>
              </w:rPr>
              <w:t>，保留2位小数，线状措施数量指措施长度，单位为km，保留2位小数，点状措施数量指措施个（处、座）数，以整数表示。</w:t>
            </w:r>
          </w:p>
          <w:p w14:paraId="74548FF0">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9</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完成率（%）</w:t>
            </w:r>
            <w:r>
              <w:rPr>
                <w:rFonts w:hint="eastAsia" w:ascii="宋体" w:hAnsi="宋体" w:eastAsia="宋体" w:cs="宋体"/>
                <w:color w:val="auto"/>
                <w:sz w:val="18"/>
                <w:szCs w:val="18"/>
                <w:lang w:eastAsia="zh-CN"/>
              </w:rPr>
              <w:t>应</w:t>
            </w:r>
            <w:r>
              <w:rPr>
                <w:rFonts w:hint="eastAsia" w:ascii="宋体" w:hAnsi="宋体" w:eastAsia="宋体" w:cs="宋体"/>
                <w:color w:val="auto"/>
                <w:sz w:val="18"/>
                <w:szCs w:val="18"/>
                <w:lang w:eastAsia="en-US"/>
              </w:rPr>
              <w:t>根据监管结果，填写抽查各措施图斑的完成率，完成率=完成措施数量/设计措施数量*100%，保留整数。</w:t>
            </w:r>
          </w:p>
          <w:p w14:paraId="456CD2B7">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eastAsia="宋体" w:cs="宋体"/>
                <w:color w:val="auto"/>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10</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措施符合率（%）、措施质量合格率（%）、措施完成率（%）</w:t>
            </w:r>
            <w:r>
              <w:rPr>
                <w:rFonts w:hint="eastAsia" w:ascii="宋体" w:hAnsi="宋体" w:eastAsia="宋体" w:cs="宋体"/>
                <w:color w:val="auto"/>
                <w:sz w:val="18"/>
                <w:szCs w:val="18"/>
                <w:lang w:eastAsia="zh-CN"/>
              </w:rPr>
              <w:t>，参照7.3.6条的规定计算</w:t>
            </w:r>
            <w:r>
              <w:rPr>
                <w:rFonts w:hint="eastAsia" w:ascii="宋体" w:hAnsi="宋体" w:eastAsia="宋体" w:cs="宋体"/>
                <w:color w:val="auto"/>
                <w:sz w:val="18"/>
                <w:szCs w:val="18"/>
                <w:lang w:eastAsia="en-US"/>
              </w:rPr>
              <w:t>，保留整数。</w:t>
            </w:r>
          </w:p>
          <w:p w14:paraId="2F83BEDB">
            <w:pPr>
              <w:pStyle w:val="22"/>
              <w:keepNext w:val="0"/>
              <w:keepLines w:val="0"/>
              <w:pageBreakBefore w:val="0"/>
              <w:widowControl w:val="0"/>
              <w:kinsoku/>
              <w:wordWrap/>
              <w:overflowPunct/>
              <w:topLinePunct w:val="0"/>
              <w:autoSpaceDE w:val="0"/>
              <w:autoSpaceDN w:val="0"/>
              <w:bidi w:val="0"/>
              <w:adjustRightInd/>
              <w:snapToGrid/>
              <w:ind w:left="780" w:leftChars="200" w:right="420" w:rightChars="200" w:hanging="360" w:hangingChars="200"/>
              <w:textAlignment w:val="auto"/>
              <w:rPr>
                <w:rFonts w:hint="eastAsia" w:ascii="宋体" w:hAnsi="宋体" w:cs="宋体" w:eastAsiaTheme="minorEastAsia"/>
                <w:color w:val="auto"/>
                <w:kern w:val="0"/>
                <w:sz w:val="18"/>
                <w:szCs w:val="18"/>
                <w:lang w:eastAsia="en-US"/>
              </w:rPr>
            </w:pPr>
            <w:r>
              <w:rPr>
                <w:rFonts w:hint="eastAsia" w:ascii="黑体" w:hAnsi="黑体" w:eastAsia="黑体" w:cs="黑体"/>
                <w:color w:val="auto"/>
                <w:sz w:val="18"/>
                <w:szCs w:val="18"/>
                <w:lang w:eastAsia="zh-CN"/>
              </w:rPr>
              <w:t>注</w:t>
            </w:r>
            <w:r>
              <w:rPr>
                <w:rFonts w:hint="eastAsia" w:ascii="黑体" w:hAnsi="黑体" w:eastAsia="黑体" w:cs="黑体"/>
                <w:color w:val="auto"/>
                <w:sz w:val="18"/>
                <w:szCs w:val="18"/>
                <w:lang w:eastAsia="en-US"/>
              </w:rPr>
              <w:t>11</w:t>
            </w:r>
            <w:r>
              <w:rPr>
                <w:rFonts w:hint="eastAsia" w:ascii="黑体" w:hAnsi="黑体" w:eastAsia="黑体" w:cs="黑体"/>
                <w:color w:val="auto"/>
                <w:sz w:val="18"/>
                <w:szCs w:val="18"/>
                <w:lang w:eastAsia="zh-CN"/>
              </w:rPr>
              <w:t>：</w:t>
            </w:r>
            <w:r>
              <w:rPr>
                <w:rFonts w:hint="eastAsia" w:ascii="宋体" w:hAnsi="宋体" w:eastAsia="宋体" w:cs="宋体"/>
                <w:color w:val="auto"/>
                <w:sz w:val="18"/>
                <w:szCs w:val="18"/>
                <w:lang w:eastAsia="en-US"/>
              </w:rPr>
              <w:t>监管意见</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eastAsia="en-US"/>
              </w:rPr>
              <w:t>综合现场监管结果，填写监管意见。</w:t>
            </w:r>
          </w:p>
        </w:tc>
      </w:tr>
    </w:tbl>
    <w:p w14:paraId="2B174BEC">
      <w:pPr>
        <w:pStyle w:val="4"/>
        <w:keepNext/>
        <w:keepLines/>
        <w:pageBreakBefore w:val="0"/>
        <w:widowControl w:val="0"/>
        <w:kinsoku/>
        <w:wordWrap/>
        <w:overflowPunct/>
        <w:topLinePunct w:val="0"/>
        <w:autoSpaceDE/>
        <w:autoSpaceDN/>
        <w:bidi w:val="0"/>
        <w:adjustRightInd/>
        <w:snapToGrid/>
        <w:spacing w:before="157" w:beforeLines="50"/>
        <w:textAlignment w:val="auto"/>
        <w:rPr>
          <w:rFonts w:hint="eastAsia"/>
          <w:color w:val="auto"/>
        </w:rPr>
      </w:pPr>
      <w:bookmarkStart w:id="36" w:name="_Toc12339"/>
      <w:r>
        <w:rPr>
          <w:color w:val="auto"/>
        </w:rPr>
        <w:t>7.4</w:t>
      </w:r>
      <w:r>
        <w:rPr>
          <w:rFonts w:hint="eastAsia"/>
          <w:color w:val="auto"/>
        </w:rPr>
        <w:t xml:space="preserve"> </w:t>
      </w:r>
      <w:r>
        <w:rPr>
          <w:color w:val="auto"/>
        </w:rPr>
        <w:t>成果</w:t>
      </w:r>
      <w:bookmarkEnd w:id="36"/>
    </w:p>
    <w:p w14:paraId="5E66EEAB">
      <w:pPr>
        <w:pStyle w:val="23"/>
        <w:pBdr>
          <w:bottom w:val="none" w:color="auto" w:sz="0" w:space="0"/>
        </w:pBdr>
        <w:spacing w:before="156" w:after="156"/>
        <w:ind w:firstLine="0" w:firstLineChars="0"/>
        <w:rPr>
          <w:color w:val="auto"/>
        </w:rPr>
      </w:pPr>
      <w:r>
        <w:rPr>
          <w:b/>
          <w:color w:val="auto"/>
        </w:rPr>
        <w:t>7.4.1</w:t>
      </w:r>
      <w:r>
        <w:rPr>
          <w:color w:val="auto"/>
        </w:rPr>
        <w:t xml:space="preserve"> 根据工程竣工监管情况，形成监管意见，填写水土保持综合治理工程工程建设监管信息表，见表3。</w:t>
      </w:r>
    </w:p>
    <w:p w14:paraId="5B80DF9B">
      <w:pPr>
        <w:pStyle w:val="23"/>
        <w:spacing w:before="156" w:after="156"/>
        <w:ind w:firstLine="0" w:firstLineChars="0"/>
        <w:rPr>
          <w:color w:val="auto"/>
        </w:rPr>
      </w:pPr>
      <w:r>
        <w:rPr>
          <w:b/>
          <w:color w:val="auto"/>
        </w:rPr>
        <w:t xml:space="preserve">7.4.2 </w:t>
      </w:r>
      <w:r>
        <w:rPr>
          <w:color w:val="auto"/>
        </w:rPr>
        <w:t>根据表3，同步形成水土保持工程遥感监管措施矢量图属性表信息（参见附录</w:t>
      </w:r>
      <w:r>
        <w:rPr>
          <w:rFonts w:hint="eastAsia"/>
          <w:color w:val="auto"/>
          <w:lang w:val="en-US" w:eastAsia="zh-CN"/>
        </w:rPr>
        <w:t>C</w:t>
      </w:r>
      <w:r>
        <w:rPr>
          <w:color w:val="auto"/>
        </w:rPr>
        <w:t>）。</w:t>
      </w:r>
    </w:p>
    <w:p w14:paraId="23153F39">
      <w:pPr>
        <w:pStyle w:val="23"/>
        <w:spacing w:before="156" w:after="156"/>
        <w:ind w:firstLine="0" w:firstLineChars="0"/>
        <w:rPr>
          <w:b w:val="0"/>
          <w:color w:val="auto"/>
        </w:rPr>
      </w:pPr>
      <w:r>
        <w:rPr>
          <w:b/>
          <w:color w:val="auto"/>
        </w:rPr>
        <w:t xml:space="preserve">7.4.3 </w:t>
      </w:r>
      <w:r>
        <w:rPr>
          <w:b w:val="0"/>
          <w:color w:val="auto"/>
        </w:rPr>
        <w:t>在工程建设监管工作完成后，应进行中间资料和成果资料的整理、归档。</w:t>
      </w:r>
    </w:p>
    <w:p w14:paraId="2F322FA9">
      <w:pPr>
        <w:pStyle w:val="23"/>
        <w:pBdr>
          <w:bottom w:val="none" w:color="auto" w:sz="0" w:space="0"/>
        </w:pBdr>
        <w:spacing w:before="156" w:after="156"/>
        <w:ind w:firstLine="0" w:firstLineChars="0"/>
        <w:rPr>
          <w:b w:val="0"/>
          <w:color w:val="auto"/>
        </w:rPr>
      </w:pPr>
      <w:r>
        <w:rPr>
          <w:b/>
          <w:color w:val="auto"/>
        </w:rPr>
        <w:t>7.4.4</w:t>
      </w:r>
      <w:r>
        <w:rPr>
          <w:b w:val="0"/>
          <w:color w:val="auto"/>
        </w:rPr>
        <w:t xml:space="preserve"> 原始数据和最终成果均应有元数据。</w:t>
      </w:r>
    </w:p>
    <w:p w14:paraId="3510E122">
      <w:pPr>
        <w:rPr>
          <w:b w:val="0"/>
          <w:color w:val="auto"/>
        </w:rPr>
      </w:pPr>
      <w:r>
        <w:rPr>
          <w:b w:val="0"/>
          <w:color w:val="auto"/>
        </w:rPr>
        <w:br w:type="page"/>
      </w:r>
    </w:p>
    <w:p w14:paraId="380A1E1D">
      <w:pPr>
        <w:keepNext/>
        <w:keepLines/>
        <w:spacing w:line="240" w:lineRule="exact"/>
        <w:jc w:val="center"/>
        <w:outlineLvl w:val="0"/>
        <w:rPr>
          <w:rFonts w:hint="eastAsia" w:ascii="黑体" w:hAnsi="黑体" w:eastAsia="黑体" w:cs="黑体"/>
          <w:color w:val="auto"/>
          <w:kern w:val="44"/>
          <w:szCs w:val="21"/>
        </w:rPr>
      </w:pPr>
      <w:bookmarkStart w:id="37" w:name="_Toc8186"/>
      <w:r>
        <w:rPr>
          <w:rFonts w:hint="eastAsia" w:ascii="黑体" w:hAnsi="黑体" w:eastAsia="黑体" w:cs="黑体"/>
          <w:color w:val="auto"/>
          <w:kern w:val="44"/>
          <w:szCs w:val="21"/>
        </w:rPr>
        <w:t>附录A</w:t>
      </w:r>
      <w:bookmarkEnd w:id="37"/>
    </w:p>
    <w:p w14:paraId="23E1D955">
      <w:pPr>
        <w:keepNext/>
        <w:keepLines/>
        <w:spacing w:line="240" w:lineRule="exact"/>
        <w:jc w:val="center"/>
        <w:rPr>
          <w:rFonts w:hint="eastAsia" w:ascii="黑体" w:hAnsi="黑体" w:eastAsia="黑体" w:cs="黑体"/>
          <w:color w:val="auto"/>
          <w:kern w:val="44"/>
          <w:szCs w:val="21"/>
        </w:rPr>
      </w:pPr>
      <w:r>
        <w:rPr>
          <w:rFonts w:hint="eastAsia" w:ascii="黑体" w:hAnsi="黑体" w:eastAsia="黑体" w:cs="黑体"/>
          <w:color w:val="auto"/>
          <w:kern w:val="44"/>
          <w:szCs w:val="21"/>
        </w:rPr>
        <w:t>（资料性附录）</w:t>
      </w:r>
    </w:p>
    <w:p w14:paraId="18D163B2">
      <w:pPr>
        <w:keepNext/>
        <w:keepLines/>
        <w:spacing w:line="240" w:lineRule="exact"/>
        <w:jc w:val="center"/>
        <w:outlineLvl w:val="0"/>
        <w:rPr>
          <w:rFonts w:hint="eastAsia" w:ascii="黑体" w:hAnsi="黑体" w:eastAsia="黑体" w:cs="黑体"/>
          <w:color w:val="auto"/>
          <w:kern w:val="44"/>
          <w:szCs w:val="21"/>
        </w:rPr>
      </w:pPr>
      <w:bookmarkStart w:id="38" w:name="_Toc13934"/>
      <w:bookmarkStart w:id="39" w:name="_Toc21807"/>
      <w:r>
        <w:rPr>
          <w:rFonts w:hint="eastAsia" w:ascii="黑体" w:hAnsi="黑体" w:eastAsia="黑体" w:cs="黑体"/>
          <w:color w:val="auto"/>
          <w:kern w:val="44"/>
          <w:szCs w:val="21"/>
        </w:rPr>
        <w:t>水土保持措施名称、代码及类型</w:t>
      </w:r>
      <w:bookmarkEnd w:id="38"/>
      <w:bookmarkEnd w:id="39"/>
    </w:p>
    <w:p w14:paraId="6F29C0DA">
      <w:pPr>
        <w:pStyle w:val="23"/>
        <w:spacing w:before="280" w:beforeLines="90" w:after="156"/>
        <w:ind w:firstLine="0" w:firstLineChars="0"/>
        <w:rPr>
          <w:rFonts w:hint="eastAsia" w:ascii="黑体" w:hAnsi="黑体" w:eastAsia="黑体" w:cs="黑体"/>
          <w:color w:val="auto"/>
        </w:rPr>
      </w:pPr>
      <w:r>
        <w:rPr>
          <w:rFonts w:hint="eastAsia" w:ascii="黑体" w:hAnsi="黑体" w:eastAsia="黑体" w:cs="黑体"/>
          <w:color w:val="auto"/>
        </w:rPr>
        <w:t>表A给出了水土保持措施名称、代码及类型</w:t>
      </w:r>
    </w:p>
    <w:p w14:paraId="3E4FE04C">
      <w:pPr>
        <w:pStyle w:val="23"/>
        <w:spacing w:before="0" w:beforeLines="0" w:after="0" w:afterLines="0"/>
        <w:ind w:firstLine="0" w:firstLineChars="0"/>
        <w:jc w:val="center"/>
        <w:rPr>
          <w:rFonts w:hint="eastAsia" w:ascii="黑体" w:hAnsi="黑体" w:eastAsia="黑体" w:cs="黑体"/>
          <w:color w:val="auto"/>
        </w:rPr>
      </w:pPr>
      <w:r>
        <w:rPr>
          <w:rFonts w:hint="eastAsia" w:ascii="黑体" w:hAnsi="黑体" w:eastAsia="黑体" w:cs="黑体"/>
          <w:color w:val="auto"/>
        </w:rPr>
        <w:t>表A  水土保持措施名称、代码及类型</w:t>
      </w:r>
    </w:p>
    <w:tbl>
      <w:tblPr>
        <w:tblStyle w:val="14"/>
        <w:tblW w:w="0" w:type="auto"/>
        <w:jc w:val="center"/>
        <w:tblLayout w:type="fixed"/>
        <w:tblCellMar>
          <w:top w:w="0" w:type="dxa"/>
          <w:left w:w="0" w:type="dxa"/>
          <w:bottom w:w="0" w:type="dxa"/>
          <w:right w:w="0" w:type="dxa"/>
        </w:tblCellMar>
      </w:tblPr>
      <w:tblGrid>
        <w:gridCol w:w="663"/>
        <w:gridCol w:w="702"/>
        <w:gridCol w:w="1649"/>
        <w:gridCol w:w="954"/>
        <w:gridCol w:w="1527"/>
        <w:gridCol w:w="903"/>
        <w:gridCol w:w="666"/>
        <w:gridCol w:w="1460"/>
        <w:gridCol w:w="774"/>
      </w:tblGrid>
      <w:tr w14:paraId="1CE82A9C">
        <w:tblPrEx>
          <w:tblCellMar>
            <w:top w:w="0" w:type="dxa"/>
            <w:left w:w="0" w:type="dxa"/>
            <w:bottom w:w="0" w:type="dxa"/>
            <w:right w:w="0" w:type="dxa"/>
          </w:tblCellMar>
        </w:tblPrEx>
        <w:trPr>
          <w:trHeight w:val="283" w:hRule="atLeast"/>
          <w:jc w:val="center"/>
        </w:trPr>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CBE5B">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一级措施</w:t>
            </w:r>
          </w:p>
        </w:tc>
        <w:tc>
          <w:tcPr>
            <w:tcW w:w="2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AFFCE">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二级措施</w:t>
            </w:r>
          </w:p>
        </w:tc>
        <w:tc>
          <w:tcPr>
            <w:tcW w:w="24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0B2FF">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三级措施</w:t>
            </w:r>
          </w:p>
        </w:tc>
        <w:tc>
          <w:tcPr>
            <w:tcW w:w="66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58EB3">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权重</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A2285">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数据类型</w:t>
            </w:r>
          </w:p>
        </w:tc>
        <w:tc>
          <w:tcPr>
            <w:tcW w:w="7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27CB9">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单位</w:t>
            </w:r>
          </w:p>
        </w:tc>
      </w:tr>
      <w:tr w14:paraId="6B38803C">
        <w:tblPrEx>
          <w:tblCellMar>
            <w:top w:w="0" w:type="dxa"/>
            <w:left w:w="0" w:type="dxa"/>
            <w:bottom w:w="0" w:type="dxa"/>
            <w:right w:w="0" w:type="dxa"/>
          </w:tblCellMar>
        </w:tblPrEx>
        <w:trPr>
          <w:trHeight w:val="283" w:hRule="atLeast"/>
          <w:jc w:val="center"/>
        </w:trPr>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DEB13">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名称</w:t>
            </w:r>
          </w:p>
        </w:tc>
        <w:tc>
          <w:tcPr>
            <w:tcW w:w="7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86E8F">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代码</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2F92E">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名称</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3F493">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代码</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0BCFC">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名称</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309A5">
            <w:pPr>
              <w:widowControl/>
              <w:adjustRightInd w:val="0"/>
              <w:snapToGrid w:val="0"/>
              <w:jc w:val="center"/>
              <w:textAlignment w:val="top"/>
              <w:rPr>
                <w:rFonts w:hint="eastAsia" w:ascii="宋体" w:hAnsi="宋体" w:cs="宋体"/>
                <w:bCs/>
                <w:color w:val="auto"/>
                <w:sz w:val="18"/>
                <w:szCs w:val="18"/>
              </w:rPr>
            </w:pPr>
            <w:r>
              <w:rPr>
                <w:rStyle w:val="18"/>
                <w:rFonts w:hint="eastAsia" w:ascii="宋体" w:eastAsia="宋体" w:cs="宋体"/>
                <w:b w:val="0"/>
                <w:bCs/>
                <w:color w:val="auto"/>
                <w:lang w:bidi="ar"/>
              </w:rPr>
              <w:t>代码</w:t>
            </w:r>
          </w:p>
        </w:tc>
        <w:tc>
          <w:tcPr>
            <w:tcW w:w="66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FF94A">
            <w:pPr>
              <w:widowControl/>
              <w:adjustRightInd w:val="0"/>
              <w:snapToGrid w:val="0"/>
              <w:jc w:val="center"/>
              <w:rPr>
                <w:rFonts w:hint="eastAsia" w:ascii="宋体" w:hAnsi="宋体" w:cs="宋体"/>
                <w:bCs/>
                <w:color w:val="auto"/>
                <w:sz w:val="18"/>
                <w:szCs w:val="18"/>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B7FE">
            <w:pPr>
              <w:widowControl/>
              <w:adjustRightInd w:val="0"/>
              <w:snapToGrid w:val="0"/>
              <w:jc w:val="center"/>
              <w:rPr>
                <w:rFonts w:hint="eastAsia" w:ascii="宋体" w:hAnsi="宋体" w:cs="宋体"/>
                <w:bCs/>
                <w:color w:val="auto"/>
                <w:sz w:val="18"/>
                <w:szCs w:val="18"/>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CF7C2">
            <w:pPr>
              <w:widowControl/>
              <w:adjustRightInd w:val="0"/>
              <w:snapToGrid w:val="0"/>
              <w:jc w:val="center"/>
              <w:rPr>
                <w:rFonts w:hint="eastAsia" w:ascii="宋体" w:hAnsi="宋体" w:cs="宋体"/>
                <w:bCs/>
                <w:color w:val="auto"/>
                <w:sz w:val="18"/>
                <w:szCs w:val="18"/>
              </w:rPr>
            </w:pPr>
          </w:p>
        </w:tc>
      </w:tr>
      <w:tr w14:paraId="4CFA7A97">
        <w:tblPrEx>
          <w:tblCellMar>
            <w:top w:w="0" w:type="dxa"/>
            <w:left w:w="0" w:type="dxa"/>
            <w:bottom w:w="0" w:type="dxa"/>
            <w:right w:w="0" w:type="dxa"/>
          </w:tblCellMar>
        </w:tblPrEx>
        <w:trPr>
          <w:trHeight w:val="283" w:hRule="atLeast"/>
          <w:jc w:val="center"/>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C987D">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综合</w:t>
            </w:r>
          </w:p>
          <w:p w14:paraId="14F4C180">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治理</w:t>
            </w:r>
          </w:p>
          <w:p w14:paraId="62A6E926">
            <w:pPr>
              <w:widowControl/>
              <w:adjustRightInd w:val="0"/>
              <w:snapToGrid w:val="0"/>
              <w:jc w:val="center"/>
              <w:textAlignment w:val="center"/>
              <w:rPr>
                <w:rFonts w:hint="eastAsia" w:ascii="宋体" w:hAnsi="宋体" w:cs="宋体"/>
                <w:bCs/>
                <w:color w:val="auto"/>
                <w:sz w:val="18"/>
                <w:szCs w:val="18"/>
              </w:rPr>
            </w:pPr>
            <w:r>
              <w:rPr>
                <w:rStyle w:val="19"/>
                <w:bCs/>
                <w:color w:val="auto"/>
                <w:lang w:bidi="ar"/>
              </w:rPr>
              <w:t>措施</w:t>
            </w:r>
          </w:p>
        </w:tc>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0ACFD">
            <w:pPr>
              <w:widowControl/>
              <w:adjustRightInd w:val="0"/>
              <w:snapToGrid w:val="0"/>
              <w:jc w:val="center"/>
              <w:textAlignment w:val="center"/>
              <w:rPr>
                <w:rFonts w:hint="eastAsia" w:ascii="宋体" w:hAnsi="宋体" w:cs="宋体"/>
                <w:bCs/>
                <w:color w:val="auto"/>
                <w:sz w:val="18"/>
                <w:szCs w:val="18"/>
              </w:rPr>
            </w:pPr>
            <w:r>
              <w:rPr>
                <w:rFonts w:hint="eastAsia" w:ascii="宋体" w:hAnsi="宋体" w:cs="宋体"/>
                <w:bCs/>
                <w:color w:val="auto"/>
                <w:kern w:val="0"/>
                <w:sz w:val="18"/>
                <w:szCs w:val="18"/>
                <w:lang w:bidi="ar"/>
              </w:rPr>
              <w:t>zhzl1</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120D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坡改梯</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BAC5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pgt2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E98C3">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石坎梯田</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2C93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sktt3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462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10</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EF8A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989F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17770B0E">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CBA60">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B65C6">
            <w:pPr>
              <w:widowControl/>
              <w:adjustRightInd w:val="0"/>
              <w:snapToGrid w:val="0"/>
              <w:jc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11703">
            <w:pPr>
              <w:widowControl/>
              <w:adjustRightInd w:val="0"/>
              <w:snapToGrid w:val="0"/>
              <w:jc w:val="center"/>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4D085">
            <w:pPr>
              <w:widowControl/>
              <w:adjustRightInd w:val="0"/>
              <w:snapToGrid w:val="0"/>
              <w:jc w:val="center"/>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FB61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土坎梯田</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6ECF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tktt3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84D70">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5</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EE50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415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1275EF73">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E97AB">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82A4A">
            <w:pPr>
              <w:widowControl/>
              <w:adjustRightInd w:val="0"/>
              <w:snapToGrid w:val="0"/>
              <w:jc w:val="center"/>
              <w:rPr>
                <w:rFonts w:hint="eastAsia" w:ascii="宋体" w:hAnsi="宋体" w:cs="宋体"/>
                <w:bCs/>
                <w:color w:val="auto"/>
                <w:sz w:val="18"/>
                <w:szCs w:val="18"/>
              </w:rPr>
            </w:pP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0513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造林</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0ED4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zl2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C097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水保林</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5F29">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sbl3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360B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CD82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719C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569DE785">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A0F75">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B8E88">
            <w:pPr>
              <w:widowControl/>
              <w:adjustRightInd w:val="0"/>
              <w:snapToGrid w:val="0"/>
              <w:jc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2F00A">
            <w:pPr>
              <w:widowControl/>
              <w:adjustRightInd w:val="0"/>
              <w:snapToGrid w:val="0"/>
              <w:jc w:val="center"/>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31FC0">
            <w:pPr>
              <w:widowControl/>
              <w:adjustRightInd w:val="0"/>
              <w:snapToGrid w:val="0"/>
              <w:jc w:val="center"/>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7F563">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经果林</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3075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jgl3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F22E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2F02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BCEC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6D628CE0">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742B">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4F6F5">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4F61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种草</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32DF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zc2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D54D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种草</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D91A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zc3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0AAB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0.6</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2D24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B182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74A7EC49">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7E3E3">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3B645">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221E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保土耕作</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2E84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btgz2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3516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保土耕作</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BFA1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btgz3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917A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0.2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1535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0B50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3DAD5205">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C96BE">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30E91">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9CA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封禁治理</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80C0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fjzl2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E98A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封禁治理</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CC66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fjzl3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745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0.1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ED01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92CE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5B94500C">
        <w:tblPrEx>
          <w:tblCellMar>
            <w:top w:w="0" w:type="dxa"/>
            <w:left w:w="0" w:type="dxa"/>
            <w:bottom w:w="0" w:type="dxa"/>
            <w:right w:w="0" w:type="dxa"/>
          </w:tblCellMar>
        </w:tblPrEx>
        <w:trPr>
          <w:trHeight w:val="283" w:hRule="atLeast"/>
          <w:jc w:val="center"/>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58B93">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小型</w:t>
            </w:r>
          </w:p>
          <w:p w14:paraId="29EEBDF8">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水利</w:t>
            </w:r>
          </w:p>
          <w:p w14:paraId="0551DEC0">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水保</w:t>
            </w:r>
          </w:p>
          <w:p w14:paraId="7B628974">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工程</w:t>
            </w:r>
          </w:p>
          <w:p w14:paraId="2BF5460E">
            <w:pPr>
              <w:widowControl/>
              <w:adjustRightInd w:val="0"/>
              <w:snapToGrid w:val="0"/>
              <w:jc w:val="center"/>
              <w:textAlignment w:val="center"/>
              <w:rPr>
                <w:rFonts w:hint="default"/>
                <w:bCs/>
                <w:color w:val="auto"/>
                <w:lang w:bidi="ar"/>
              </w:rPr>
            </w:pPr>
            <w:r>
              <w:rPr>
                <w:rStyle w:val="19"/>
                <w:bCs/>
                <w:color w:val="auto"/>
                <w:lang w:bidi="ar"/>
              </w:rPr>
              <w:t>措施</w:t>
            </w:r>
          </w:p>
        </w:tc>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F2E89">
            <w:pPr>
              <w:widowControl/>
              <w:adjustRightInd w:val="0"/>
              <w:snapToGrid w:val="0"/>
              <w:jc w:val="center"/>
              <w:textAlignment w:val="center"/>
              <w:rPr>
                <w:rFonts w:hint="eastAsia" w:ascii="宋体" w:hAnsi="宋体" w:cs="宋体"/>
                <w:bCs/>
                <w:color w:val="auto"/>
                <w:kern w:val="0"/>
                <w:sz w:val="18"/>
                <w:szCs w:val="18"/>
                <w:lang w:bidi="ar"/>
              </w:rPr>
            </w:pPr>
            <w:r>
              <w:rPr>
                <w:rFonts w:hint="eastAsia" w:ascii="宋体" w:hAnsi="宋体" w:cs="宋体"/>
                <w:bCs/>
                <w:color w:val="auto"/>
                <w:kern w:val="0"/>
                <w:sz w:val="18"/>
                <w:szCs w:val="18"/>
                <w:lang w:bidi="ar"/>
              </w:rPr>
              <w:t>slsbgc1</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E7E8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崩岗治理</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E0A1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bgzl2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DAC5F">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大型崩岗</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6E23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dxbg3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70B4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8685F">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32148">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24A2117F">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2B1A3">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8DE3">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281E">
            <w:pPr>
              <w:widowControl/>
              <w:adjustRightInd w:val="0"/>
              <w:snapToGrid w:val="0"/>
              <w:jc w:val="center"/>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39454">
            <w:pPr>
              <w:widowControl/>
              <w:adjustRightInd w:val="0"/>
              <w:snapToGrid w:val="0"/>
              <w:jc w:val="center"/>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B8D1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中小型崩岗</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489A">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zxxbg3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9E06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C1A8C">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F2BF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0C7D88AE">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71336">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AB9FA">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A97F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山塘坝堰</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3A2A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stby2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8081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山塘坝堰</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8050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stby3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F2E5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6</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863A7">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89D2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79AE02FD">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C5958">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1C6F1">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49BD1">
            <w:pPr>
              <w:widowControl/>
              <w:adjustRightInd w:val="0"/>
              <w:snapToGrid w:val="0"/>
              <w:jc w:val="center"/>
              <w:rPr>
                <w:rFonts w:hint="eastAsia" w:ascii="宋体" w:hAnsi="宋体" w:cs="宋体"/>
                <w:bCs/>
                <w:color w:val="auto"/>
                <w:sz w:val="18"/>
                <w:szCs w:val="18"/>
              </w:rPr>
            </w:pPr>
            <w:r>
              <w:rPr>
                <w:rFonts w:hint="eastAsia" w:ascii="宋体" w:hAnsi="宋体" w:cs="宋体"/>
                <w:bCs/>
                <w:color w:val="auto"/>
                <w:sz w:val="18"/>
                <w:szCs w:val="18"/>
              </w:rPr>
              <w:t>集蓄工程</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69AF3">
            <w:pPr>
              <w:widowControl/>
              <w:adjustRightInd w:val="0"/>
              <w:snapToGrid w:val="0"/>
              <w:jc w:val="center"/>
              <w:rPr>
                <w:rFonts w:hint="eastAsia" w:ascii="宋体" w:hAnsi="宋体" w:cs="宋体"/>
                <w:bCs/>
                <w:color w:val="auto"/>
                <w:sz w:val="18"/>
                <w:szCs w:val="18"/>
              </w:rPr>
            </w:pPr>
            <w:r>
              <w:rPr>
                <w:rFonts w:hint="eastAsia" w:ascii="宋体" w:hAnsi="宋体" w:cs="宋体"/>
                <w:bCs/>
                <w:color w:val="auto"/>
                <w:sz w:val="18"/>
                <w:szCs w:val="18"/>
              </w:rPr>
              <w:t>jxgc2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6305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蓄水池</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FF96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xsc3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F6AA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4FB03">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96030">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330204D1">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6BBEF">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B98AB">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7943F">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排灌沟渠</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CEB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pggq2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9690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排灌沟渠</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9692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pggq3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F463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3</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334E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7F74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km</w:t>
            </w:r>
          </w:p>
        </w:tc>
      </w:tr>
      <w:tr w14:paraId="7FE6EADB">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39B3C">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9B3A2">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3C9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谷坊</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C2B4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gf2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AA1A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谷坊</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3CC3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gf3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4B16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9278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DDA5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1AFE02ED">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A390B">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354CC">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45B3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沟渠防护工程</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AF83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gqfh2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EED30">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沟渠防护工程</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B765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gqfh3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7D8B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0CD3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AEA3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78E79A3F">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1F5EB">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EED909">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094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坡面截流工程</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64C7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pmjl2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47AB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坡面截流工程</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1ED9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pmjl3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802F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2982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0F75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km</w:t>
            </w:r>
          </w:p>
        </w:tc>
      </w:tr>
      <w:tr w14:paraId="4EF3AC4E">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027BA">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E748B">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0A38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植物篱</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C9F4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zwl2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DE8B3">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等高植物篱</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FD639">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dgzwl3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B45A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42FE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8FD1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km</w:t>
            </w:r>
          </w:p>
        </w:tc>
      </w:tr>
      <w:tr w14:paraId="6B6FA49A">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091AF">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722B1">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D52A0">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生产道路</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68EE9">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scdl2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724D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生产道路</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F18B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scdl3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9228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3</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6BFB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0822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km</w:t>
            </w:r>
          </w:p>
        </w:tc>
      </w:tr>
      <w:tr w14:paraId="1ED47112">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29752">
            <w:pPr>
              <w:widowControl/>
              <w:adjustRightInd w:val="0"/>
              <w:snapToGrid w:val="0"/>
              <w:jc w:val="center"/>
              <w:textAlignment w:val="center"/>
              <w:rPr>
                <w:rFonts w:hint="default"/>
                <w:bCs/>
                <w:color w:val="auto"/>
                <w:lang w:bidi="ar"/>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9E961">
            <w:pPr>
              <w:widowControl/>
              <w:adjustRightInd w:val="0"/>
              <w:snapToGrid w:val="0"/>
              <w:jc w:val="center"/>
              <w:textAlignment w:val="center"/>
              <w:rPr>
                <w:rFonts w:hint="eastAsia" w:ascii="宋体" w:hAnsi="宋体" w:cs="宋体"/>
                <w:bCs/>
                <w:color w:val="auto"/>
                <w:kern w:val="0"/>
                <w:sz w:val="18"/>
                <w:szCs w:val="18"/>
                <w:lang w:bidi="ar"/>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A337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沟（河）</w:t>
            </w:r>
            <w:r>
              <w:rPr>
                <w:rStyle w:val="19"/>
                <w:bCs/>
                <w:color w:val="auto"/>
                <w:lang w:bidi="ar"/>
              </w:rPr>
              <w:br w:type="textWrapping"/>
            </w:r>
            <w:r>
              <w:rPr>
                <w:rStyle w:val="19"/>
                <w:bCs/>
                <w:color w:val="auto"/>
                <w:lang w:bidi="ar"/>
              </w:rPr>
              <w:t>道整治</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AC86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ghdzz2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D79A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沟（河）道整治</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AFD8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ghdzz3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3FE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7</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F6F0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A073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km</w:t>
            </w:r>
          </w:p>
        </w:tc>
      </w:tr>
      <w:tr w14:paraId="5647DBFC">
        <w:tblPrEx>
          <w:tblCellMar>
            <w:top w:w="0" w:type="dxa"/>
            <w:left w:w="0" w:type="dxa"/>
            <w:bottom w:w="0" w:type="dxa"/>
            <w:right w:w="0" w:type="dxa"/>
          </w:tblCellMar>
        </w:tblPrEx>
        <w:trPr>
          <w:trHeight w:val="283" w:hRule="atLeast"/>
          <w:jc w:val="center"/>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180F4">
            <w:pPr>
              <w:widowControl/>
              <w:adjustRightInd w:val="0"/>
              <w:snapToGrid w:val="0"/>
              <w:jc w:val="center"/>
              <w:textAlignment w:val="center"/>
              <w:rPr>
                <w:rFonts w:hint="eastAsia" w:ascii="宋体" w:hAnsi="宋体" w:cs="宋体"/>
                <w:bCs/>
                <w:color w:val="auto"/>
                <w:sz w:val="18"/>
                <w:szCs w:val="18"/>
              </w:rPr>
            </w:pPr>
            <w:r>
              <w:rPr>
                <w:rFonts w:hint="eastAsia" w:ascii="宋体" w:hAnsi="宋体" w:cs="宋体"/>
                <w:bCs/>
                <w:color w:val="auto"/>
                <w:sz w:val="18"/>
                <w:szCs w:val="18"/>
              </w:rPr>
              <w:t>人居环境整治措施</w:t>
            </w:r>
          </w:p>
        </w:tc>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A6841">
            <w:pPr>
              <w:widowControl/>
              <w:adjustRightInd w:val="0"/>
              <w:snapToGrid w:val="0"/>
              <w:jc w:val="center"/>
              <w:textAlignment w:val="center"/>
              <w:rPr>
                <w:rFonts w:hint="eastAsia" w:ascii="宋体" w:hAnsi="宋体" w:cs="宋体"/>
                <w:bCs/>
                <w:color w:val="auto"/>
                <w:sz w:val="18"/>
                <w:szCs w:val="18"/>
              </w:rPr>
            </w:pPr>
            <w:r>
              <w:rPr>
                <w:rFonts w:hint="eastAsia" w:ascii="宋体" w:hAnsi="宋体" w:cs="宋体"/>
                <w:bCs/>
                <w:color w:val="auto"/>
                <w:sz w:val="18"/>
                <w:szCs w:val="18"/>
              </w:rPr>
              <w:t>rjhj1</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E2200">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环境提升</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FEA9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hjts2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C1F6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生态步道</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B7EC0">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stbd3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2A82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3</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461A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线状措施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3666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km</w:t>
            </w:r>
          </w:p>
        </w:tc>
      </w:tr>
      <w:tr w14:paraId="1AE0F307">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851EE">
            <w:pPr>
              <w:widowControl/>
              <w:adjustRightInd w:val="0"/>
              <w:snapToGrid w:val="0"/>
              <w:jc w:val="center"/>
              <w:textAlignment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36CFE">
            <w:pPr>
              <w:widowControl/>
              <w:adjustRightInd w:val="0"/>
              <w:snapToGrid w:val="0"/>
              <w:jc w:val="center"/>
              <w:textAlignment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791DA">
            <w:pPr>
              <w:widowControl/>
              <w:adjustRightInd w:val="0"/>
              <w:snapToGrid w:val="0"/>
              <w:jc w:val="center"/>
              <w:textAlignment w:val="top"/>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65824">
            <w:pPr>
              <w:widowControl/>
              <w:adjustRightInd w:val="0"/>
              <w:snapToGrid w:val="0"/>
              <w:jc w:val="center"/>
              <w:textAlignment w:val="top"/>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F590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湿地</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946E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sd3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F5B4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5</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98C3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7028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处</w:t>
            </w:r>
          </w:p>
        </w:tc>
      </w:tr>
      <w:tr w14:paraId="32F639DD">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2C6AC">
            <w:pPr>
              <w:widowControl/>
              <w:adjustRightInd w:val="0"/>
              <w:snapToGrid w:val="0"/>
              <w:jc w:val="center"/>
              <w:textAlignment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63448">
            <w:pPr>
              <w:widowControl/>
              <w:adjustRightInd w:val="0"/>
              <w:snapToGrid w:val="0"/>
              <w:jc w:val="center"/>
              <w:textAlignment w:val="center"/>
              <w:rPr>
                <w:rFonts w:hint="eastAsia" w:ascii="宋体" w:hAnsi="宋体" w:cs="宋体"/>
                <w:bCs/>
                <w:color w:val="auto"/>
                <w:sz w:val="18"/>
                <w:szCs w:val="18"/>
              </w:rPr>
            </w:pP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22B8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景观广场</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8AA4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jggc2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AC4B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绿地广场</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DD5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ldgc3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BB180">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8</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BE9D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06DB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6FC25277">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3D434">
            <w:pPr>
              <w:widowControl/>
              <w:adjustRightInd w:val="0"/>
              <w:snapToGrid w:val="0"/>
              <w:jc w:val="center"/>
              <w:textAlignment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66AB9">
            <w:pPr>
              <w:widowControl/>
              <w:adjustRightInd w:val="0"/>
              <w:snapToGrid w:val="0"/>
              <w:jc w:val="center"/>
              <w:textAlignment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4B15C">
            <w:pPr>
              <w:widowControl/>
              <w:adjustRightInd w:val="0"/>
              <w:snapToGrid w:val="0"/>
              <w:jc w:val="center"/>
              <w:textAlignment w:val="top"/>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0730E">
            <w:pPr>
              <w:widowControl/>
              <w:adjustRightInd w:val="0"/>
              <w:snapToGrid w:val="0"/>
              <w:jc w:val="center"/>
              <w:textAlignment w:val="top"/>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B9D2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文化广场</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52E3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whgc3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CEB0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8</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C4B5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C9C5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处</w:t>
            </w:r>
          </w:p>
        </w:tc>
      </w:tr>
      <w:tr w14:paraId="399441EC">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22000">
            <w:pPr>
              <w:widowControl/>
              <w:adjustRightInd w:val="0"/>
              <w:snapToGrid w:val="0"/>
              <w:jc w:val="center"/>
              <w:textAlignment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67596">
            <w:pPr>
              <w:widowControl/>
              <w:adjustRightInd w:val="0"/>
              <w:snapToGrid w:val="0"/>
              <w:jc w:val="center"/>
              <w:textAlignment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76415">
            <w:pPr>
              <w:widowControl/>
              <w:adjustRightInd w:val="0"/>
              <w:snapToGrid w:val="0"/>
              <w:jc w:val="center"/>
              <w:textAlignment w:val="top"/>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52408">
            <w:pPr>
              <w:widowControl/>
              <w:adjustRightInd w:val="0"/>
              <w:snapToGrid w:val="0"/>
              <w:jc w:val="center"/>
              <w:textAlignment w:val="top"/>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DAC8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景观亭（水保亭）</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866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jgt3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B43C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76F5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E039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sz w:val="18"/>
                <w:szCs w:val="18"/>
              </w:rPr>
              <w:t>座</w:t>
            </w:r>
          </w:p>
        </w:tc>
      </w:tr>
      <w:tr w14:paraId="069C0CA8">
        <w:tblPrEx>
          <w:tblCellMar>
            <w:top w:w="0" w:type="dxa"/>
            <w:left w:w="0" w:type="dxa"/>
            <w:bottom w:w="0" w:type="dxa"/>
            <w:right w:w="0" w:type="dxa"/>
          </w:tblCellMar>
        </w:tblPrEx>
        <w:trPr>
          <w:trHeight w:val="283" w:hRule="atLeast"/>
          <w:jc w:val="center"/>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1F2E">
            <w:pPr>
              <w:widowControl/>
              <w:adjustRightInd w:val="0"/>
              <w:snapToGrid w:val="0"/>
              <w:jc w:val="center"/>
              <w:textAlignment w:val="center"/>
              <w:rPr>
                <w:rFonts w:hint="eastAsia" w:ascii="宋体" w:hAnsi="宋体" w:cs="宋体"/>
                <w:bCs/>
                <w:color w:val="auto"/>
                <w:sz w:val="18"/>
                <w:szCs w:val="18"/>
                <w:lang w:bidi="ar"/>
              </w:rPr>
            </w:pPr>
            <w:r>
              <w:rPr>
                <w:rStyle w:val="19"/>
                <w:bCs/>
                <w:color w:val="auto"/>
                <w:lang w:bidi="ar"/>
              </w:rPr>
              <w:t>其他</w:t>
            </w:r>
          </w:p>
          <w:p w14:paraId="16D32755">
            <w:pPr>
              <w:widowControl/>
              <w:adjustRightInd w:val="0"/>
              <w:snapToGrid w:val="0"/>
              <w:jc w:val="center"/>
              <w:textAlignment w:val="center"/>
              <w:rPr>
                <w:rFonts w:hint="eastAsia" w:ascii="宋体" w:hAnsi="宋体" w:cs="宋体"/>
                <w:bCs/>
                <w:color w:val="auto"/>
                <w:sz w:val="18"/>
                <w:szCs w:val="18"/>
              </w:rPr>
            </w:pPr>
            <w:r>
              <w:rPr>
                <w:rStyle w:val="19"/>
                <w:bCs/>
                <w:color w:val="auto"/>
                <w:lang w:bidi="ar"/>
              </w:rPr>
              <w:t>措施</w:t>
            </w:r>
          </w:p>
        </w:tc>
        <w:tc>
          <w:tcPr>
            <w:tcW w:w="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34879">
            <w:pPr>
              <w:widowControl/>
              <w:adjustRightInd w:val="0"/>
              <w:snapToGrid w:val="0"/>
              <w:jc w:val="center"/>
              <w:textAlignment w:val="center"/>
              <w:rPr>
                <w:rFonts w:hint="eastAsia" w:ascii="宋体" w:hAnsi="宋体" w:cs="宋体"/>
                <w:bCs/>
                <w:color w:val="auto"/>
                <w:sz w:val="18"/>
                <w:szCs w:val="18"/>
              </w:rPr>
            </w:pPr>
            <w:r>
              <w:rPr>
                <w:rFonts w:hint="eastAsia" w:ascii="宋体" w:hAnsi="宋体" w:cs="宋体"/>
                <w:bCs/>
                <w:color w:val="auto"/>
                <w:kern w:val="0"/>
                <w:sz w:val="18"/>
                <w:szCs w:val="18"/>
                <w:lang w:bidi="ar"/>
              </w:rPr>
              <w:t>qtcs1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FA9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水源工程</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E9A4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sygc2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6718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水源工程</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0E72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sygc3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7D1C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10</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DB8E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710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71B3213E">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169F5">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CCBDA">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E11E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小型污水处理池</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62A5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wsclc2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47D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小型污水处理池</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DEF19">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wsclc3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4596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8</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18C1C">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9254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73A590B5">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E3848">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99C0">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13E0C">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污水处理设施</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593A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wsclss2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5245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污水处理设施</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5925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wsclss3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B8C5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10</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2BA7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1FE2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套</w:t>
            </w:r>
          </w:p>
        </w:tc>
      </w:tr>
      <w:tr w14:paraId="23DBBBD9">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65A4A">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67727">
            <w:pPr>
              <w:widowControl/>
              <w:adjustRightInd w:val="0"/>
              <w:snapToGrid w:val="0"/>
              <w:jc w:val="center"/>
              <w:rPr>
                <w:rFonts w:hint="eastAsia" w:ascii="宋体" w:hAnsi="宋体" w:cs="宋体"/>
                <w:bCs/>
                <w:color w:val="auto"/>
                <w:sz w:val="18"/>
                <w:szCs w:val="18"/>
              </w:rPr>
            </w:pP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0454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垃圾处置设施</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0CC0E">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ljczss2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A7E4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收集站</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1304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sjz3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4A2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35BF">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7EBF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38398FFE">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C6A85">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FF331">
            <w:pPr>
              <w:widowControl/>
              <w:adjustRightInd w:val="0"/>
              <w:snapToGrid w:val="0"/>
              <w:jc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C1CA9">
            <w:pPr>
              <w:widowControl/>
              <w:adjustRightInd w:val="0"/>
              <w:snapToGrid w:val="0"/>
              <w:jc w:val="center"/>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A3C81">
            <w:pPr>
              <w:widowControl/>
              <w:adjustRightInd w:val="0"/>
              <w:snapToGrid w:val="0"/>
              <w:jc w:val="center"/>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F60A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处理站</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ECCC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clz3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CDEF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10</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13D2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6ABA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4021FD95">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6DE33">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C1A63">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8422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隔污栅</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7D88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gwz2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CDD8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隔污栅</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BCC70">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gwz3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1E06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10</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25C80">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292B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处</w:t>
            </w:r>
          </w:p>
        </w:tc>
      </w:tr>
      <w:tr w14:paraId="454E5D10">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D6FC1">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CF1B6">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DD8B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节能措施</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02CA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jncs2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F2F0C">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节能措施</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E98E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jncs3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A899C">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5B83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D0BE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28B8E778">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9B2FA">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10005">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BF527">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苗圃</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9A2A3">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mp2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8D156">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苗圃</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C0D5D">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mp3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25B4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15</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716F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B314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6A902872">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43B65">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DDD6A">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FEC94">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宣传碑牌</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DADD4">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xcbp2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5170D">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宣传碑牌</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8E472">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xcbp3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97CB6">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41D1A">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57498">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r w14:paraId="2C373954">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2C99E">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B86D4">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E166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水蚀坡林地整治</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F35A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sspldzz2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1D535">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水蚀坡林地整治</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56E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sspldzz3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420A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5</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27C0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D2F29">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40FF7FC5">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269D4">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1005A">
            <w:pPr>
              <w:widowControl/>
              <w:adjustRightInd w:val="0"/>
              <w:snapToGrid w:val="0"/>
              <w:jc w:val="center"/>
              <w:rPr>
                <w:rFonts w:hint="eastAsia" w:ascii="宋体" w:hAnsi="宋体" w:cs="宋体"/>
                <w:bCs/>
                <w:color w:val="auto"/>
                <w:sz w:val="18"/>
                <w:szCs w:val="18"/>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77370">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地梗植物带</w:t>
            </w:r>
          </w:p>
        </w:tc>
        <w:tc>
          <w:tcPr>
            <w:tcW w:w="9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058E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dgzwd2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77039">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地梗植物带</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B12C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dgzwd3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FFE38">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EAF0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面状措施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0629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hm</w:t>
            </w:r>
            <w:r>
              <w:rPr>
                <w:rFonts w:hint="eastAsia" w:ascii="宋体" w:hAnsi="宋体" w:cs="宋体"/>
                <w:bCs/>
                <w:color w:val="auto"/>
                <w:kern w:val="0"/>
                <w:sz w:val="18"/>
                <w:szCs w:val="18"/>
                <w:vertAlign w:val="superscript"/>
                <w:lang w:bidi="ar"/>
              </w:rPr>
              <w:t>2</w:t>
            </w:r>
          </w:p>
        </w:tc>
      </w:tr>
      <w:tr w14:paraId="78ABA65A">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5741F">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70B24">
            <w:pPr>
              <w:widowControl/>
              <w:adjustRightInd w:val="0"/>
              <w:snapToGrid w:val="0"/>
              <w:jc w:val="center"/>
              <w:rPr>
                <w:rFonts w:hint="eastAsia" w:ascii="宋体" w:hAnsi="宋体" w:cs="宋体"/>
                <w:bCs/>
                <w:color w:val="auto"/>
                <w:sz w:val="18"/>
                <w:szCs w:val="18"/>
              </w:rPr>
            </w:pP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C2C6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桥</w:t>
            </w:r>
            <w:r>
              <w:rPr>
                <w:rFonts w:hint="eastAsia" w:ascii="宋体" w:hAnsi="宋体" w:cs="宋体"/>
                <w:bCs/>
                <w:color w:val="auto"/>
                <w:kern w:val="0"/>
                <w:sz w:val="18"/>
                <w:szCs w:val="18"/>
                <w:lang w:bidi="ar"/>
              </w:rPr>
              <w:t>/</w:t>
            </w:r>
            <w:r>
              <w:rPr>
                <w:rStyle w:val="19"/>
                <w:bCs/>
                <w:color w:val="auto"/>
                <w:lang w:bidi="ar"/>
              </w:rPr>
              <w:t>涵</w:t>
            </w:r>
          </w:p>
        </w:tc>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A9A1F">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qh2</w:t>
            </w: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4C01B">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桥</w:t>
            </w:r>
            <w:r>
              <w:rPr>
                <w:rFonts w:hint="eastAsia" w:ascii="宋体" w:hAnsi="宋体" w:cs="宋体"/>
                <w:bCs/>
                <w:color w:val="auto"/>
                <w:kern w:val="0"/>
                <w:sz w:val="18"/>
                <w:szCs w:val="18"/>
                <w:lang w:bidi="ar"/>
              </w:rPr>
              <w:t>/</w:t>
            </w:r>
            <w:r>
              <w:rPr>
                <w:rStyle w:val="19"/>
                <w:bCs/>
                <w:color w:val="auto"/>
                <w:lang w:bidi="ar"/>
              </w:rPr>
              <w:t>涵</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8B59B">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qh3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E97C1">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40D5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BEDF3">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座</w:t>
            </w:r>
          </w:p>
        </w:tc>
      </w:tr>
      <w:tr w14:paraId="5CAE62A2">
        <w:tblPrEx>
          <w:tblCellMar>
            <w:top w:w="0" w:type="dxa"/>
            <w:left w:w="0" w:type="dxa"/>
            <w:bottom w:w="0" w:type="dxa"/>
            <w:right w:w="0" w:type="dxa"/>
          </w:tblCellMar>
        </w:tblPrEx>
        <w:trPr>
          <w:trHeight w:val="283" w:hRule="atLeast"/>
          <w:jc w:val="center"/>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9919A">
            <w:pPr>
              <w:widowControl/>
              <w:adjustRightInd w:val="0"/>
              <w:snapToGrid w:val="0"/>
              <w:jc w:val="center"/>
              <w:rPr>
                <w:rFonts w:hint="eastAsia" w:ascii="宋体" w:hAnsi="宋体" w:cs="宋体"/>
                <w:bCs/>
                <w:color w:val="auto"/>
                <w:sz w:val="18"/>
                <w:szCs w:val="18"/>
              </w:rPr>
            </w:pPr>
          </w:p>
        </w:tc>
        <w:tc>
          <w:tcPr>
            <w:tcW w:w="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73472">
            <w:pPr>
              <w:widowControl/>
              <w:adjustRightInd w:val="0"/>
              <w:snapToGrid w:val="0"/>
              <w:jc w:val="center"/>
              <w:rPr>
                <w:rFonts w:hint="eastAsia" w:ascii="宋体" w:hAnsi="宋体" w:cs="宋体"/>
                <w:bCs/>
                <w:color w:val="auto"/>
                <w:sz w:val="18"/>
                <w:szCs w:val="18"/>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89E27">
            <w:pPr>
              <w:widowControl/>
              <w:adjustRightInd w:val="0"/>
              <w:snapToGrid w:val="0"/>
              <w:jc w:val="center"/>
              <w:rPr>
                <w:rFonts w:hint="eastAsia" w:ascii="宋体" w:hAnsi="宋体" w:cs="宋体"/>
                <w:bCs/>
                <w:color w:val="auto"/>
                <w:sz w:val="18"/>
                <w:szCs w:val="18"/>
              </w:rPr>
            </w:pPr>
          </w:p>
        </w:tc>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90AE7">
            <w:pPr>
              <w:widowControl/>
              <w:adjustRightInd w:val="0"/>
              <w:snapToGrid w:val="0"/>
              <w:jc w:val="center"/>
              <w:rPr>
                <w:rFonts w:hint="eastAsia" w:ascii="宋体" w:hAnsi="宋体" w:cs="宋体"/>
                <w:bCs/>
                <w:color w:val="auto"/>
                <w:sz w:val="18"/>
                <w:szCs w:val="18"/>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B091">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沉砂池</w:t>
            </w:r>
            <w:r>
              <w:rPr>
                <w:rFonts w:hint="eastAsia" w:ascii="宋体" w:hAnsi="宋体" w:cs="宋体"/>
                <w:bCs/>
                <w:color w:val="auto"/>
                <w:kern w:val="0"/>
                <w:sz w:val="18"/>
                <w:szCs w:val="18"/>
                <w:lang w:bidi="ar"/>
              </w:rPr>
              <w:t>(</w:t>
            </w:r>
            <w:r>
              <w:rPr>
                <w:rStyle w:val="19"/>
                <w:bCs/>
                <w:color w:val="auto"/>
                <w:lang w:bidi="ar"/>
              </w:rPr>
              <w:t>凼</w:t>
            </w:r>
            <w:r>
              <w:rPr>
                <w:rFonts w:hint="eastAsia" w:ascii="宋体" w:hAnsi="宋体" w:cs="宋体"/>
                <w:bCs/>
                <w:color w:val="auto"/>
                <w:kern w:val="0"/>
                <w:sz w:val="18"/>
                <w:szCs w:val="18"/>
                <w:lang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625E5">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csc3</w:t>
            </w:r>
          </w:p>
        </w:tc>
        <w:tc>
          <w:tcPr>
            <w:tcW w:w="6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F7DA7">
            <w:pPr>
              <w:widowControl/>
              <w:adjustRightInd w:val="0"/>
              <w:snapToGrid w:val="0"/>
              <w:jc w:val="center"/>
              <w:textAlignment w:val="top"/>
              <w:rPr>
                <w:rFonts w:hint="eastAsia" w:ascii="宋体" w:hAnsi="宋体" w:cs="宋体"/>
                <w:bCs/>
                <w:color w:val="auto"/>
                <w:sz w:val="18"/>
                <w:szCs w:val="18"/>
              </w:rPr>
            </w:pPr>
            <w:r>
              <w:rPr>
                <w:rFonts w:hint="eastAsia" w:ascii="宋体" w:hAnsi="宋体" w:cs="宋体"/>
                <w:bCs/>
                <w:color w:val="auto"/>
                <w:kern w:val="0"/>
                <w:sz w:val="18"/>
                <w:szCs w:val="18"/>
                <w:lang w:bidi="ar"/>
              </w:rPr>
              <w:t>1</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61182">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点状措施</w:t>
            </w:r>
          </w:p>
        </w:tc>
        <w:tc>
          <w:tcPr>
            <w:tcW w:w="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C792E">
            <w:pPr>
              <w:widowControl/>
              <w:adjustRightInd w:val="0"/>
              <w:snapToGrid w:val="0"/>
              <w:jc w:val="center"/>
              <w:textAlignment w:val="top"/>
              <w:rPr>
                <w:rFonts w:hint="eastAsia" w:ascii="宋体" w:hAnsi="宋体" w:cs="宋体"/>
                <w:bCs/>
                <w:color w:val="auto"/>
                <w:sz w:val="18"/>
                <w:szCs w:val="18"/>
              </w:rPr>
            </w:pPr>
            <w:r>
              <w:rPr>
                <w:rStyle w:val="19"/>
                <w:bCs/>
                <w:color w:val="auto"/>
                <w:lang w:bidi="ar"/>
              </w:rPr>
              <w:t>个</w:t>
            </w:r>
          </w:p>
        </w:tc>
      </w:tr>
    </w:tbl>
    <w:p w14:paraId="5FB00FE4">
      <w:pPr>
        <w:rPr>
          <w:rFonts w:hint="eastAsia" w:ascii="黑体" w:hAnsi="黑体" w:eastAsia="黑体" w:cs="黑体"/>
          <w:color w:val="auto"/>
          <w:kern w:val="44"/>
          <w:szCs w:val="21"/>
        </w:rPr>
      </w:pPr>
      <w:r>
        <w:rPr>
          <w:rFonts w:ascii="黑体" w:hAnsi="黑体" w:eastAsia="黑体" w:cs="黑体"/>
          <w:color w:val="auto"/>
          <w:kern w:val="44"/>
          <w:szCs w:val="21"/>
        </w:rPr>
        <w:br w:type="page"/>
      </w:r>
    </w:p>
    <w:p w14:paraId="546C6417">
      <w:pPr>
        <w:keepNext/>
        <w:keepLines/>
        <w:spacing w:line="240" w:lineRule="exact"/>
        <w:jc w:val="center"/>
        <w:outlineLvl w:val="0"/>
        <w:rPr>
          <w:rFonts w:hint="eastAsia" w:ascii="黑体" w:hAnsi="黑体" w:eastAsia="黑体" w:cs="黑体"/>
          <w:color w:val="auto"/>
          <w:kern w:val="44"/>
          <w:szCs w:val="21"/>
        </w:rPr>
      </w:pPr>
      <w:bookmarkStart w:id="40" w:name="_Toc18345"/>
      <w:r>
        <w:rPr>
          <w:rFonts w:ascii="黑体" w:hAnsi="黑体" w:eastAsia="黑体" w:cs="黑体"/>
          <w:color w:val="auto"/>
          <w:kern w:val="44"/>
          <w:szCs w:val="21"/>
        </w:rPr>
        <w:t>附录B</w:t>
      </w:r>
      <w:bookmarkEnd w:id="40"/>
    </w:p>
    <w:p w14:paraId="158EDFFC">
      <w:pPr>
        <w:keepNext/>
        <w:keepLines/>
        <w:spacing w:line="240" w:lineRule="exact"/>
        <w:jc w:val="center"/>
        <w:outlineLvl w:val="0"/>
        <w:rPr>
          <w:rFonts w:hint="eastAsia" w:ascii="黑体" w:hAnsi="黑体" w:eastAsia="黑体" w:cs="黑体"/>
          <w:color w:val="auto"/>
          <w:kern w:val="44"/>
          <w:szCs w:val="21"/>
        </w:rPr>
      </w:pPr>
      <w:bookmarkStart w:id="41" w:name="_Toc17511"/>
      <w:bookmarkStart w:id="42" w:name="_Toc32021"/>
      <w:r>
        <w:rPr>
          <w:rFonts w:ascii="黑体" w:hAnsi="黑体" w:eastAsia="黑体" w:cs="黑体"/>
          <w:color w:val="auto"/>
          <w:kern w:val="44"/>
          <w:szCs w:val="21"/>
        </w:rPr>
        <w:t>（资料性附录）</w:t>
      </w:r>
      <w:bookmarkEnd w:id="41"/>
      <w:bookmarkEnd w:id="42"/>
    </w:p>
    <w:p w14:paraId="4D78AD97">
      <w:pPr>
        <w:keepNext/>
        <w:keepLines/>
        <w:spacing w:line="240" w:lineRule="exact"/>
        <w:jc w:val="center"/>
        <w:outlineLvl w:val="0"/>
        <w:rPr>
          <w:rFonts w:hint="eastAsia" w:ascii="黑体" w:hAnsi="黑体" w:eastAsia="黑体" w:cs="黑体"/>
          <w:color w:val="auto"/>
          <w:kern w:val="44"/>
          <w:szCs w:val="21"/>
        </w:rPr>
      </w:pPr>
      <w:bookmarkStart w:id="43" w:name="_Toc32193"/>
      <w:bookmarkStart w:id="44" w:name="_Toc29264"/>
      <w:r>
        <w:rPr>
          <w:rFonts w:ascii="黑体" w:hAnsi="黑体" w:eastAsia="黑体" w:cs="黑体"/>
          <w:color w:val="auto"/>
          <w:kern w:val="44"/>
          <w:szCs w:val="21"/>
        </w:rPr>
        <w:t>影像预处理要求</w:t>
      </w:r>
      <w:bookmarkEnd w:id="43"/>
      <w:bookmarkEnd w:id="44"/>
    </w:p>
    <w:p w14:paraId="61CDC076">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B.1 大气校正</w:t>
      </w:r>
    </w:p>
    <w:p w14:paraId="3A8EDCB9">
      <w:pPr>
        <w:pStyle w:val="23"/>
        <w:spacing w:before="156" w:after="156"/>
        <w:rPr>
          <w:rFonts w:hint="eastAsia"/>
          <w:color w:val="auto"/>
        </w:rPr>
      </w:pPr>
      <w:r>
        <w:rPr>
          <w:color w:val="auto"/>
        </w:rPr>
        <w:t>若通过算法自动提取下垫面的地物信息，应对影像进行大气校正；若以人机交互为主实现地物信息提取，数字正射图影像（DOM）生产可不必进行大气校正。</w:t>
      </w:r>
    </w:p>
    <w:p w14:paraId="38128225">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w:t>
      </w:r>
      <w:r>
        <w:rPr>
          <w:rFonts w:ascii="黑体" w:hAnsi="黑体" w:eastAsia="黑体" w:cs="黑体"/>
          <w:color w:val="auto"/>
          <w:kern w:val="2"/>
          <w:sz w:val="21"/>
          <w:szCs w:val="21"/>
          <w:lang w:eastAsia="zh-CN"/>
        </w:rPr>
        <w:t>.2 正射校正</w:t>
      </w:r>
    </w:p>
    <w:p w14:paraId="2143D632">
      <w:pPr>
        <w:pStyle w:val="23"/>
        <w:spacing w:before="156" w:after="156"/>
        <w:ind w:firstLine="0" w:firstLineChars="0"/>
        <w:rPr>
          <w:rFonts w:hint="eastAsia"/>
          <w:color w:val="auto"/>
        </w:rPr>
      </w:pPr>
      <w:r>
        <w:rPr>
          <w:rFonts w:hint="eastAsia"/>
          <w:color w:val="auto"/>
        </w:rPr>
        <w:t>B</w:t>
      </w:r>
      <w:r>
        <w:rPr>
          <w:color w:val="auto"/>
        </w:rPr>
        <w:t>.2.1 纠正模型平原区采用二项式模型，地形起伏地区采用物理模型或有理函数模型。</w:t>
      </w:r>
    </w:p>
    <w:p w14:paraId="7879983E">
      <w:pPr>
        <w:pStyle w:val="23"/>
        <w:spacing w:before="156" w:after="156"/>
        <w:ind w:firstLine="0" w:firstLineChars="0"/>
        <w:rPr>
          <w:rFonts w:hint="eastAsia"/>
          <w:color w:val="auto"/>
        </w:rPr>
      </w:pPr>
      <w:r>
        <w:rPr>
          <w:rFonts w:hint="eastAsia"/>
          <w:color w:val="auto"/>
        </w:rPr>
        <w:t>B</w:t>
      </w:r>
      <w:r>
        <w:rPr>
          <w:color w:val="auto"/>
        </w:rPr>
        <w:t>.2.2 工作区涉及连片多景同源影像时应进行整体纠正。</w:t>
      </w:r>
    </w:p>
    <w:p w14:paraId="65D84C03">
      <w:pPr>
        <w:pStyle w:val="23"/>
        <w:spacing w:before="156" w:after="156"/>
        <w:ind w:firstLine="0" w:firstLineChars="0"/>
        <w:rPr>
          <w:rFonts w:hint="eastAsia"/>
          <w:color w:val="auto"/>
        </w:rPr>
      </w:pPr>
      <w:r>
        <w:rPr>
          <w:rFonts w:hint="eastAsia"/>
          <w:color w:val="auto"/>
        </w:rPr>
        <w:t>B</w:t>
      </w:r>
      <w:r>
        <w:rPr>
          <w:color w:val="auto"/>
        </w:rPr>
        <w:t>.2.3 每景影像的控制点应均匀分布，在</w:t>
      </w:r>
      <w:bookmarkStart w:id="50" w:name="_GoBack"/>
      <w:r>
        <w:rPr>
          <w:rFonts w:hint="eastAsia"/>
          <w:color w:val="auto"/>
          <w:lang w:eastAsia="zh-CN"/>
        </w:rPr>
        <w:t>山区</w:t>
      </w:r>
      <w:bookmarkEnd w:id="50"/>
      <w:r>
        <w:rPr>
          <w:color w:val="auto"/>
        </w:rPr>
        <w:t>不少于15个，在平原区不少于12 个。</w:t>
      </w:r>
    </w:p>
    <w:p w14:paraId="2FFABDBD">
      <w:pPr>
        <w:pStyle w:val="23"/>
        <w:spacing w:before="156" w:after="156"/>
        <w:ind w:firstLine="0" w:firstLineChars="0"/>
        <w:rPr>
          <w:rFonts w:hint="eastAsia"/>
          <w:color w:val="auto"/>
        </w:rPr>
      </w:pPr>
      <w:r>
        <w:rPr>
          <w:rFonts w:hint="eastAsia"/>
          <w:color w:val="auto"/>
        </w:rPr>
        <w:t>B</w:t>
      </w:r>
      <w:r>
        <w:rPr>
          <w:color w:val="auto"/>
        </w:rPr>
        <w:t>.2.4 纠正控制点残差中误差在山区应不大于2个像元，在平原区应不大于1个像元。</w:t>
      </w:r>
    </w:p>
    <w:p w14:paraId="474D6114">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w:t>
      </w:r>
      <w:r>
        <w:rPr>
          <w:rFonts w:ascii="黑体" w:hAnsi="黑体" w:eastAsia="黑体" w:cs="黑体"/>
          <w:color w:val="auto"/>
          <w:kern w:val="2"/>
          <w:sz w:val="21"/>
          <w:szCs w:val="21"/>
          <w:lang w:eastAsia="zh-CN"/>
        </w:rPr>
        <w:t>.3 影像配准</w:t>
      </w:r>
    </w:p>
    <w:p w14:paraId="1A243465">
      <w:pPr>
        <w:pStyle w:val="23"/>
        <w:spacing w:before="156" w:after="156"/>
        <w:ind w:firstLine="0" w:firstLineChars="0"/>
        <w:rPr>
          <w:rFonts w:hint="eastAsia"/>
          <w:color w:val="auto"/>
        </w:rPr>
      </w:pPr>
      <w:r>
        <w:rPr>
          <w:rFonts w:hint="eastAsia"/>
          <w:color w:val="auto"/>
        </w:rPr>
        <w:t>B</w:t>
      </w:r>
      <w:r>
        <w:rPr>
          <w:color w:val="auto"/>
        </w:rPr>
        <w:t>.3.1 配准模型应采用物理模型或有理函数模型。</w:t>
      </w:r>
    </w:p>
    <w:p w14:paraId="2D7DED0C">
      <w:pPr>
        <w:pStyle w:val="23"/>
        <w:spacing w:before="156" w:after="156"/>
        <w:ind w:firstLine="0" w:firstLineChars="0"/>
        <w:rPr>
          <w:rFonts w:hint="eastAsia"/>
          <w:color w:val="auto"/>
        </w:rPr>
      </w:pPr>
      <w:r>
        <w:rPr>
          <w:rFonts w:hint="eastAsia"/>
          <w:color w:val="auto"/>
        </w:rPr>
        <w:t>B</w:t>
      </w:r>
      <w:r>
        <w:rPr>
          <w:color w:val="auto"/>
        </w:rPr>
        <w:t>.3.2 影像配准以景为基本处理单元，配准控制点应均匀分布。</w:t>
      </w:r>
    </w:p>
    <w:p w14:paraId="7E77E5EF">
      <w:pPr>
        <w:pStyle w:val="23"/>
        <w:spacing w:before="156" w:after="156"/>
        <w:ind w:firstLine="0" w:firstLineChars="0"/>
        <w:rPr>
          <w:rFonts w:hint="eastAsia"/>
          <w:color w:val="auto"/>
        </w:rPr>
      </w:pPr>
      <w:r>
        <w:rPr>
          <w:rFonts w:hint="eastAsia"/>
          <w:color w:val="auto"/>
        </w:rPr>
        <w:t>B</w:t>
      </w:r>
      <w:r>
        <w:rPr>
          <w:color w:val="auto"/>
        </w:rPr>
        <w:t>.3.3 配准控制点残差限差在山区应不大于2个像元，在平原区应不大于1个像元。</w:t>
      </w:r>
    </w:p>
    <w:p w14:paraId="361B1B6B">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w:t>
      </w:r>
      <w:r>
        <w:rPr>
          <w:rFonts w:ascii="黑体" w:hAnsi="黑体" w:eastAsia="黑体" w:cs="黑体"/>
          <w:color w:val="auto"/>
          <w:kern w:val="2"/>
          <w:sz w:val="21"/>
          <w:szCs w:val="21"/>
          <w:lang w:eastAsia="zh-CN"/>
        </w:rPr>
        <w:t>.4 影像融合</w:t>
      </w:r>
    </w:p>
    <w:p w14:paraId="672A6717">
      <w:pPr>
        <w:pStyle w:val="23"/>
        <w:spacing w:before="156" w:after="156"/>
        <w:ind w:firstLine="0" w:firstLineChars="0"/>
        <w:rPr>
          <w:rFonts w:hint="eastAsia"/>
          <w:color w:val="auto"/>
        </w:rPr>
      </w:pPr>
      <w:r>
        <w:rPr>
          <w:rFonts w:hint="eastAsia"/>
          <w:color w:val="auto"/>
        </w:rPr>
        <w:t>B</w:t>
      </w:r>
      <w:r>
        <w:rPr>
          <w:color w:val="auto"/>
        </w:rPr>
        <w:t>.4.1 根据影像波段的光谱范围、地物和地形特征等因素，选择能清晰表现地物特征和边界、色彩接近自然真彩色的融合算法。</w:t>
      </w:r>
    </w:p>
    <w:p w14:paraId="1CEF5F50">
      <w:pPr>
        <w:pStyle w:val="23"/>
        <w:spacing w:before="156" w:after="156"/>
        <w:ind w:firstLine="0" w:firstLineChars="0"/>
        <w:rPr>
          <w:rFonts w:hint="eastAsia"/>
          <w:color w:val="auto"/>
        </w:rPr>
      </w:pPr>
      <w:r>
        <w:rPr>
          <w:rFonts w:hint="eastAsia"/>
          <w:color w:val="auto"/>
        </w:rPr>
        <w:t>B</w:t>
      </w:r>
      <w:r>
        <w:rPr>
          <w:color w:val="auto"/>
        </w:rPr>
        <w:t>.4.2 融合影像应无重影、模糊、颜色飘移或沾染等现象。调整全色影像地物反差，突出纹理细节。增强多光谱影像色彩，突出不同地类之间的光谱差异。</w:t>
      </w:r>
    </w:p>
    <w:p w14:paraId="2B7564B8">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w:t>
      </w:r>
      <w:r>
        <w:rPr>
          <w:rFonts w:ascii="黑体" w:hAnsi="黑体" w:eastAsia="黑体" w:cs="黑体"/>
          <w:color w:val="auto"/>
          <w:kern w:val="2"/>
          <w:sz w:val="21"/>
          <w:szCs w:val="21"/>
          <w:lang w:eastAsia="zh-CN"/>
        </w:rPr>
        <w:t>.5 信息增强</w:t>
      </w:r>
    </w:p>
    <w:p w14:paraId="190C5E39">
      <w:pPr>
        <w:pStyle w:val="23"/>
        <w:spacing w:before="156" w:after="156"/>
        <w:rPr>
          <w:rFonts w:hint="eastAsia"/>
          <w:color w:val="auto"/>
        </w:rPr>
      </w:pPr>
      <w:r>
        <w:rPr>
          <w:color w:val="auto"/>
        </w:rPr>
        <w:t>采用线性或非线性拉伸、亮度对比度、色彩平衡、色度、饱和度等方法进行色调调整。处理后的影像要达到灰阶分布具有较大动态范围，纹理清晰，色调均匀，反差适中，色彩接近自然真彩色，可以清晰判别地物类型。</w:t>
      </w:r>
    </w:p>
    <w:p w14:paraId="0F5F70F4">
      <w:pPr>
        <w:pStyle w:val="6"/>
        <w:spacing w:line="560" w:lineRule="exact"/>
        <w:ind w:left="0"/>
        <w:rPr>
          <w:rFonts w:hint="eastAsia" w:ascii="黑体" w:hAnsi="黑体" w:eastAsia="黑体" w:cs="黑体"/>
          <w:color w:val="auto"/>
          <w:kern w:val="2"/>
          <w:sz w:val="21"/>
          <w:szCs w:val="21"/>
          <w:lang w:eastAsia="zh-CN"/>
        </w:rPr>
      </w:pPr>
      <w:r>
        <w:rPr>
          <w:rFonts w:hint="eastAsia" w:ascii="黑体" w:hAnsi="黑体" w:eastAsia="黑体" w:cs="黑体"/>
          <w:color w:val="auto"/>
          <w:kern w:val="2"/>
          <w:sz w:val="21"/>
          <w:szCs w:val="21"/>
          <w:lang w:eastAsia="zh-CN"/>
        </w:rPr>
        <w:t>B</w:t>
      </w:r>
      <w:r>
        <w:rPr>
          <w:rFonts w:ascii="黑体" w:hAnsi="黑体" w:eastAsia="黑体" w:cs="黑体"/>
          <w:color w:val="auto"/>
          <w:kern w:val="2"/>
          <w:sz w:val="21"/>
          <w:szCs w:val="21"/>
          <w:lang w:eastAsia="zh-CN"/>
        </w:rPr>
        <w:t>.6 影像镶嵌</w:t>
      </w:r>
    </w:p>
    <w:p w14:paraId="35881DBC">
      <w:pPr>
        <w:pStyle w:val="23"/>
        <w:spacing w:before="156" w:after="156"/>
        <w:rPr>
          <w:rFonts w:ascii="Times New Roman" w:hAnsi="Times New Roman"/>
          <w:color w:val="auto"/>
          <w:szCs w:val="21"/>
        </w:rPr>
      </w:pPr>
      <w:r>
        <w:rPr>
          <w:color w:val="auto"/>
        </w:rPr>
        <w:t>镶嵌线应尽量选取线状地物或地块边界等明显分界线，镶嵌处无地物错位、模糊、重影和晕边现象，镶嵌时应尽可能保留分辨率高、时相新、云雾量少和质量好的影像。当相邻两景影像时相或质量相差不大时，保持影像纹理和色彩自然过渡；时相差距较大，地物特征差异明显时，保持各自的纹理和色彩，但同一地块内光谱特征保持一致</w:t>
      </w:r>
      <w:r>
        <w:rPr>
          <w:rFonts w:ascii="Times New Roman" w:hAnsi="Times New Roman"/>
          <w:color w:val="auto"/>
          <w:szCs w:val="21"/>
        </w:rPr>
        <w:t>。</w:t>
      </w:r>
    </w:p>
    <w:p w14:paraId="51F502FA">
      <w:pPr>
        <w:rPr>
          <w:rFonts w:ascii="Times New Roman" w:hAnsi="Times New Roman"/>
          <w:color w:val="auto"/>
          <w:szCs w:val="21"/>
        </w:rPr>
      </w:pPr>
      <w:r>
        <w:rPr>
          <w:rFonts w:ascii="Times New Roman" w:hAnsi="Times New Roman"/>
          <w:color w:val="auto"/>
          <w:szCs w:val="21"/>
        </w:rPr>
        <w:br w:type="page"/>
      </w:r>
    </w:p>
    <w:p w14:paraId="5B8DB17B">
      <w:pPr>
        <w:keepNext/>
        <w:keepLines/>
        <w:spacing w:line="240" w:lineRule="exact"/>
        <w:jc w:val="center"/>
        <w:outlineLvl w:val="0"/>
        <w:rPr>
          <w:rFonts w:hint="eastAsia" w:ascii="黑体" w:hAnsi="黑体" w:eastAsia="黑体" w:cs="黑体"/>
          <w:color w:val="auto"/>
          <w:kern w:val="44"/>
          <w:szCs w:val="21"/>
        </w:rPr>
      </w:pPr>
      <w:bookmarkStart w:id="45" w:name="_Toc7129"/>
      <w:r>
        <w:rPr>
          <w:rFonts w:ascii="黑体" w:hAnsi="黑体" w:eastAsia="黑体" w:cs="黑体"/>
          <w:color w:val="auto"/>
          <w:kern w:val="44"/>
          <w:szCs w:val="21"/>
        </w:rPr>
        <w:t>附录C</w:t>
      </w:r>
      <w:bookmarkEnd w:id="45"/>
    </w:p>
    <w:p w14:paraId="40C211C6">
      <w:pPr>
        <w:keepNext/>
        <w:keepLines/>
        <w:spacing w:line="240" w:lineRule="exact"/>
        <w:jc w:val="center"/>
        <w:outlineLvl w:val="0"/>
        <w:rPr>
          <w:rFonts w:hint="eastAsia" w:ascii="黑体" w:hAnsi="黑体" w:eastAsia="黑体" w:cs="黑体"/>
          <w:color w:val="auto"/>
          <w:kern w:val="44"/>
          <w:szCs w:val="21"/>
        </w:rPr>
      </w:pPr>
      <w:bookmarkStart w:id="46" w:name="_Toc7077"/>
      <w:bookmarkStart w:id="47" w:name="_Toc26210"/>
      <w:r>
        <w:rPr>
          <w:rFonts w:ascii="黑体" w:hAnsi="黑体" w:eastAsia="黑体" w:cs="黑体"/>
          <w:color w:val="auto"/>
          <w:kern w:val="44"/>
          <w:szCs w:val="21"/>
        </w:rPr>
        <w:t>（资料性附录）</w:t>
      </w:r>
      <w:bookmarkEnd w:id="46"/>
      <w:bookmarkEnd w:id="47"/>
    </w:p>
    <w:p w14:paraId="61C00FD3">
      <w:pPr>
        <w:keepNext/>
        <w:keepLines/>
        <w:spacing w:line="240" w:lineRule="exact"/>
        <w:jc w:val="center"/>
        <w:outlineLvl w:val="0"/>
        <w:rPr>
          <w:rFonts w:hint="eastAsia" w:ascii="黑体" w:hAnsi="黑体" w:eastAsia="黑体" w:cs="黑体"/>
          <w:color w:val="auto"/>
          <w:kern w:val="44"/>
          <w:szCs w:val="21"/>
        </w:rPr>
      </w:pPr>
      <w:bookmarkStart w:id="48" w:name="_Toc20103"/>
      <w:bookmarkStart w:id="49" w:name="_Toc26601"/>
      <w:r>
        <w:rPr>
          <w:rFonts w:ascii="黑体" w:hAnsi="黑体" w:eastAsia="黑体" w:cs="黑体"/>
          <w:color w:val="auto"/>
          <w:kern w:val="44"/>
          <w:szCs w:val="21"/>
        </w:rPr>
        <w:t>水土保持工程遥感监管措施矢量图属性表结构</w:t>
      </w:r>
      <w:bookmarkEnd w:id="48"/>
      <w:bookmarkEnd w:id="49"/>
    </w:p>
    <w:p w14:paraId="248F7299">
      <w:pPr>
        <w:pStyle w:val="23"/>
        <w:spacing w:before="280" w:beforeLines="90" w:after="156"/>
        <w:ind w:firstLine="0" w:firstLineChars="0"/>
        <w:rPr>
          <w:rFonts w:ascii="Times New Roman" w:hAnsi="Times New Roman" w:eastAsia="黑体"/>
          <w:color w:val="auto"/>
          <w:kern w:val="44"/>
          <w:szCs w:val="21"/>
        </w:rPr>
      </w:pPr>
      <w:r>
        <w:rPr>
          <w:rFonts w:ascii="黑体" w:hAnsi="黑体" w:eastAsia="黑体" w:cs="黑体"/>
          <w:color w:val="auto"/>
        </w:rPr>
        <w:t>水土保持工程遥感监管措施矢量图包括点状措施、线状措施、面状措施矢量图，对应的矢量图属性表结构见表C.1至表C.3。</w:t>
      </w:r>
    </w:p>
    <w:p w14:paraId="7418A701">
      <w:pPr>
        <w:pStyle w:val="23"/>
        <w:spacing w:before="0" w:beforeLines="0" w:after="0" w:afterLines="0"/>
        <w:ind w:firstLine="0" w:firstLineChars="0"/>
        <w:jc w:val="center"/>
        <w:rPr>
          <w:rFonts w:hint="eastAsia" w:ascii="黑体" w:hAnsi="黑体" w:eastAsia="黑体" w:cs="黑体"/>
          <w:color w:val="auto"/>
        </w:rPr>
      </w:pPr>
      <w:r>
        <w:rPr>
          <w:rFonts w:ascii="黑体" w:hAnsi="黑体" w:eastAsia="黑体" w:cs="黑体"/>
          <w:color w:val="auto"/>
        </w:rPr>
        <w:t>表C.1</w:t>
      </w:r>
      <w:r>
        <w:rPr>
          <w:rFonts w:hint="eastAsia" w:ascii="黑体" w:hAnsi="黑体" w:eastAsia="黑体" w:cs="黑体"/>
          <w:color w:val="auto"/>
        </w:rPr>
        <w:t xml:space="preserve">  </w:t>
      </w:r>
      <w:r>
        <w:rPr>
          <w:rFonts w:ascii="黑体" w:hAnsi="黑体" w:eastAsia="黑体" w:cs="黑体"/>
          <w:color w:val="auto"/>
        </w:rPr>
        <w:t>点状水土保持措施矢量图属性表结构</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8"/>
        <w:gridCol w:w="2111"/>
        <w:gridCol w:w="1825"/>
        <w:gridCol w:w="1777"/>
        <w:gridCol w:w="1257"/>
        <w:gridCol w:w="1510"/>
      </w:tblGrid>
      <w:tr w14:paraId="72620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blHeader/>
          <w:jc w:val="center"/>
        </w:trPr>
        <w:tc>
          <w:tcPr>
            <w:tcW w:w="818" w:type="dxa"/>
            <w:vAlign w:val="center"/>
          </w:tcPr>
          <w:p w14:paraId="65F6E4B5">
            <w:pPr>
              <w:pStyle w:val="22"/>
              <w:spacing w:line="264" w:lineRule="exact"/>
              <w:ind w:left="200" w:right="19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序号</w:t>
            </w:r>
          </w:p>
        </w:tc>
        <w:tc>
          <w:tcPr>
            <w:tcW w:w="2111" w:type="dxa"/>
            <w:vAlign w:val="center"/>
          </w:tcPr>
          <w:p w14:paraId="684C8BBA">
            <w:pPr>
              <w:pStyle w:val="22"/>
              <w:spacing w:line="264"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字段名称</w:t>
            </w:r>
          </w:p>
        </w:tc>
        <w:tc>
          <w:tcPr>
            <w:tcW w:w="1825" w:type="dxa"/>
            <w:vAlign w:val="center"/>
          </w:tcPr>
          <w:p w14:paraId="5DE9B6C0">
            <w:pPr>
              <w:pStyle w:val="22"/>
              <w:spacing w:line="264" w:lineRule="exact"/>
              <w:ind w:left="302" w:right="29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字段标识</w:t>
            </w:r>
          </w:p>
        </w:tc>
        <w:tc>
          <w:tcPr>
            <w:tcW w:w="1777" w:type="dxa"/>
            <w:vAlign w:val="center"/>
          </w:tcPr>
          <w:p w14:paraId="7D5A8E18">
            <w:pPr>
              <w:pStyle w:val="22"/>
              <w:spacing w:line="264" w:lineRule="exact"/>
              <w:ind w:left="302" w:right="28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类型</w:t>
            </w:r>
          </w:p>
        </w:tc>
        <w:tc>
          <w:tcPr>
            <w:tcW w:w="1257" w:type="dxa"/>
            <w:vAlign w:val="center"/>
          </w:tcPr>
          <w:p w14:paraId="59A3EFFE">
            <w:pPr>
              <w:pStyle w:val="22"/>
              <w:spacing w:line="264" w:lineRule="exact"/>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长度</w:t>
            </w:r>
          </w:p>
        </w:tc>
        <w:tc>
          <w:tcPr>
            <w:tcW w:w="1510" w:type="dxa"/>
            <w:vAlign w:val="center"/>
          </w:tcPr>
          <w:p w14:paraId="229DC043">
            <w:pPr>
              <w:pStyle w:val="22"/>
              <w:spacing w:line="264" w:lineRule="exact"/>
              <w:ind w:left="168" w:right="15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计量单位</w:t>
            </w:r>
          </w:p>
        </w:tc>
      </w:tr>
      <w:tr w14:paraId="47476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0738DBD6">
            <w:pPr>
              <w:pStyle w:val="22"/>
              <w:spacing w:before="20"/>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w:t>
            </w:r>
          </w:p>
        </w:tc>
        <w:tc>
          <w:tcPr>
            <w:tcW w:w="2111" w:type="dxa"/>
            <w:vAlign w:val="center"/>
          </w:tcPr>
          <w:p w14:paraId="2C33778F">
            <w:pPr>
              <w:pStyle w:val="22"/>
              <w:spacing w:line="262"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图斑编码</w:t>
            </w:r>
          </w:p>
        </w:tc>
        <w:tc>
          <w:tcPr>
            <w:tcW w:w="1825" w:type="dxa"/>
            <w:vAlign w:val="center"/>
          </w:tcPr>
          <w:p w14:paraId="64C04C3F">
            <w:pPr>
              <w:pStyle w:val="22"/>
              <w:spacing w:before="20"/>
              <w:ind w:left="302" w:right="2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TBBM</w:t>
            </w:r>
          </w:p>
        </w:tc>
        <w:tc>
          <w:tcPr>
            <w:tcW w:w="1777" w:type="dxa"/>
            <w:vAlign w:val="center"/>
          </w:tcPr>
          <w:p w14:paraId="43ECA724">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5C6BB7C0">
            <w:pPr>
              <w:pStyle w:val="22"/>
              <w:spacing w:before="20"/>
              <w:ind w:left="1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1510" w:type="dxa"/>
            <w:vAlign w:val="center"/>
          </w:tcPr>
          <w:p w14:paraId="06BBD3F6">
            <w:pPr>
              <w:pStyle w:val="22"/>
              <w:jc w:val="center"/>
              <w:rPr>
                <w:rFonts w:hint="eastAsia" w:ascii="宋体" w:hAnsi="宋体" w:eastAsia="宋体" w:cs="宋体"/>
                <w:bCs/>
                <w:color w:val="auto"/>
                <w:sz w:val="18"/>
                <w:szCs w:val="18"/>
              </w:rPr>
            </w:pPr>
          </w:p>
        </w:tc>
      </w:tr>
      <w:tr w14:paraId="798258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021C14EB">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2111" w:type="dxa"/>
            <w:vAlign w:val="center"/>
          </w:tcPr>
          <w:p w14:paraId="5B0EC312">
            <w:pPr>
              <w:pStyle w:val="22"/>
              <w:spacing w:line="264"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措施名称</w:t>
            </w:r>
          </w:p>
        </w:tc>
        <w:tc>
          <w:tcPr>
            <w:tcW w:w="1825" w:type="dxa"/>
            <w:vAlign w:val="center"/>
          </w:tcPr>
          <w:p w14:paraId="7EC7A9B5">
            <w:pPr>
              <w:pStyle w:val="22"/>
              <w:spacing w:before="22"/>
              <w:ind w:left="302" w:right="29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CSMC</w:t>
            </w:r>
          </w:p>
        </w:tc>
        <w:tc>
          <w:tcPr>
            <w:tcW w:w="1777" w:type="dxa"/>
            <w:vAlign w:val="center"/>
          </w:tcPr>
          <w:p w14:paraId="71594A0C">
            <w:pPr>
              <w:pStyle w:val="22"/>
              <w:spacing w:line="264"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2C669E0E">
            <w:pPr>
              <w:pStyle w:val="22"/>
              <w:spacing w:before="22"/>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30</w:t>
            </w:r>
          </w:p>
        </w:tc>
        <w:tc>
          <w:tcPr>
            <w:tcW w:w="1510" w:type="dxa"/>
            <w:vAlign w:val="center"/>
          </w:tcPr>
          <w:p w14:paraId="1D7E4B77">
            <w:pPr>
              <w:pStyle w:val="22"/>
              <w:jc w:val="center"/>
              <w:rPr>
                <w:rFonts w:hint="eastAsia" w:ascii="宋体" w:hAnsi="宋体" w:eastAsia="宋体" w:cs="宋体"/>
                <w:bCs/>
                <w:color w:val="auto"/>
                <w:sz w:val="18"/>
                <w:szCs w:val="18"/>
              </w:rPr>
            </w:pPr>
          </w:p>
        </w:tc>
      </w:tr>
      <w:tr w14:paraId="53CB3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32BE4B09">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w:t>
            </w:r>
          </w:p>
        </w:tc>
        <w:tc>
          <w:tcPr>
            <w:tcW w:w="2111" w:type="dxa"/>
            <w:vAlign w:val="center"/>
          </w:tcPr>
          <w:p w14:paraId="482B3D61">
            <w:pPr>
              <w:pStyle w:val="22"/>
              <w:spacing w:line="262"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措施代码</w:t>
            </w:r>
          </w:p>
        </w:tc>
        <w:tc>
          <w:tcPr>
            <w:tcW w:w="1825" w:type="dxa"/>
            <w:vAlign w:val="center"/>
          </w:tcPr>
          <w:p w14:paraId="3E5B73F1">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CSDM</w:t>
            </w:r>
          </w:p>
        </w:tc>
        <w:tc>
          <w:tcPr>
            <w:tcW w:w="1777" w:type="dxa"/>
            <w:vAlign w:val="center"/>
          </w:tcPr>
          <w:p w14:paraId="70669C76">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0CD9CC0E">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1510" w:type="dxa"/>
            <w:vAlign w:val="center"/>
          </w:tcPr>
          <w:p w14:paraId="46FDF7B7">
            <w:pPr>
              <w:pStyle w:val="22"/>
              <w:jc w:val="center"/>
              <w:rPr>
                <w:rFonts w:hint="eastAsia" w:ascii="宋体" w:hAnsi="宋体" w:eastAsia="宋体" w:cs="宋体"/>
                <w:bCs/>
                <w:color w:val="auto"/>
                <w:sz w:val="18"/>
                <w:szCs w:val="18"/>
              </w:rPr>
            </w:pPr>
          </w:p>
        </w:tc>
      </w:tr>
      <w:tr w14:paraId="1CEC9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1E8D77CD">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4</w:t>
            </w:r>
          </w:p>
        </w:tc>
        <w:tc>
          <w:tcPr>
            <w:tcW w:w="2111" w:type="dxa"/>
            <w:vAlign w:val="center"/>
          </w:tcPr>
          <w:p w14:paraId="7407D3EC">
            <w:pPr>
              <w:pStyle w:val="22"/>
              <w:spacing w:line="264"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设计措施数量</w:t>
            </w:r>
          </w:p>
        </w:tc>
        <w:tc>
          <w:tcPr>
            <w:tcW w:w="1825" w:type="dxa"/>
            <w:vAlign w:val="center"/>
          </w:tcPr>
          <w:p w14:paraId="5EBA2A2C">
            <w:pPr>
              <w:pStyle w:val="22"/>
              <w:spacing w:before="22"/>
              <w:ind w:left="302" w:right="289"/>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CSSL</w:t>
            </w:r>
          </w:p>
        </w:tc>
        <w:tc>
          <w:tcPr>
            <w:tcW w:w="1777" w:type="dxa"/>
            <w:vAlign w:val="center"/>
          </w:tcPr>
          <w:p w14:paraId="2DD594E2">
            <w:pPr>
              <w:pStyle w:val="22"/>
              <w:spacing w:line="264" w:lineRule="exact"/>
              <w:ind w:left="302" w:right="28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1257" w:type="dxa"/>
            <w:vAlign w:val="center"/>
          </w:tcPr>
          <w:p w14:paraId="4F8F241B">
            <w:pPr>
              <w:pStyle w:val="22"/>
              <w:spacing w:before="22"/>
              <w:ind w:left="1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1510" w:type="dxa"/>
            <w:vAlign w:val="center"/>
          </w:tcPr>
          <w:p w14:paraId="33DBB866">
            <w:pPr>
              <w:pStyle w:val="22"/>
              <w:spacing w:line="264" w:lineRule="exact"/>
              <w:ind w:left="168" w:right="15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个、处、座、套</w:t>
            </w:r>
          </w:p>
        </w:tc>
      </w:tr>
      <w:tr w14:paraId="7A47F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3366154A">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5</w:t>
            </w:r>
          </w:p>
        </w:tc>
        <w:tc>
          <w:tcPr>
            <w:tcW w:w="2111" w:type="dxa"/>
            <w:vAlign w:val="center"/>
          </w:tcPr>
          <w:p w14:paraId="56C632C7">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w:t>
            </w:r>
          </w:p>
        </w:tc>
        <w:tc>
          <w:tcPr>
            <w:tcW w:w="1825" w:type="dxa"/>
            <w:vAlign w:val="center"/>
          </w:tcPr>
          <w:p w14:paraId="7BF7BE9B">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JGJG</w:t>
            </w:r>
          </w:p>
        </w:tc>
        <w:tc>
          <w:tcPr>
            <w:tcW w:w="1777" w:type="dxa"/>
            <w:vAlign w:val="center"/>
          </w:tcPr>
          <w:p w14:paraId="3411D0C9">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67CEAEBA">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1510" w:type="dxa"/>
            <w:vAlign w:val="center"/>
          </w:tcPr>
          <w:p w14:paraId="17D76DC4">
            <w:pPr>
              <w:pStyle w:val="22"/>
              <w:jc w:val="center"/>
              <w:rPr>
                <w:rFonts w:hint="eastAsia" w:ascii="宋体" w:hAnsi="宋体" w:eastAsia="宋体" w:cs="宋体"/>
                <w:bCs/>
                <w:color w:val="auto"/>
                <w:sz w:val="18"/>
                <w:szCs w:val="18"/>
              </w:rPr>
            </w:pPr>
          </w:p>
        </w:tc>
      </w:tr>
      <w:tr w14:paraId="46273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77AE888C">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2111" w:type="dxa"/>
            <w:vAlign w:val="center"/>
          </w:tcPr>
          <w:p w14:paraId="62EA6670">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设计监管结果说明</w:t>
            </w:r>
          </w:p>
        </w:tc>
        <w:tc>
          <w:tcPr>
            <w:tcW w:w="1825" w:type="dxa"/>
            <w:vAlign w:val="center"/>
          </w:tcPr>
          <w:p w14:paraId="49FCF031">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lang w:val="en-US" w:eastAsia="zh-CN"/>
              </w:rPr>
              <w:t>SJ</w:t>
            </w:r>
            <w:r>
              <w:rPr>
                <w:rFonts w:hint="eastAsia" w:ascii="宋体" w:hAnsi="宋体" w:eastAsia="宋体" w:cs="宋体"/>
                <w:bCs/>
                <w:color w:val="auto"/>
                <w:sz w:val="18"/>
                <w:szCs w:val="18"/>
              </w:rPr>
              <w:t>SM</w:t>
            </w:r>
          </w:p>
        </w:tc>
        <w:tc>
          <w:tcPr>
            <w:tcW w:w="1777" w:type="dxa"/>
            <w:vAlign w:val="center"/>
          </w:tcPr>
          <w:p w14:paraId="0D83AA6E">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1B47BD48">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510" w:type="dxa"/>
            <w:vAlign w:val="center"/>
          </w:tcPr>
          <w:p w14:paraId="5B15A8C2">
            <w:pPr>
              <w:pStyle w:val="22"/>
              <w:jc w:val="center"/>
              <w:rPr>
                <w:rFonts w:hint="eastAsia" w:ascii="宋体" w:hAnsi="宋体" w:eastAsia="宋体" w:cs="宋体"/>
                <w:bCs/>
                <w:color w:val="auto"/>
                <w:sz w:val="18"/>
                <w:szCs w:val="18"/>
              </w:rPr>
            </w:pPr>
          </w:p>
        </w:tc>
      </w:tr>
      <w:tr w14:paraId="33FAF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5BD59CA1">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7</w:t>
            </w:r>
          </w:p>
        </w:tc>
        <w:tc>
          <w:tcPr>
            <w:tcW w:w="2111" w:type="dxa"/>
            <w:vAlign w:val="center"/>
          </w:tcPr>
          <w:p w14:paraId="75CAB261">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建设措施完成数量</w:t>
            </w:r>
          </w:p>
        </w:tc>
        <w:tc>
          <w:tcPr>
            <w:tcW w:w="1825" w:type="dxa"/>
            <w:vAlign w:val="center"/>
          </w:tcPr>
          <w:p w14:paraId="2F6E65BC">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JSSL</w:t>
            </w:r>
          </w:p>
        </w:tc>
        <w:tc>
          <w:tcPr>
            <w:tcW w:w="1777" w:type="dxa"/>
            <w:vAlign w:val="center"/>
          </w:tcPr>
          <w:p w14:paraId="20AB3A8E">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1257" w:type="dxa"/>
            <w:vAlign w:val="center"/>
          </w:tcPr>
          <w:p w14:paraId="64D088E0">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1510" w:type="dxa"/>
            <w:vAlign w:val="center"/>
          </w:tcPr>
          <w:p w14:paraId="102A1E8B">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个、处、座、套</w:t>
            </w:r>
          </w:p>
        </w:tc>
      </w:tr>
      <w:tr w14:paraId="24643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4BF2E5B6">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8</w:t>
            </w:r>
          </w:p>
        </w:tc>
        <w:tc>
          <w:tcPr>
            <w:tcW w:w="2111" w:type="dxa"/>
            <w:vAlign w:val="center"/>
          </w:tcPr>
          <w:p w14:paraId="479170DF">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建设结果说明</w:t>
            </w:r>
          </w:p>
        </w:tc>
        <w:tc>
          <w:tcPr>
            <w:tcW w:w="1825" w:type="dxa"/>
            <w:vAlign w:val="center"/>
          </w:tcPr>
          <w:p w14:paraId="2911A552">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JSSM</w:t>
            </w:r>
          </w:p>
        </w:tc>
        <w:tc>
          <w:tcPr>
            <w:tcW w:w="1777" w:type="dxa"/>
            <w:vAlign w:val="center"/>
          </w:tcPr>
          <w:p w14:paraId="605893FA">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20304B46">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510" w:type="dxa"/>
            <w:vAlign w:val="center"/>
          </w:tcPr>
          <w:p w14:paraId="2D28EA3C">
            <w:pPr>
              <w:pStyle w:val="22"/>
              <w:jc w:val="center"/>
              <w:rPr>
                <w:rFonts w:hint="eastAsia" w:ascii="宋体" w:hAnsi="宋体" w:eastAsia="宋体" w:cs="宋体"/>
                <w:bCs/>
                <w:color w:val="auto"/>
                <w:sz w:val="18"/>
                <w:szCs w:val="18"/>
              </w:rPr>
            </w:pPr>
          </w:p>
        </w:tc>
      </w:tr>
      <w:tr w14:paraId="27125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420582D2">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9</w:t>
            </w:r>
          </w:p>
        </w:tc>
        <w:tc>
          <w:tcPr>
            <w:tcW w:w="2111" w:type="dxa"/>
            <w:vAlign w:val="center"/>
          </w:tcPr>
          <w:p w14:paraId="2FD48C40">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竣工措施完成数量</w:t>
            </w:r>
          </w:p>
        </w:tc>
        <w:tc>
          <w:tcPr>
            <w:tcW w:w="1825" w:type="dxa"/>
            <w:vAlign w:val="center"/>
          </w:tcPr>
          <w:p w14:paraId="7E72D26C">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JGSL</w:t>
            </w:r>
          </w:p>
        </w:tc>
        <w:tc>
          <w:tcPr>
            <w:tcW w:w="1777" w:type="dxa"/>
            <w:vAlign w:val="center"/>
          </w:tcPr>
          <w:p w14:paraId="1217DFD7">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1257" w:type="dxa"/>
            <w:vAlign w:val="center"/>
          </w:tcPr>
          <w:p w14:paraId="7A5CD656">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1510" w:type="dxa"/>
            <w:vAlign w:val="center"/>
          </w:tcPr>
          <w:p w14:paraId="6A8F2F94">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个、处、座、套</w:t>
            </w:r>
          </w:p>
        </w:tc>
      </w:tr>
      <w:tr w14:paraId="788F7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18" w:type="dxa"/>
            <w:vAlign w:val="center"/>
          </w:tcPr>
          <w:p w14:paraId="3F877D90">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w:t>
            </w:r>
          </w:p>
        </w:tc>
        <w:tc>
          <w:tcPr>
            <w:tcW w:w="2111" w:type="dxa"/>
            <w:vAlign w:val="center"/>
          </w:tcPr>
          <w:p w14:paraId="3F85EE2D">
            <w:pPr>
              <w:pStyle w:val="22"/>
              <w:spacing w:line="262" w:lineRule="exact"/>
              <w:ind w:left="299" w:right="2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竣工结果说明</w:t>
            </w:r>
          </w:p>
        </w:tc>
        <w:tc>
          <w:tcPr>
            <w:tcW w:w="1825" w:type="dxa"/>
            <w:vAlign w:val="center"/>
          </w:tcPr>
          <w:p w14:paraId="0162EEB6">
            <w:pPr>
              <w:pStyle w:val="22"/>
              <w:spacing w:before="19"/>
              <w:ind w:left="302"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JGSM</w:t>
            </w:r>
          </w:p>
        </w:tc>
        <w:tc>
          <w:tcPr>
            <w:tcW w:w="1777" w:type="dxa"/>
            <w:vAlign w:val="center"/>
          </w:tcPr>
          <w:p w14:paraId="7BE1A7B5">
            <w:pPr>
              <w:pStyle w:val="22"/>
              <w:spacing w:line="262" w:lineRule="exact"/>
              <w:ind w:left="302" w:right="28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1257" w:type="dxa"/>
            <w:vAlign w:val="center"/>
          </w:tcPr>
          <w:p w14:paraId="2FC5A6BA">
            <w:pPr>
              <w:pStyle w:val="22"/>
              <w:spacing w:before="19"/>
              <w:ind w:left="333" w:right="32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510" w:type="dxa"/>
            <w:vAlign w:val="center"/>
          </w:tcPr>
          <w:p w14:paraId="2F602411">
            <w:pPr>
              <w:pStyle w:val="22"/>
              <w:jc w:val="center"/>
              <w:rPr>
                <w:rFonts w:hint="eastAsia" w:ascii="宋体" w:hAnsi="宋体" w:eastAsia="宋体" w:cs="宋体"/>
                <w:bCs/>
                <w:color w:val="auto"/>
                <w:sz w:val="18"/>
                <w:szCs w:val="18"/>
              </w:rPr>
            </w:pPr>
          </w:p>
        </w:tc>
      </w:tr>
    </w:tbl>
    <w:p w14:paraId="077C4FA5">
      <w:pPr>
        <w:pStyle w:val="23"/>
        <w:keepNext w:val="0"/>
        <w:keepLines w:val="0"/>
        <w:pageBreakBefore w:val="0"/>
        <w:widowControl w:val="0"/>
        <w:kinsoku/>
        <w:wordWrap/>
        <w:overflowPunct/>
        <w:topLinePunct w:val="0"/>
        <w:autoSpaceDE/>
        <w:autoSpaceDN/>
        <w:bidi w:val="0"/>
        <w:adjustRightInd/>
        <w:snapToGrid/>
        <w:spacing w:before="156" w:after="156"/>
        <w:ind w:firstLine="0" w:firstLineChars="0"/>
        <w:textAlignment w:val="auto"/>
        <w:rPr>
          <w:rFonts w:ascii="Times New Roman" w:hAnsi="Times New Roman"/>
          <w:b/>
          <w:bCs/>
          <w:color w:val="auto"/>
          <w:sz w:val="18"/>
          <w:szCs w:val="18"/>
        </w:rPr>
      </w:pPr>
      <w:r>
        <w:rPr>
          <w:rFonts w:ascii="Times New Roman" w:hAnsi="Times New Roman" w:eastAsia="黑体"/>
          <w:color w:val="auto"/>
          <w:spacing w:val="-4"/>
          <w:sz w:val="18"/>
          <w:szCs w:val="18"/>
        </w:rPr>
        <w:t>注：</w:t>
      </w:r>
      <w:r>
        <w:rPr>
          <w:rFonts w:hint="eastAsia" w:cs="宋体"/>
          <w:color w:val="auto"/>
          <w:spacing w:val="-4"/>
          <w:sz w:val="18"/>
          <w:szCs w:val="18"/>
        </w:rPr>
        <w:t>点状水土保持措施矢量图基于水土保持措施设计矢量图构建，图斑编码为</w:t>
      </w:r>
      <w:r>
        <w:rPr>
          <w:rFonts w:hint="eastAsia" w:cs="宋体"/>
          <w:color w:val="auto"/>
          <w:sz w:val="18"/>
        </w:rPr>
        <w:t>措施设计矢量图中标注的措施图斑编码</w:t>
      </w:r>
      <w:r>
        <w:rPr>
          <w:rFonts w:hint="eastAsia" w:cs="宋体"/>
          <w:color w:val="auto"/>
          <w:spacing w:val="-4"/>
          <w:sz w:val="18"/>
          <w:szCs w:val="18"/>
        </w:rPr>
        <w:t>；措施名称和措施代码参照附录A中三级水土保持措施名称和代码；措施数量指点状措施的个（处、座、套）数，同类型点状措施互相距离在20 m范围内，可以一个示意点代表20 m范围内的点状措施，并在措施数量属性字段标明该示意点代表的点状措施总数；设计监管结果为合格或不合格；建设措施完成数量在进行工程建设监管时填写，为表2中的完成措施数量；竣工措施完成数量在进行工程竣工监管时填写，为表3中的完成措施数量；设计监管结果说明、建设结果说明、竣工结果说明为必要的内容注解。</w:t>
      </w:r>
    </w:p>
    <w:p w14:paraId="35F1089A">
      <w:pPr>
        <w:pStyle w:val="23"/>
        <w:spacing w:before="0" w:beforeLines="0" w:after="0" w:afterLines="0"/>
        <w:ind w:firstLine="0" w:firstLineChars="0"/>
        <w:jc w:val="center"/>
        <w:rPr>
          <w:rFonts w:hint="eastAsia" w:ascii="黑体" w:hAnsi="黑体" w:eastAsia="黑体" w:cs="黑体"/>
          <w:color w:val="auto"/>
        </w:rPr>
      </w:pPr>
      <w:r>
        <w:rPr>
          <w:rFonts w:ascii="黑体" w:hAnsi="黑体" w:eastAsia="黑体" w:cs="黑体"/>
          <w:color w:val="auto"/>
        </w:rPr>
        <w:t>表C.2</w:t>
      </w:r>
      <w:r>
        <w:rPr>
          <w:rFonts w:hint="eastAsia" w:ascii="黑体" w:hAnsi="黑体" w:eastAsia="黑体" w:cs="黑体"/>
          <w:color w:val="auto"/>
        </w:rPr>
        <w:t xml:space="preserve">  </w:t>
      </w:r>
      <w:r>
        <w:rPr>
          <w:rFonts w:ascii="黑体" w:hAnsi="黑体" w:eastAsia="黑体" w:cs="黑体"/>
          <w:color w:val="auto"/>
        </w:rPr>
        <w:t>线状水土保持措施矢量图属性表结构</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2085"/>
        <w:gridCol w:w="1080"/>
        <w:gridCol w:w="1260"/>
        <w:gridCol w:w="2805"/>
        <w:gridCol w:w="1204"/>
      </w:tblGrid>
      <w:tr w14:paraId="03DDC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6C36D161">
            <w:pPr>
              <w:pStyle w:val="22"/>
              <w:spacing w:line="264" w:lineRule="exact"/>
              <w:ind w:left="95" w:right="91"/>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序号</w:t>
            </w:r>
          </w:p>
        </w:tc>
        <w:tc>
          <w:tcPr>
            <w:tcW w:w="2085" w:type="dxa"/>
            <w:vAlign w:val="center"/>
          </w:tcPr>
          <w:p w14:paraId="0B604599">
            <w:pPr>
              <w:pStyle w:val="22"/>
              <w:spacing w:line="264"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字段名称</w:t>
            </w:r>
          </w:p>
        </w:tc>
        <w:tc>
          <w:tcPr>
            <w:tcW w:w="1080" w:type="dxa"/>
            <w:vAlign w:val="center"/>
          </w:tcPr>
          <w:p w14:paraId="2147BE01">
            <w:pPr>
              <w:pStyle w:val="22"/>
              <w:spacing w:line="264" w:lineRule="exact"/>
              <w:ind w:left="178"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字段标识</w:t>
            </w:r>
          </w:p>
        </w:tc>
        <w:tc>
          <w:tcPr>
            <w:tcW w:w="1260" w:type="dxa"/>
            <w:vAlign w:val="center"/>
          </w:tcPr>
          <w:p w14:paraId="1A959E8B">
            <w:pPr>
              <w:pStyle w:val="22"/>
              <w:spacing w:line="264" w:lineRule="exact"/>
              <w:ind w:left="110"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类型</w:t>
            </w:r>
          </w:p>
        </w:tc>
        <w:tc>
          <w:tcPr>
            <w:tcW w:w="2805" w:type="dxa"/>
            <w:vAlign w:val="center"/>
          </w:tcPr>
          <w:p w14:paraId="2D837297">
            <w:pPr>
              <w:pStyle w:val="22"/>
              <w:spacing w:line="264" w:lineRule="exact"/>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长度</w:t>
            </w:r>
          </w:p>
        </w:tc>
        <w:tc>
          <w:tcPr>
            <w:tcW w:w="1204" w:type="dxa"/>
            <w:vAlign w:val="center"/>
          </w:tcPr>
          <w:p w14:paraId="49A724F7">
            <w:pPr>
              <w:pStyle w:val="22"/>
              <w:spacing w:line="264" w:lineRule="exact"/>
              <w:ind w:left="132" w:right="12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计量单位</w:t>
            </w:r>
          </w:p>
        </w:tc>
      </w:tr>
      <w:tr w14:paraId="2AB41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6E2F57CB">
            <w:pPr>
              <w:pStyle w:val="22"/>
              <w:spacing w:before="20"/>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w:t>
            </w:r>
          </w:p>
        </w:tc>
        <w:tc>
          <w:tcPr>
            <w:tcW w:w="2085" w:type="dxa"/>
            <w:vAlign w:val="center"/>
          </w:tcPr>
          <w:p w14:paraId="63304746">
            <w:pPr>
              <w:pStyle w:val="22"/>
              <w:spacing w:line="262" w:lineRule="exact"/>
              <w:ind w:left="176"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图斑编码</w:t>
            </w:r>
          </w:p>
        </w:tc>
        <w:tc>
          <w:tcPr>
            <w:tcW w:w="1080" w:type="dxa"/>
            <w:vAlign w:val="center"/>
          </w:tcPr>
          <w:p w14:paraId="1E8FD5CE">
            <w:pPr>
              <w:pStyle w:val="22"/>
              <w:spacing w:before="20"/>
              <w:ind w:left="177"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TBBM</w:t>
            </w:r>
          </w:p>
        </w:tc>
        <w:tc>
          <w:tcPr>
            <w:tcW w:w="1260" w:type="dxa"/>
            <w:vAlign w:val="center"/>
          </w:tcPr>
          <w:p w14:paraId="0DC113EE">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4F5678E2">
            <w:pPr>
              <w:pStyle w:val="22"/>
              <w:spacing w:before="20"/>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1204" w:type="dxa"/>
            <w:vAlign w:val="center"/>
          </w:tcPr>
          <w:p w14:paraId="56AA7D4E">
            <w:pPr>
              <w:pStyle w:val="22"/>
              <w:jc w:val="center"/>
              <w:rPr>
                <w:rFonts w:hint="eastAsia" w:ascii="宋体" w:hAnsi="宋体" w:eastAsia="宋体" w:cs="宋体"/>
                <w:bCs/>
                <w:color w:val="auto"/>
                <w:sz w:val="18"/>
                <w:szCs w:val="18"/>
              </w:rPr>
            </w:pPr>
          </w:p>
        </w:tc>
      </w:tr>
      <w:tr w14:paraId="70D9F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463F4454">
            <w:pPr>
              <w:pStyle w:val="22"/>
              <w:spacing w:before="22"/>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2085" w:type="dxa"/>
            <w:vAlign w:val="center"/>
          </w:tcPr>
          <w:p w14:paraId="3DA93C08">
            <w:pPr>
              <w:pStyle w:val="22"/>
              <w:spacing w:line="264" w:lineRule="exact"/>
              <w:ind w:left="176"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措施名称</w:t>
            </w:r>
          </w:p>
        </w:tc>
        <w:tc>
          <w:tcPr>
            <w:tcW w:w="1080" w:type="dxa"/>
            <w:vAlign w:val="center"/>
          </w:tcPr>
          <w:p w14:paraId="113E164D">
            <w:pPr>
              <w:pStyle w:val="22"/>
              <w:spacing w:before="22"/>
              <w:ind w:left="178"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CSMC</w:t>
            </w:r>
          </w:p>
        </w:tc>
        <w:tc>
          <w:tcPr>
            <w:tcW w:w="1260" w:type="dxa"/>
            <w:vAlign w:val="center"/>
          </w:tcPr>
          <w:p w14:paraId="14ED682A">
            <w:pPr>
              <w:pStyle w:val="22"/>
              <w:spacing w:line="264"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6F9B2689">
            <w:pPr>
              <w:pStyle w:val="22"/>
              <w:spacing w:before="22"/>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30</w:t>
            </w:r>
          </w:p>
        </w:tc>
        <w:tc>
          <w:tcPr>
            <w:tcW w:w="1204" w:type="dxa"/>
            <w:vAlign w:val="center"/>
          </w:tcPr>
          <w:p w14:paraId="58059E2A">
            <w:pPr>
              <w:pStyle w:val="22"/>
              <w:jc w:val="center"/>
              <w:rPr>
                <w:rFonts w:hint="eastAsia" w:ascii="宋体" w:hAnsi="宋体" w:eastAsia="宋体" w:cs="宋体"/>
                <w:bCs/>
                <w:color w:val="auto"/>
                <w:sz w:val="18"/>
                <w:szCs w:val="18"/>
              </w:rPr>
            </w:pPr>
          </w:p>
        </w:tc>
      </w:tr>
      <w:tr w14:paraId="3ABE30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7345ECA7">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w:t>
            </w:r>
          </w:p>
        </w:tc>
        <w:tc>
          <w:tcPr>
            <w:tcW w:w="2085" w:type="dxa"/>
            <w:vAlign w:val="center"/>
          </w:tcPr>
          <w:p w14:paraId="08856772">
            <w:pPr>
              <w:pStyle w:val="22"/>
              <w:spacing w:line="262" w:lineRule="exact"/>
              <w:ind w:left="176"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措施代码</w:t>
            </w:r>
          </w:p>
        </w:tc>
        <w:tc>
          <w:tcPr>
            <w:tcW w:w="1080" w:type="dxa"/>
            <w:vAlign w:val="center"/>
          </w:tcPr>
          <w:p w14:paraId="590652F7">
            <w:pPr>
              <w:pStyle w:val="22"/>
              <w:spacing w:before="19"/>
              <w:ind w:left="176"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CSDM</w:t>
            </w:r>
          </w:p>
        </w:tc>
        <w:tc>
          <w:tcPr>
            <w:tcW w:w="1260" w:type="dxa"/>
            <w:vAlign w:val="center"/>
          </w:tcPr>
          <w:p w14:paraId="2B869D03">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33959D0E">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1204" w:type="dxa"/>
            <w:vAlign w:val="center"/>
          </w:tcPr>
          <w:p w14:paraId="3DCF6FC8">
            <w:pPr>
              <w:pStyle w:val="22"/>
              <w:jc w:val="center"/>
              <w:rPr>
                <w:rFonts w:hint="eastAsia" w:ascii="宋体" w:hAnsi="宋体" w:eastAsia="宋体" w:cs="宋体"/>
                <w:bCs/>
                <w:color w:val="auto"/>
                <w:sz w:val="18"/>
                <w:szCs w:val="18"/>
              </w:rPr>
            </w:pPr>
          </w:p>
        </w:tc>
      </w:tr>
      <w:tr w14:paraId="2608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25B6630E">
            <w:pPr>
              <w:pStyle w:val="22"/>
              <w:spacing w:before="22"/>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4</w:t>
            </w:r>
          </w:p>
        </w:tc>
        <w:tc>
          <w:tcPr>
            <w:tcW w:w="2085" w:type="dxa"/>
            <w:vAlign w:val="center"/>
          </w:tcPr>
          <w:p w14:paraId="2EC9DC11">
            <w:pPr>
              <w:pStyle w:val="22"/>
              <w:spacing w:line="264"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设计措施数量</w:t>
            </w:r>
          </w:p>
        </w:tc>
        <w:tc>
          <w:tcPr>
            <w:tcW w:w="1080" w:type="dxa"/>
            <w:vAlign w:val="center"/>
          </w:tcPr>
          <w:p w14:paraId="0385168F">
            <w:pPr>
              <w:pStyle w:val="22"/>
              <w:spacing w:before="22"/>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CSSL</w:t>
            </w:r>
          </w:p>
        </w:tc>
        <w:tc>
          <w:tcPr>
            <w:tcW w:w="1260" w:type="dxa"/>
            <w:vAlign w:val="center"/>
          </w:tcPr>
          <w:p w14:paraId="39D1C4FA">
            <w:pPr>
              <w:pStyle w:val="22"/>
              <w:spacing w:line="264" w:lineRule="exact"/>
              <w:ind w:left="110"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805" w:type="dxa"/>
            <w:vAlign w:val="center"/>
          </w:tcPr>
          <w:p w14:paraId="697C26B7">
            <w:pPr>
              <w:pStyle w:val="22"/>
              <w:spacing w:line="264" w:lineRule="exact"/>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1204" w:type="dxa"/>
            <w:vAlign w:val="center"/>
          </w:tcPr>
          <w:p w14:paraId="0E569756">
            <w:pPr>
              <w:pStyle w:val="22"/>
              <w:spacing w:before="22"/>
              <w:ind w:left="132" w:right="12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km</w:t>
            </w:r>
          </w:p>
        </w:tc>
      </w:tr>
      <w:tr w14:paraId="49C6F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568BEE3B">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5</w:t>
            </w:r>
          </w:p>
        </w:tc>
        <w:tc>
          <w:tcPr>
            <w:tcW w:w="2085" w:type="dxa"/>
            <w:vAlign w:val="center"/>
          </w:tcPr>
          <w:p w14:paraId="678F7906">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w:t>
            </w:r>
          </w:p>
        </w:tc>
        <w:tc>
          <w:tcPr>
            <w:tcW w:w="1080" w:type="dxa"/>
            <w:vAlign w:val="center"/>
          </w:tcPr>
          <w:p w14:paraId="22BE64A7">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JGJG</w:t>
            </w:r>
          </w:p>
        </w:tc>
        <w:tc>
          <w:tcPr>
            <w:tcW w:w="1260" w:type="dxa"/>
            <w:vAlign w:val="center"/>
          </w:tcPr>
          <w:p w14:paraId="4AFEDA46">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2EBBFA08">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1204" w:type="dxa"/>
            <w:vAlign w:val="center"/>
          </w:tcPr>
          <w:p w14:paraId="7C48A8C3">
            <w:pPr>
              <w:pStyle w:val="22"/>
              <w:jc w:val="center"/>
              <w:rPr>
                <w:rFonts w:hint="eastAsia" w:ascii="宋体" w:hAnsi="宋体" w:eastAsia="宋体" w:cs="宋体"/>
                <w:bCs/>
                <w:color w:val="auto"/>
                <w:sz w:val="18"/>
                <w:szCs w:val="18"/>
              </w:rPr>
            </w:pPr>
          </w:p>
        </w:tc>
      </w:tr>
      <w:tr w14:paraId="123A2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658F13D0">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2085" w:type="dxa"/>
            <w:vAlign w:val="center"/>
          </w:tcPr>
          <w:p w14:paraId="4713C4F8">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设计监管结果说明</w:t>
            </w:r>
          </w:p>
        </w:tc>
        <w:tc>
          <w:tcPr>
            <w:tcW w:w="1080" w:type="dxa"/>
            <w:vAlign w:val="center"/>
          </w:tcPr>
          <w:p w14:paraId="6BDF2353">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lang w:val="en-US" w:eastAsia="zh-CN"/>
              </w:rPr>
              <w:t>SJ</w:t>
            </w:r>
            <w:r>
              <w:rPr>
                <w:rFonts w:hint="eastAsia" w:ascii="宋体" w:hAnsi="宋体" w:eastAsia="宋体" w:cs="宋体"/>
                <w:bCs/>
                <w:color w:val="auto"/>
                <w:sz w:val="18"/>
                <w:szCs w:val="18"/>
              </w:rPr>
              <w:t>SM</w:t>
            </w:r>
          </w:p>
        </w:tc>
        <w:tc>
          <w:tcPr>
            <w:tcW w:w="1260" w:type="dxa"/>
            <w:vAlign w:val="center"/>
          </w:tcPr>
          <w:p w14:paraId="32CF84AA">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663674CA">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204" w:type="dxa"/>
            <w:vAlign w:val="center"/>
          </w:tcPr>
          <w:p w14:paraId="447CB814">
            <w:pPr>
              <w:pStyle w:val="22"/>
              <w:jc w:val="center"/>
              <w:rPr>
                <w:rFonts w:hint="eastAsia" w:ascii="宋体" w:hAnsi="宋体" w:eastAsia="宋体" w:cs="宋体"/>
                <w:bCs/>
                <w:color w:val="auto"/>
                <w:sz w:val="18"/>
                <w:szCs w:val="18"/>
              </w:rPr>
            </w:pPr>
          </w:p>
        </w:tc>
      </w:tr>
      <w:tr w14:paraId="7C4A8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00BF1DC5">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7</w:t>
            </w:r>
          </w:p>
        </w:tc>
        <w:tc>
          <w:tcPr>
            <w:tcW w:w="2085" w:type="dxa"/>
            <w:vAlign w:val="center"/>
          </w:tcPr>
          <w:p w14:paraId="7C292A01">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建设措施完成数量</w:t>
            </w:r>
          </w:p>
        </w:tc>
        <w:tc>
          <w:tcPr>
            <w:tcW w:w="1080" w:type="dxa"/>
            <w:vAlign w:val="center"/>
          </w:tcPr>
          <w:p w14:paraId="36703E79">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JSSL</w:t>
            </w:r>
          </w:p>
        </w:tc>
        <w:tc>
          <w:tcPr>
            <w:tcW w:w="1260" w:type="dxa"/>
            <w:vAlign w:val="center"/>
          </w:tcPr>
          <w:p w14:paraId="2E0C9286">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805" w:type="dxa"/>
            <w:vAlign w:val="center"/>
          </w:tcPr>
          <w:p w14:paraId="6BB56D20">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1204" w:type="dxa"/>
            <w:vAlign w:val="center"/>
          </w:tcPr>
          <w:p w14:paraId="4D3D906D">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km</w:t>
            </w:r>
          </w:p>
        </w:tc>
      </w:tr>
      <w:tr w14:paraId="4E1E0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07334F7C">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8</w:t>
            </w:r>
          </w:p>
        </w:tc>
        <w:tc>
          <w:tcPr>
            <w:tcW w:w="2085" w:type="dxa"/>
            <w:vAlign w:val="center"/>
          </w:tcPr>
          <w:p w14:paraId="7F6A410C">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建设结果说明</w:t>
            </w:r>
          </w:p>
        </w:tc>
        <w:tc>
          <w:tcPr>
            <w:tcW w:w="1080" w:type="dxa"/>
            <w:vAlign w:val="center"/>
          </w:tcPr>
          <w:p w14:paraId="5AD6F144">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JSSM</w:t>
            </w:r>
          </w:p>
        </w:tc>
        <w:tc>
          <w:tcPr>
            <w:tcW w:w="1260" w:type="dxa"/>
            <w:vAlign w:val="center"/>
          </w:tcPr>
          <w:p w14:paraId="1CE71F3B">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71AD1524">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204" w:type="dxa"/>
            <w:vAlign w:val="center"/>
          </w:tcPr>
          <w:p w14:paraId="186720AD">
            <w:pPr>
              <w:pStyle w:val="22"/>
              <w:jc w:val="center"/>
              <w:rPr>
                <w:rFonts w:hint="eastAsia" w:ascii="宋体" w:hAnsi="宋体" w:eastAsia="宋体" w:cs="宋体"/>
                <w:bCs/>
                <w:color w:val="auto"/>
                <w:sz w:val="18"/>
                <w:szCs w:val="18"/>
              </w:rPr>
            </w:pPr>
          </w:p>
        </w:tc>
      </w:tr>
      <w:tr w14:paraId="6BF888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1921652D">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9</w:t>
            </w:r>
          </w:p>
        </w:tc>
        <w:tc>
          <w:tcPr>
            <w:tcW w:w="2085" w:type="dxa"/>
            <w:vAlign w:val="center"/>
          </w:tcPr>
          <w:p w14:paraId="1C59BA6F">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竣工措施完成数量</w:t>
            </w:r>
          </w:p>
        </w:tc>
        <w:tc>
          <w:tcPr>
            <w:tcW w:w="1080" w:type="dxa"/>
            <w:vAlign w:val="center"/>
          </w:tcPr>
          <w:p w14:paraId="0FB4228C">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JGSL</w:t>
            </w:r>
          </w:p>
        </w:tc>
        <w:tc>
          <w:tcPr>
            <w:tcW w:w="1260" w:type="dxa"/>
            <w:vAlign w:val="center"/>
          </w:tcPr>
          <w:p w14:paraId="48957CDD">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805" w:type="dxa"/>
            <w:vAlign w:val="center"/>
          </w:tcPr>
          <w:p w14:paraId="0AC732F5">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1204" w:type="dxa"/>
            <w:vAlign w:val="center"/>
          </w:tcPr>
          <w:p w14:paraId="30A152EE">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km</w:t>
            </w:r>
          </w:p>
        </w:tc>
      </w:tr>
      <w:tr w14:paraId="2C978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64" w:type="dxa"/>
            <w:vAlign w:val="center"/>
          </w:tcPr>
          <w:p w14:paraId="6E562D8D">
            <w:pPr>
              <w:pStyle w:val="22"/>
              <w:spacing w:before="19"/>
              <w:ind w:left="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w:t>
            </w:r>
          </w:p>
        </w:tc>
        <w:tc>
          <w:tcPr>
            <w:tcW w:w="2085" w:type="dxa"/>
            <w:vAlign w:val="center"/>
          </w:tcPr>
          <w:p w14:paraId="27891E2B">
            <w:pPr>
              <w:pStyle w:val="22"/>
              <w:spacing w:line="262" w:lineRule="exact"/>
              <w:ind w:left="178"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竣工结果说明</w:t>
            </w:r>
          </w:p>
        </w:tc>
        <w:tc>
          <w:tcPr>
            <w:tcW w:w="1080" w:type="dxa"/>
            <w:vAlign w:val="center"/>
          </w:tcPr>
          <w:p w14:paraId="34F7EB25">
            <w:pPr>
              <w:pStyle w:val="22"/>
              <w:spacing w:before="19"/>
              <w:ind w:left="174"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JGSM</w:t>
            </w:r>
          </w:p>
        </w:tc>
        <w:tc>
          <w:tcPr>
            <w:tcW w:w="1260" w:type="dxa"/>
            <w:vAlign w:val="center"/>
          </w:tcPr>
          <w:p w14:paraId="51789620">
            <w:pPr>
              <w:pStyle w:val="22"/>
              <w:spacing w:line="262" w:lineRule="exact"/>
              <w:ind w:left="112" w:right="10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805" w:type="dxa"/>
            <w:vAlign w:val="center"/>
          </w:tcPr>
          <w:p w14:paraId="143F393C">
            <w:pPr>
              <w:pStyle w:val="22"/>
              <w:spacing w:before="19"/>
              <w:ind w:left="690" w:right="686"/>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1204" w:type="dxa"/>
            <w:vAlign w:val="center"/>
          </w:tcPr>
          <w:p w14:paraId="1641AC46">
            <w:pPr>
              <w:pStyle w:val="22"/>
              <w:jc w:val="center"/>
              <w:rPr>
                <w:rFonts w:hint="eastAsia" w:ascii="宋体" w:hAnsi="宋体" w:eastAsia="宋体" w:cs="宋体"/>
                <w:bCs/>
                <w:color w:val="auto"/>
                <w:sz w:val="18"/>
                <w:szCs w:val="18"/>
              </w:rPr>
            </w:pPr>
          </w:p>
        </w:tc>
      </w:tr>
    </w:tbl>
    <w:p w14:paraId="546BB715">
      <w:pPr>
        <w:pStyle w:val="23"/>
        <w:keepNext w:val="0"/>
        <w:keepLines w:val="0"/>
        <w:pageBreakBefore w:val="0"/>
        <w:widowControl w:val="0"/>
        <w:kinsoku/>
        <w:wordWrap/>
        <w:overflowPunct/>
        <w:topLinePunct w:val="0"/>
        <w:autoSpaceDE/>
        <w:autoSpaceDN/>
        <w:bidi w:val="0"/>
        <w:adjustRightInd/>
        <w:snapToGrid/>
        <w:spacing w:before="156" w:after="156"/>
        <w:ind w:firstLine="0" w:firstLineChars="0"/>
        <w:textAlignment w:val="auto"/>
        <w:rPr>
          <w:rFonts w:ascii="Times New Roman" w:hAnsi="Times New Roman"/>
          <w:b/>
          <w:bCs/>
          <w:color w:val="auto"/>
          <w:sz w:val="18"/>
          <w:szCs w:val="18"/>
        </w:rPr>
      </w:pPr>
      <w:r>
        <w:rPr>
          <w:rFonts w:ascii="Times New Roman" w:hAnsi="Times New Roman" w:eastAsia="黑体"/>
          <w:color w:val="auto"/>
          <w:spacing w:val="-4"/>
          <w:sz w:val="18"/>
          <w:szCs w:val="18"/>
        </w:rPr>
        <w:t>注：</w:t>
      </w:r>
      <w:r>
        <w:rPr>
          <w:rFonts w:ascii="宋体" w:hAnsi="宋体" w:cs="宋体"/>
          <w:color w:val="auto"/>
          <w:spacing w:val="-4"/>
          <w:sz w:val="18"/>
          <w:szCs w:val="18"/>
        </w:rPr>
        <w:t>线状</w:t>
      </w:r>
      <w:r>
        <w:rPr>
          <w:rFonts w:hint="eastAsia" w:cs="宋体"/>
          <w:color w:val="auto"/>
          <w:spacing w:val="-4"/>
          <w:sz w:val="18"/>
          <w:szCs w:val="18"/>
        </w:rPr>
        <w:t>水土保持措施矢量图基于水土保持措施设计矢量图构建，图斑编码为</w:t>
      </w:r>
      <w:r>
        <w:rPr>
          <w:rFonts w:hint="eastAsia" w:cs="宋体"/>
          <w:color w:val="auto"/>
          <w:sz w:val="18"/>
        </w:rPr>
        <w:t>措施设计矢量图中标注的措施图斑编码</w:t>
      </w:r>
      <w:r>
        <w:rPr>
          <w:rFonts w:ascii="宋体" w:hAnsi="宋体" w:cs="宋体"/>
          <w:color w:val="auto"/>
          <w:spacing w:val="-4"/>
          <w:sz w:val="18"/>
          <w:szCs w:val="18"/>
        </w:rPr>
        <w:t>；措施名称和措施代码参照附录A中三级水土保持措施名称和代码；措施数量指线状措施图斑的平面投影长度；</w:t>
      </w:r>
      <w:r>
        <w:rPr>
          <w:rFonts w:hint="eastAsia" w:cs="宋体"/>
          <w:color w:val="auto"/>
          <w:spacing w:val="-4"/>
          <w:sz w:val="18"/>
          <w:szCs w:val="18"/>
        </w:rPr>
        <w:t>设计监管结果为合格或不合格；建设措施完成数量在进行工程建设监管时填写</w:t>
      </w:r>
      <w:r>
        <w:rPr>
          <w:rFonts w:ascii="宋体" w:hAnsi="宋体" w:cs="宋体"/>
          <w:color w:val="auto"/>
          <w:spacing w:val="-4"/>
          <w:sz w:val="18"/>
          <w:szCs w:val="18"/>
        </w:rPr>
        <w:t>，为表2中的完成措施数量；</w:t>
      </w:r>
      <w:r>
        <w:rPr>
          <w:rFonts w:hint="eastAsia" w:cs="宋体"/>
          <w:color w:val="auto"/>
          <w:spacing w:val="-4"/>
          <w:sz w:val="18"/>
          <w:szCs w:val="18"/>
        </w:rPr>
        <w:t>竣工措施完成数量在进行工程竣工监管时填写</w:t>
      </w:r>
      <w:r>
        <w:rPr>
          <w:rFonts w:ascii="宋体" w:hAnsi="宋体" w:cs="宋体"/>
          <w:color w:val="auto"/>
          <w:spacing w:val="-4"/>
          <w:sz w:val="18"/>
          <w:szCs w:val="18"/>
        </w:rPr>
        <w:t>，为表3中的完成措施数量；</w:t>
      </w:r>
      <w:r>
        <w:rPr>
          <w:rFonts w:hint="eastAsia" w:cs="宋体"/>
          <w:color w:val="auto"/>
          <w:spacing w:val="-4"/>
          <w:sz w:val="18"/>
          <w:szCs w:val="18"/>
        </w:rPr>
        <w:t>设计监管结果说明、建设结果说明、竣工结果说明为必要的内容注解。</w:t>
      </w:r>
    </w:p>
    <w:p w14:paraId="076AEC2F">
      <w:pPr>
        <w:pStyle w:val="23"/>
        <w:spacing w:before="0" w:beforeLines="0" w:after="0" w:afterLines="0"/>
        <w:ind w:firstLine="0" w:firstLineChars="0"/>
        <w:jc w:val="center"/>
        <w:rPr>
          <w:rFonts w:ascii="黑体" w:hAnsi="黑体" w:eastAsia="黑体" w:cs="黑体"/>
          <w:color w:val="auto"/>
        </w:rPr>
      </w:pPr>
    </w:p>
    <w:p w14:paraId="27D9057E">
      <w:pPr>
        <w:pStyle w:val="23"/>
        <w:spacing w:before="0" w:beforeLines="0" w:after="0" w:afterLines="0"/>
        <w:ind w:firstLine="0" w:firstLineChars="0"/>
        <w:jc w:val="center"/>
        <w:rPr>
          <w:rFonts w:hint="eastAsia" w:ascii="黑体" w:hAnsi="黑体" w:eastAsia="黑体" w:cs="黑体"/>
          <w:color w:val="auto"/>
        </w:rPr>
      </w:pPr>
      <w:r>
        <w:rPr>
          <w:rFonts w:ascii="黑体" w:hAnsi="黑体" w:eastAsia="黑体" w:cs="黑体"/>
          <w:color w:val="auto"/>
        </w:rPr>
        <w:t>表B.3</w:t>
      </w:r>
      <w:r>
        <w:rPr>
          <w:rFonts w:hint="eastAsia" w:ascii="黑体" w:hAnsi="黑体" w:eastAsia="黑体" w:cs="黑体"/>
          <w:color w:val="auto"/>
        </w:rPr>
        <w:t xml:space="preserve">  </w:t>
      </w:r>
      <w:r>
        <w:rPr>
          <w:rFonts w:ascii="黑体" w:hAnsi="黑体" w:eastAsia="黑体" w:cs="黑体"/>
          <w:color w:val="auto"/>
        </w:rPr>
        <w:t>面状水土保持措施矢量图属性表结构</w:t>
      </w:r>
    </w:p>
    <w:tbl>
      <w:tblPr>
        <w:tblStyle w:val="14"/>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47"/>
        <w:gridCol w:w="2070"/>
        <w:gridCol w:w="1080"/>
        <w:gridCol w:w="1290"/>
        <w:gridCol w:w="2790"/>
        <w:gridCol w:w="921"/>
      </w:tblGrid>
      <w:tr w14:paraId="424587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blHeader/>
          <w:jc w:val="center"/>
        </w:trPr>
        <w:tc>
          <w:tcPr>
            <w:tcW w:w="1147" w:type="dxa"/>
            <w:vAlign w:val="center"/>
          </w:tcPr>
          <w:p w14:paraId="4EFBE50B">
            <w:pPr>
              <w:pStyle w:val="22"/>
              <w:spacing w:line="262" w:lineRule="exact"/>
              <w:ind w:left="97" w:right="90"/>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序号</w:t>
            </w:r>
          </w:p>
        </w:tc>
        <w:tc>
          <w:tcPr>
            <w:tcW w:w="2070" w:type="dxa"/>
            <w:vAlign w:val="center"/>
          </w:tcPr>
          <w:p w14:paraId="33D1761B">
            <w:pPr>
              <w:pStyle w:val="22"/>
              <w:spacing w:line="262"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字段名称</w:t>
            </w:r>
          </w:p>
        </w:tc>
        <w:tc>
          <w:tcPr>
            <w:tcW w:w="1080" w:type="dxa"/>
            <w:vAlign w:val="center"/>
          </w:tcPr>
          <w:p w14:paraId="4803BF7D">
            <w:pPr>
              <w:pStyle w:val="22"/>
              <w:spacing w:line="262" w:lineRule="exact"/>
              <w:ind w:left="179" w:right="169"/>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字段标识</w:t>
            </w:r>
          </w:p>
        </w:tc>
        <w:tc>
          <w:tcPr>
            <w:tcW w:w="1290" w:type="dxa"/>
            <w:vAlign w:val="center"/>
          </w:tcPr>
          <w:p w14:paraId="12B56408">
            <w:pPr>
              <w:pStyle w:val="22"/>
              <w:spacing w:line="262" w:lineRule="exact"/>
              <w:ind w:left="111"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类型</w:t>
            </w:r>
          </w:p>
        </w:tc>
        <w:tc>
          <w:tcPr>
            <w:tcW w:w="2790" w:type="dxa"/>
            <w:vAlign w:val="center"/>
          </w:tcPr>
          <w:p w14:paraId="3704E22B">
            <w:pPr>
              <w:pStyle w:val="22"/>
              <w:spacing w:line="262" w:lineRule="exact"/>
              <w:ind w:left="688"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长度</w:t>
            </w:r>
          </w:p>
        </w:tc>
        <w:tc>
          <w:tcPr>
            <w:tcW w:w="921" w:type="dxa"/>
            <w:vAlign w:val="center"/>
          </w:tcPr>
          <w:p w14:paraId="3985249D">
            <w:pPr>
              <w:pStyle w:val="22"/>
              <w:spacing w:line="262" w:lineRule="exact"/>
              <w:ind w:left="133" w:right="124"/>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计量单位</w:t>
            </w:r>
          </w:p>
        </w:tc>
      </w:tr>
      <w:tr w14:paraId="76987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528EF19D">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w:t>
            </w:r>
          </w:p>
        </w:tc>
        <w:tc>
          <w:tcPr>
            <w:tcW w:w="2070" w:type="dxa"/>
            <w:vAlign w:val="center"/>
          </w:tcPr>
          <w:p w14:paraId="78EC6963">
            <w:pPr>
              <w:pStyle w:val="22"/>
              <w:spacing w:line="264" w:lineRule="exact"/>
              <w:ind w:left="177" w:right="16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图斑编码</w:t>
            </w:r>
          </w:p>
        </w:tc>
        <w:tc>
          <w:tcPr>
            <w:tcW w:w="1080" w:type="dxa"/>
            <w:vAlign w:val="center"/>
          </w:tcPr>
          <w:p w14:paraId="621842ED">
            <w:pPr>
              <w:pStyle w:val="22"/>
              <w:spacing w:before="22"/>
              <w:ind w:left="179" w:right="16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TBBM</w:t>
            </w:r>
          </w:p>
        </w:tc>
        <w:tc>
          <w:tcPr>
            <w:tcW w:w="1290" w:type="dxa"/>
            <w:vAlign w:val="center"/>
          </w:tcPr>
          <w:p w14:paraId="05930EAC">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32EAF75D">
            <w:pPr>
              <w:pStyle w:val="22"/>
              <w:spacing w:before="22"/>
              <w:ind w:left="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921" w:type="dxa"/>
            <w:vAlign w:val="center"/>
          </w:tcPr>
          <w:p w14:paraId="664C87B4">
            <w:pPr>
              <w:pStyle w:val="22"/>
              <w:jc w:val="center"/>
              <w:rPr>
                <w:rFonts w:hint="eastAsia" w:ascii="宋体" w:hAnsi="宋体" w:eastAsia="宋体" w:cs="宋体"/>
                <w:bCs/>
                <w:color w:val="auto"/>
                <w:sz w:val="18"/>
                <w:szCs w:val="18"/>
              </w:rPr>
            </w:pPr>
          </w:p>
        </w:tc>
      </w:tr>
      <w:tr w14:paraId="2D285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2D842F30">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w:t>
            </w:r>
          </w:p>
        </w:tc>
        <w:tc>
          <w:tcPr>
            <w:tcW w:w="2070" w:type="dxa"/>
            <w:vAlign w:val="center"/>
          </w:tcPr>
          <w:p w14:paraId="69E3F72A">
            <w:pPr>
              <w:pStyle w:val="22"/>
              <w:spacing w:line="262" w:lineRule="exact"/>
              <w:ind w:left="177" w:right="16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措施名称</w:t>
            </w:r>
          </w:p>
        </w:tc>
        <w:tc>
          <w:tcPr>
            <w:tcW w:w="1080" w:type="dxa"/>
            <w:vAlign w:val="center"/>
          </w:tcPr>
          <w:p w14:paraId="083C97AE">
            <w:pPr>
              <w:pStyle w:val="22"/>
              <w:spacing w:before="19"/>
              <w:ind w:left="178" w:right="169"/>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CSMC</w:t>
            </w:r>
          </w:p>
        </w:tc>
        <w:tc>
          <w:tcPr>
            <w:tcW w:w="1290" w:type="dxa"/>
            <w:vAlign w:val="center"/>
          </w:tcPr>
          <w:p w14:paraId="192D2422">
            <w:pPr>
              <w:pStyle w:val="22"/>
              <w:spacing w:before="22" w:line="252"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77A97FF6">
            <w:pPr>
              <w:pStyle w:val="22"/>
              <w:spacing w:before="19"/>
              <w:ind w:left="688"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30</w:t>
            </w:r>
          </w:p>
        </w:tc>
        <w:tc>
          <w:tcPr>
            <w:tcW w:w="921" w:type="dxa"/>
            <w:vAlign w:val="center"/>
          </w:tcPr>
          <w:p w14:paraId="0B35A464">
            <w:pPr>
              <w:pStyle w:val="22"/>
              <w:jc w:val="center"/>
              <w:rPr>
                <w:rFonts w:hint="eastAsia" w:ascii="宋体" w:hAnsi="宋体" w:eastAsia="宋体" w:cs="宋体"/>
                <w:bCs/>
                <w:color w:val="auto"/>
                <w:sz w:val="18"/>
                <w:szCs w:val="18"/>
              </w:rPr>
            </w:pPr>
          </w:p>
        </w:tc>
      </w:tr>
      <w:tr w14:paraId="21E0DF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6B191646">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3</w:t>
            </w:r>
          </w:p>
        </w:tc>
        <w:tc>
          <w:tcPr>
            <w:tcW w:w="2070" w:type="dxa"/>
            <w:vAlign w:val="center"/>
          </w:tcPr>
          <w:p w14:paraId="154CAE0E">
            <w:pPr>
              <w:pStyle w:val="22"/>
              <w:spacing w:line="264" w:lineRule="exact"/>
              <w:ind w:left="177" w:right="165"/>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措施代码</w:t>
            </w:r>
          </w:p>
        </w:tc>
        <w:tc>
          <w:tcPr>
            <w:tcW w:w="1080" w:type="dxa"/>
            <w:vAlign w:val="center"/>
          </w:tcPr>
          <w:p w14:paraId="3A411696">
            <w:pPr>
              <w:pStyle w:val="22"/>
              <w:spacing w:before="22"/>
              <w:ind w:left="179"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CSDM</w:t>
            </w:r>
          </w:p>
        </w:tc>
        <w:tc>
          <w:tcPr>
            <w:tcW w:w="1290" w:type="dxa"/>
            <w:vAlign w:val="center"/>
          </w:tcPr>
          <w:p w14:paraId="065A14A8">
            <w:pPr>
              <w:pStyle w:val="22"/>
              <w:spacing w:before="22" w:line="255"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3A6BEFA8">
            <w:pPr>
              <w:pStyle w:val="22"/>
              <w:spacing w:before="22"/>
              <w:ind w:left="688"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921" w:type="dxa"/>
            <w:vAlign w:val="center"/>
          </w:tcPr>
          <w:p w14:paraId="3DECD637">
            <w:pPr>
              <w:pStyle w:val="22"/>
              <w:jc w:val="center"/>
              <w:rPr>
                <w:rFonts w:hint="eastAsia" w:ascii="宋体" w:hAnsi="宋体" w:eastAsia="宋体" w:cs="宋体"/>
                <w:bCs/>
                <w:color w:val="auto"/>
                <w:sz w:val="18"/>
                <w:szCs w:val="18"/>
              </w:rPr>
            </w:pPr>
          </w:p>
        </w:tc>
      </w:tr>
      <w:tr w14:paraId="20F2A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36141727">
            <w:pPr>
              <w:pStyle w:val="22"/>
              <w:spacing w:before="19"/>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4</w:t>
            </w:r>
          </w:p>
        </w:tc>
        <w:tc>
          <w:tcPr>
            <w:tcW w:w="2070" w:type="dxa"/>
            <w:vAlign w:val="center"/>
          </w:tcPr>
          <w:p w14:paraId="2846A66A">
            <w:pPr>
              <w:pStyle w:val="22"/>
              <w:spacing w:line="264" w:lineRule="exact"/>
              <w:ind w:left="299" w:right="28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设计措施数量</w:t>
            </w:r>
          </w:p>
        </w:tc>
        <w:tc>
          <w:tcPr>
            <w:tcW w:w="1080" w:type="dxa"/>
            <w:vAlign w:val="center"/>
          </w:tcPr>
          <w:p w14:paraId="6A64F482">
            <w:pPr>
              <w:pStyle w:val="22"/>
              <w:spacing w:before="19"/>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CSSL</w:t>
            </w:r>
          </w:p>
        </w:tc>
        <w:tc>
          <w:tcPr>
            <w:tcW w:w="1290" w:type="dxa"/>
            <w:vAlign w:val="center"/>
          </w:tcPr>
          <w:p w14:paraId="5856193F">
            <w:pPr>
              <w:pStyle w:val="22"/>
              <w:spacing w:line="262" w:lineRule="exact"/>
              <w:ind w:left="111"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790" w:type="dxa"/>
            <w:vAlign w:val="center"/>
          </w:tcPr>
          <w:p w14:paraId="13954AD2">
            <w:pPr>
              <w:pStyle w:val="22"/>
              <w:spacing w:line="262" w:lineRule="exact"/>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921" w:type="dxa"/>
            <w:vAlign w:val="center"/>
          </w:tcPr>
          <w:p w14:paraId="2EC6851A">
            <w:pPr>
              <w:pStyle w:val="22"/>
              <w:spacing w:before="15"/>
              <w:ind w:left="129" w:right="124"/>
              <w:jc w:val="center"/>
              <w:rPr>
                <w:rFonts w:hint="eastAsia" w:ascii="宋体" w:hAnsi="宋体" w:eastAsia="宋体" w:cs="宋体"/>
                <w:bCs/>
                <w:color w:val="auto"/>
                <w:sz w:val="18"/>
                <w:szCs w:val="18"/>
                <w:vertAlign w:val="superscript"/>
              </w:rPr>
            </w:pPr>
            <w:r>
              <w:rPr>
                <w:rFonts w:hint="eastAsia" w:ascii="宋体" w:hAnsi="宋体" w:eastAsia="宋体" w:cs="宋体"/>
                <w:bCs/>
                <w:color w:val="auto"/>
                <w:sz w:val="18"/>
                <w:szCs w:val="18"/>
              </w:rPr>
              <w:t>hm</w:t>
            </w:r>
            <w:r>
              <w:rPr>
                <w:rFonts w:hint="eastAsia" w:ascii="宋体" w:hAnsi="宋体" w:eastAsia="宋体" w:cs="宋体"/>
                <w:bCs/>
                <w:color w:val="auto"/>
                <w:sz w:val="18"/>
                <w:szCs w:val="18"/>
                <w:vertAlign w:val="superscript"/>
              </w:rPr>
              <w:t>2</w:t>
            </w:r>
          </w:p>
        </w:tc>
      </w:tr>
      <w:tr w14:paraId="25486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4179537E">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5</w:t>
            </w:r>
          </w:p>
        </w:tc>
        <w:tc>
          <w:tcPr>
            <w:tcW w:w="2070" w:type="dxa"/>
            <w:vAlign w:val="center"/>
          </w:tcPr>
          <w:p w14:paraId="273CE5C7">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w:t>
            </w:r>
          </w:p>
        </w:tc>
        <w:tc>
          <w:tcPr>
            <w:tcW w:w="1080" w:type="dxa"/>
            <w:vAlign w:val="center"/>
          </w:tcPr>
          <w:p w14:paraId="62535363">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JGJG</w:t>
            </w:r>
          </w:p>
        </w:tc>
        <w:tc>
          <w:tcPr>
            <w:tcW w:w="1290" w:type="dxa"/>
            <w:vAlign w:val="center"/>
          </w:tcPr>
          <w:p w14:paraId="5BE1FD60">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132BD073">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20</w:t>
            </w:r>
          </w:p>
        </w:tc>
        <w:tc>
          <w:tcPr>
            <w:tcW w:w="921" w:type="dxa"/>
            <w:vAlign w:val="center"/>
          </w:tcPr>
          <w:p w14:paraId="703D6242">
            <w:pPr>
              <w:pStyle w:val="22"/>
              <w:jc w:val="center"/>
              <w:rPr>
                <w:rFonts w:hint="eastAsia" w:ascii="宋体" w:hAnsi="宋体" w:eastAsia="宋体" w:cs="宋体"/>
                <w:bCs/>
                <w:color w:val="auto"/>
                <w:sz w:val="18"/>
                <w:szCs w:val="18"/>
              </w:rPr>
            </w:pPr>
          </w:p>
        </w:tc>
      </w:tr>
      <w:tr w14:paraId="75184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31DE3614">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6</w:t>
            </w:r>
          </w:p>
        </w:tc>
        <w:tc>
          <w:tcPr>
            <w:tcW w:w="2070" w:type="dxa"/>
            <w:vAlign w:val="center"/>
          </w:tcPr>
          <w:p w14:paraId="4DA09C1A">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设计监管结果说明</w:t>
            </w:r>
          </w:p>
        </w:tc>
        <w:tc>
          <w:tcPr>
            <w:tcW w:w="1080" w:type="dxa"/>
            <w:vAlign w:val="center"/>
          </w:tcPr>
          <w:p w14:paraId="1828F156">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lang w:val="en-US" w:eastAsia="zh-CN"/>
              </w:rPr>
              <w:t>SJ</w:t>
            </w:r>
            <w:r>
              <w:rPr>
                <w:rFonts w:hint="eastAsia" w:ascii="宋体" w:hAnsi="宋体" w:eastAsia="宋体" w:cs="宋体"/>
                <w:bCs/>
                <w:color w:val="auto"/>
                <w:sz w:val="18"/>
                <w:szCs w:val="18"/>
              </w:rPr>
              <w:t>SM</w:t>
            </w:r>
          </w:p>
        </w:tc>
        <w:tc>
          <w:tcPr>
            <w:tcW w:w="1290" w:type="dxa"/>
            <w:vAlign w:val="center"/>
          </w:tcPr>
          <w:p w14:paraId="2EFA0D2D">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04D245B2">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921" w:type="dxa"/>
            <w:vAlign w:val="center"/>
          </w:tcPr>
          <w:p w14:paraId="6476CC2B">
            <w:pPr>
              <w:pStyle w:val="22"/>
              <w:jc w:val="center"/>
              <w:rPr>
                <w:rFonts w:hint="eastAsia" w:ascii="宋体" w:hAnsi="宋体" w:eastAsia="宋体" w:cs="宋体"/>
                <w:bCs/>
                <w:color w:val="auto"/>
                <w:sz w:val="18"/>
                <w:szCs w:val="18"/>
              </w:rPr>
            </w:pPr>
          </w:p>
        </w:tc>
      </w:tr>
      <w:tr w14:paraId="1A944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32C776AC">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7</w:t>
            </w:r>
          </w:p>
        </w:tc>
        <w:tc>
          <w:tcPr>
            <w:tcW w:w="2070" w:type="dxa"/>
            <w:vAlign w:val="center"/>
          </w:tcPr>
          <w:p w14:paraId="05C03F93">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建设措施完成数量</w:t>
            </w:r>
          </w:p>
        </w:tc>
        <w:tc>
          <w:tcPr>
            <w:tcW w:w="1080" w:type="dxa"/>
            <w:vAlign w:val="center"/>
          </w:tcPr>
          <w:p w14:paraId="30BC5AA9">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JSSL</w:t>
            </w:r>
          </w:p>
        </w:tc>
        <w:tc>
          <w:tcPr>
            <w:tcW w:w="1290" w:type="dxa"/>
            <w:vAlign w:val="center"/>
          </w:tcPr>
          <w:p w14:paraId="273BCC62">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790" w:type="dxa"/>
            <w:vAlign w:val="center"/>
          </w:tcPr>
          <w:p w14:paraId="25FB2979">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921" w:type="dxa"/>
            <w:vAlign w:val="center"/>
          </w:tcPr>
          <w:p w14:paraId="76BFD0FE">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hm</w:t>
            </w:r>
            <w:r>
              <w:rPr>
                <w:rFonts w:hint="eastAsia" w:ascii="宋体" w:hAnsi="宋体" w:eastAsia="宋体" w:cs="宋体"/>
                <w:bCs/>
                <w:color w:val="auto"/>
                <w:sz w:val="18"/>
                <w:szCs w:val="18"/>
                <w:vertAlign w:val="superscript"/>
              </w:rPr>
              <w:t>2</w:t>
            </w:r>
          </w:p>
        </w:tc>
      </w:tr>
      <w:tr w14:paraId="49ACB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055020AC">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8</w:t>
            </w:r>
          </w:p>
        </w:tc>
        <w:tc>
          <w:tcPr>
            <w:tcW w:w="2070" w:type="dxa"/>
            <w:vAlign w:val="center"/>
          </w:tcPr>
          <w:p w14:paraId="06925904">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建设结果说明</w:t>
            </w:r>
          </w:p>
        </w:tc>
        <w:tc>
          <w:tcPr>
            <w:tcW w:w="1080" w:type="dxa"/>
            <w:vAlign w:val="center"/>
          </w:tcPr>
          <w:p w14:paraId="5F370613">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JSSM</w:t>
            </w:r>
          </w:p>
        </w:tc>
        <w:tc>
          <w:tcPr>
            <w:tcW w:w="1290" w:type="dxa"/>
            <w:vAlign w:val="center"/>
          </w:tcPr>
          <w:p w14:paraId="49592ECF">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6B88E75F">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921" w:type="dxa"/>
            <w:vAlign w:val="center"/>
          </w:tcPr>
          <w:p w14:paraId="6EC2DBE2">
            <w:pPr>
              <w:pStyle w:val="22"/>
              <w:jc w:val="center"/>
              <w:rPr>
                <w:rFonts w:hint="eastAsia" w:ascii="宋体" w:hAnsi="宋体" w:eastAsia="宋体" w:cs="宋体"/>
                <w:bCs/>
                <w:color w:val="auto"/>
                <w:sz w:val="18"/>
                <w:szCs w:val="18"/>
              </w:rPr>
            </w:pPr>
          </w:p>
        </w:tc>
      </w:tr>
      <w:tr w14:paraId="07AE35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610C8329">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9</w:t>
            </w:r>
          </w:p>
        </w:tc>
        <w:tc>
          <w:tcPr>
            <w:tcW w:w="2070" w:type="dxa"/>
            <w:vAlign w:val="center"/>
          </w:tcPr>
          <w:p w14:paraId="4042D598">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竣工措施完成数量</w:t>
            </w:r>
          </w:p>
        </w:tc>
        <w:tc>
          <w:tcPr>
            <w:tcW w:w="1080" w:type="dxa"/>
            <w:vAlign w:val="center"/>
          </w:tcPr>
          <w:p w14:paraId="1B290C7A">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JGSL</w:t>
            </w:r>
          </w:p>
        </w:tc>
        <w:tc>
          <w:tcPr>
            <w:tcW w:w="1290" w:type="dxa"/>
            <w:vAlign w:val="center"/>
          </w:tcPr>
          <w:p w14:paraId="54019AC5">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数值型</w:t>
            </w:r>
          </w:p>
        </w:tc>
        <w:tc>
          <w:tcPr>
            <w:tcW w:w="2790" w:type="dxa"/>
            <w:vAlign w:val="center"/>
          </w:tcPr>
          <w:p w14:paraId="46549AFB">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保留两位小数位</w:t>
            </w:r>
          </w:p>
        </w:tc>
        <w:tc>
          <w:tcPr>
            <w:tcW w:w="921" w:type="dxa"/>
            <w:vAlign w:val="center"/>
          </w:tcPr>
          <w:p w14:paraId="2D70BAE5">
            <w:pPr>
              <w:pStyle w:val="2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hm</w:t>
            </w:r>
            <w:r>
              <w:rPr>
                <w:rFonts w:hint="eastAsia" w:ascii="宋体" w:hAnsi="宋体" w:eastAsia="宋体" w:cs="宋体"/>
                <w:bCs/>
                <w:color w:val="auto"/>
                <w:sz w:val="18"/>
                <w:szCs w:val="18"/>
                <w:vertAlign w:val="superscript"/>
              </w:rPr>
              <w:t>2</w:t>
            </w:r>
          </w:p>
        </w:tc>
      </w:tr>
      <w:tr w14:paraId="1B2B2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147" w:type="dxa"/>
            <w:vAlign w:val="center"/>
          </w:tcPr>
          <w:p w14:paraId="5B2FF44A">
            <w:pPr>
              <w:pStyle w:val="22"/>
              <w:spacing w:before="22"/>
              <w:ind w:left="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w:t>
            </w:r>
          </w:p>
        </w:tc>
        <w:tc>
          <w:tcPr>
            <w:tcW w:w="2070" w:type="dxa"/>
            <w:vAlign w:val="center"/>
          </w:tcPr>
          <w:p w14:paraId="6E3B7C24">
            <w:pPr>
              <w:pStyle w:val="22"/>
              <w:spacing w:line="264" w:lineRule="exact"/>
              <w:ind w:left="177" w:right="167"/>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竣工结果说明</w:t>
            </w:r>
          </w:p>
        </w:tc>
        <w:tc>
          <w:tcPr>
            <w:tcW w:w="1080" w:type="dxa"/>
            <w:vAlign w:val="center"/>
          </w:tcPr>
          <w:p w14:paraId="6B36F785">
            <w:pPr>
              <w:pStyle w:val="22"/>
              <w:spacing w:before="22"/>
              <w:ind w:left="179" w:right="168"/>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JGSM</w:t>
            </w:r>
          </w:p>
        </w:tc>
        <w:tc>
          <w:tcPr>
            <w:tcW w:w="1290" w:type="dxa"/>
            <w:vAlign w:val="center"/>
          </w:tcPr>
          <w:p w14:paraId="5D90E490">
            <w:pPr>
              <w:pStyle w:val="22"/>
              <w:spacing w:line="264" w:lineRule="exact"/>
              <w:ind w:left="113" w:right="102"/>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字符串型</w:t>
            </w:r>
          </w:p>
        </w:tc>
        <w:tc>
          <w:tcPr>
            <w:tcW w:w="2790" w:type="dxa"/>
            <w:vAlign w:val="center"/>
          </w:tcPr>
          <w:p w14:paraId="61A6824A">
            <w:pPr>
              <w:pStyle w:val="22"/>
              <w:spacing w:before="22"/>
              <w:ind w:left="693" w:right="683"/>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1000</w:t>
            </w:r>
          </w:p>
        </w:tc>
        <w:tc>
          <w:tcPr>
            <w:tcW w:w="921" w:type="dxa"/>
            <w:vAlign w:val="center"/>
          </w:tcPr>
          <w:p w14:paraId="3AD6D543">
            <w:pPr>
              <w:pStyle w:val="22"/>
              <w:jc w:val="center"/>
              <w:rPr>
                <w:rFonts w:hint="eastAsia" w:ascii="宋体" w:hAnsi="宋体" w:eastAsia="宋体" w:cs="宋体"/>
                <w:bCs/>
                <w:color w:val="auto"/>
                <w:sz w:val="18"/>
                <w:szCs w:val="18"/>
              </w:rPr>
            </w:pPr>
          </w:p>
        </w:tc>
      </w:tr>
    </w:tbl>
    <w:p w14:paraId="35AD84E3">
      <w:pPr>
        <w:pStyle w:val="6"/>
        <w:keepNext w:val="0"/>
        <w:keepLines w:val="0"/>
        <w:pageBreakBefore w:val="0"/>
        <w:widowControl w:val="0"/>
        <w:kinsoku/>
        <w:wordWrap/>
        <w:overflowPunct/>
        <w:topLinePunct w:val="0"/>
        <w:autoSpaceDE w:val="0"/>
        <w:autoSpaceDN w:val="0"/>
        <w:bidi w:val="0"/>
        <w:adjustRightInd/>
        <w:snapToGrid/>
        <w:spacing w:before="157" w:beforeLines="50"/>
        <w:ind w:left="0"/>
        <w:textAlignment w:val="auto"/>
        <w:rPr>
          <w:rFonts w:ascii="Times New Roman" w:hAnsi="Times New Roman" w:eastAsia="宋体" w:cs="Times New Roman"/>
          <w:color w:val="auto"/>
          <w:kern w:val="2"/>
          <w:sz w:val="21"/>
          <w:szCs w:val="21"/>
          <w:lang w:eastAsia="zh-CN"/>
        </w:rPr>
      </w:pPr>
      <w:r>
        <w:rPr>
          <w:color w:val="auto"/>
          <w:sz w:val="18"/>
        </w:rPr>
        <mc:AlternateContent>
          <mc:Choice Requires="wps">
            <w:drawing>
              <wp:anchor distT="0" distB="0" distL="114300" distR="114300" simplePos="0" relativeHeight="251675648" behindDoc="0" locked="0" layoutInCell="1" allowOverlap="1">
                <wp:simplePos x="0" y="0"/>
                <wp:positionH relativeFrom="column">
                  <wp:posOffset>1450975</wp:posOffset>
                </wp:positionH>
                <wp:positionV relativeFrom="paragraph">
                  <wp:posOffset>1915160</wp:posOffset>
                </wp:positionV>
                <wp:extent cx="3440430" cy="0"/>
                <wp:effectExtent l="0" t="0" r="0" b="0"/>
                <wp:wrapNone/>
                <wp:docPr id="28" name="直接连接符 2"/>
                <wp:cNvGraphicFramePr/>
                <a:graphic xmlns:a="http://schemas.openxmlformats.org/drawingml/2006/main">
                  <a:graphicData uri="http://schemas.microsoft.com/office/word/2010/wordprocessingShape">
                    <wps:wsp>
                      <wps:cNvCnPr/>
                      <wps:spPr>
                        <a:xfrm>
                          <a:off x="1702435" y="6109335"/>
                          <a:ext cx="3440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2" o:spid="_x0000_s1026" o:spt="20" style="position:absolute;left:0pt;margin-left:114.25pt;margin-top:150.8pt;height:0pt;width:270.9pt;z-index:251675648;mso-width-relative:page;mso-height-relative:page;" filled="f" stroked="t" coordsize="21600,21600" o:gfxdata="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9pCpF1wAAAAsBAAAPAAAAAAAAAAEAIAAAACIAAABkcnMvZG93bnJldi54bWxQSwECFAAU&#10;AAAACACHTuJA8HTz9/IBAAC+AwAADgAAAAAAAAABACAAAAAmAQAAZHJzL2Uyb0RvYy54bWxQSwUG&#10;AAAAAAYABgBZAQAAigUAAAAA&#10;">
                <v:fill on="f" focussize="0,0"/>
                <v:stroke weight="0.5pt" color="#000000 [3200]" miterlimit="8" joinstyle="miter"/>
                <v:imagedata o:title=""/>
                <o:lock v:ext="edit" aspectratio="f"/>
              </v:line>
            </w:pict>
          </mc:Fallback>
        </mc:AlternateContent>
      </w:r>
      <w:r>
        <w:rPr>
          <w:rFonts w:ascii="Times New Roman" w:hAnsi="Times New Roman" w:eastAsia="黑体" w:cs="Times New Roman"/>
          <w:color w:val="auto"/>
          <w:spacing w:val="-4"/>
          <w:kern w:val="2"/>
          <w:sz w:val="18"/>
          <w:szCs w:val="18"/>
          <w:lang w:eastAsia="zh-CN"/>
        </w:rPr>
        <w:t>注：</w:t>
      </w:r>
      <w:r>
        <w:rPr>
          <w:rFonts w:ascii="宋体" w:hAnsi="宋体" w:eastAsia="宋体" w:cs="宋体"/>
          <w:color w:val="auto"/>
          <w:spacing w:val="-4"/>
          <w:kern w:val="2"/>
          <w:sz w:val="18"/>
          <w:szCs w:val="18"/>
          <w:lang w:eastAsia="zh-CN"/>
        </w:rPr>
        <w:t>面状水土保持措施矢量图基于水土保持措施设计矢量图构建，图斑编码为措施设计矢量图中标注的措施图斑编码；措施名称和措施代码参照附录A 中三级水土保持措施名称和代码；措施数量指面状措施图斑的平面投影面积；设计监管结果为合格或不合格；建设措施完成数量在进行工程建设监管时填写，为表2中的完成措施数量；竣工措施完成数量在进行工程竣工监管时填写，为表3中的完成措施数量；设计监管结果说明、建设结果说明、竣工结果说明为必要的内容注解。</w:t>
      </w:r>
    </w:p>
    <w:sectPr>
      <w:footerReference r:id="rId16" w:type="default"/>
      <w:footerReference r:id="rId17" w:type="even"/>
      <w:pgSz w:w="11906" w:h="16838"/>
      <w:pgMar w:top="1417" w:right="1417" w:bottom="1134" w:left="1134" w:header="850" w:footer="992" w:gutter="0"/>
      <w:pgNumType w:fmt="decimal"/>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oto Sans CJK JP Regular">
    <w:altName w:val="宋体"/>
    <w:panose1 w:val="020B0500000000000000"/>
    <w:charset w:val="86"/>
    <w:family w:val="swiss"/>
    <w:pitch w:val="default"/>
    <w:sig w:usb0="00000000" w:usb1="00000000" w:usb2="00000016" w:usb3="00000000" w:csb0="602E0107" w:csb1="00000000"/>
  </w:font>
  <w:font w:name="隶书">
    <w:panose1 w:val="02010509060101010101"/>
    <w:charset w:val="86"/>
    <w:family w:val="modern"/>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汉仪仿宋S">
    <w:altName w:val="仿宋"/>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A752A">
    <w:pPr>
      <w:pStyle w:val="3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29302">
    <w:pPr>
      <w:pStyle w:val="8"/>
      <w:jc w:val="both"/>
    </w:pPr>
    <w:r>
      <w:rPr>
        <w:sz w:val="18"/>
      </w:rPr>
      <mc:AlternateContent>
        <mc:Choice Requires="wps">
          <w:drawing>
            <wp:anchor distT="0" distB="0" distL="114300" distR="114300" simplePos="0" relativeHeight="251678720" behindDoc="0" locked="0" layoutInCell="1" allowOverlap="1">
              <wp:simplePos x="0" y="0"/>
              <wp:positionH relativeFrom="margin">
                <wp:posOffset>5672455</wp:posOffset>
              </wp:positionH>
              <wp:positionV relativeFrom="paragraph">
                <wp:posOffset>17780</wp:posOffset>
              </wp:positionV>
              <wp:extent cx="235585" cy="279400"/>
              <wp:effectExtent l="0" t="0" r="0" b="0"/>
              <wp:wrapNone/>
              <wp:docPr id="44" name="文本框 27"/>
              <wp:cNvGraphicFramePr/>
              <a:graphic xmlns:a="http://schemas.openxmlformats.org/drawingml/2006/main">
                <a:graphicData uri="http://schemas.microsoft.com/office/word/2010/wordprocessingShape">
                  <wps:wsp>
                    <wps:cNvSpPr txBox="1"/>
                    <wps:spPr>
                      <a:xfrm>
                        <a:off x="0" y="0"/>
                        <a:ext cx="235585" cy="2794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1F7C4">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文本框 27" o:spid="_x0000_s1026" o:spt="202" type="#_x0000_t202" style="position:absolute;left:0pt;margin-left:446.65pt;margin-top:1.4pt;height:22pt;width:18.55pt;mso-position-horizontal-relative:margin;z-index:251678720;mso-width-relative:page;mso-height-relative:page;" filled="f" stroked="f" coordsize="21600,21600" o:gfxdata="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jEnVa1wAAAAgBAAAPAAAAAAAAAAEAIAAAACIAAABkcnMvZG93&#10;bnJldi54bWxQSwECFAAUAAAACACHTuJAuJGkPDoCAABjBAAADgAAAAAAAAABACAAAAAmAQAAZHJz&#10;L2Uyb0RvYy54bWxQSwUGAAAAAAYABgBZAQAA0gUAAAAA&#10;">
              <v:fill on="f" focussize="0,0"/>
              <v:stroke on="f" weight="0.5pt"/>
              <v:imagedata o:title=""/>
              <o:lock v:ext="edit" aspectratio="f"/>
              <v:textbox inset="0mm,0mm,0mm,0mm">
                <w:txbxContent>
                  <w:p w14:paraId="0E21F7C4">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74F7D">
    <w:pPr>
      <w:pStyle w:val="8"/>
    </w:pPr>
    <w:r>
      <w:rPr>
        <w:sz w:val="18"/>
      </w:rPr>
      <mc:AlternateContent>
        <mc:Choice Requires="wps">
          <w:drawing>
            <wp:anchor distT="0" distB="0" distL="114300" distR="114300" simplePos="0" relativeHeight="251679744" behindDoc="0" locked="0" layoutInCell="1" allowOverlap="1">
              <wp:simplePos x="0" y="0"/>
              <wp:positionH relativeFrom="margin">
                <wp:posOffset>101600</wp:posOffset>
              </wp:positionH>
              <wp:positionV relativeFrom="paragraph">
                <wp:posOffset>9525</wp:posOffset>
              </wp:positionV>
              <wp:extent cx="187325" cy="212725"/>
              <wp:effectExtent l="0" t="0" r="0" b="0"/>
              <wp:wrapNone/>
              <wp:docPr id="42" name="文本框 28"/>
              <wp:cNvGraphicFramePr/>
              <a:graphic xmlns:a="http://schemas.openxmlformats.org/drawingml/2006/main">
                <a:graphicData uri="http://schemas.microsoft.com/office/word/2010/wordprocessingShape">
                  <wps:wsp>
                    <wps:cNvSpPr txBox="1"/>
                    <wps:spPr>
                      <a:xfrm>
                        <a:off x="0" y="0"/>
                        <a:ext cx="187325" cy="2127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693A0">
                          <w:pPr>
                            <w:pStyle w:val="8"/>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文本框 28" o:spid="_x0000_s1026" o:spt="202" type="#_x0000_t202" style="position:absolute;left:0pt;margin-left:8pt;margin-top:0.75pt;height:16.75pt;width:14.75pt;mso-position-horizontal-relative:margin;z-index:251679744;mso-width-relative:page;mso-height-relative:page;" filled="f" stroked="f" coordsize="21600,21600" o:gfxdata="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Wmws90wAAAAYBAAAPAAAAAAAAAAEAIAAAACIAAABkcnMvZG93bnJldi54&#10;bWxQSwECFAAUAAAACACHTuJAJ0RmKzgCAABjBAAADgAAAAAAAAABACAAAAAiAQAAZHJzL2Uyb0Rv&#10;Yy54bWxQSwUGAAAAAAYABgBZAQAAzAUAAAAA&#10;">
              <v:fill on="f" focussize="0,0"/>
              <v:stroke on="f" weight="0.5pt"/>
              <v:imagedata o:title=""/>
              <o:lock v:ext="edit" aspectratio="f"/>
              <v:textbox inset="0mm,0mm,0mm,0mm">
                <w:txbxContent>
                  <w:p w14:paraId="23E693A0">
                    <w:pPr>
                      <w:pStyle w:val="8"/>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26254">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27465384"/>
    </w:sdtPr>
    <w:sdtEndPr>
      <w:rPr>
        <w:sz w:val="18"/>
        <w:szCs w:val="18"/>
      </w:rPr>
    </w:sdtEndPr>
    <w:sdtContent>
      <w:p w14:paraId="23C028E6">
        <w:pPr>
          <w:tabs>
            <w:tab w:val="center" w:pos="4153"/>
            <w:tab w:val="right" w:pos="8306"/>
          </w:tabs>
          <w:snapToGrid w:val="0"/>
          <w:jc w:val="right"/>
          <w:rPr>
            <w:sz w:val="18"/>
            <w:szCs w:val="18"/>
          </w:rPr>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D1E78">
    <w:pPr>
      <w:pStyle w:val="8"/>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0"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5081"/>
                          </w:sdtPr>
                          <w:sdtContent>
                            <w:p w14:paraId="7F4E4082">
                              <w:pPr>
                                <w:pStyle w:val="8"/>
                                <w:jc w:val="right"/>
                              </w:pPr>
                              <w:r>
                                <w:fldChar w:fldCharType="begin"/>
                              </w:r>
                              <w:r>
                                <w:instrText xml:space="preserve"> PAGE   \* MERGEFORMAT </w:instrText>
                              </w:r>
                              <w:r>
                                <w:fldChar w:fldCharType="separate"/>
                              </w:r>
                              <w:r>
                                <w:rPr>
                                  <w:lang w:val="zh-CN"/>
                                </w:rPr>
                                <w:t>55</w:t>
                              </w:r>
                              <w:r>
                                <w:rPr>
                                  <w:lang w:val="zh-CN"/>
                                </w:rPr>
                                <w:fldChar w:fldCharType="end"/>
                              </w:r>
                            </w:p>
                          </w:sdtContent>
                        </w:sdt>
                        <w:p w14:paraId="7243F6D4">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3"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AQHpctAgAAV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AQHpctAgAAVwQAAA4AAAAAAAAAAQAgAAAAHwEAAGRycy9lMm9Eb2MueG1sUEsFBgAAAAAG&#10;AAYAWQEAAL4FAAAAAA==&#10;">
              <v:fill on="f" focussize="0,0"/>
              <v:stroke on="f" weight="0.5pt"/>
              <v:imagedata o:title=""/>
              <o:lock v:ext="edit" aspectratio="f"/>
              <v:textbox inset="0mm,0mm,0mm,0mm" style="mso-fit-shape-to-text:t;">
                <w:txbxContent>
                  <w:sdt>
                    <w:sdtPr>
                      <w:id w:val="147455081"/>
                    </w:sdtPr>
                    <w:sdtContent>
                      <w:p w14:paraId="7F4E4082">
                        <w:pPr>
                          <w:pStyle w:val="8"/>
                          <w:jc w:val="right"/>
                        </w:pPr>
                        <w:r>
                          <w:fldChar w:fldCharType="begin"/>
                        </w:r>
                        <w:r>
                          <w:instrText xml:space="preserve"> PAGE   \* MERGEFORMAT </w:instrText>
                        </w:r>
                        <w:r>
                          <w:fldChar w:fldCharType="separate"/>
                        </w:r>
                        <w:r>
                          <w:rPr>
                            <w:lang w:val="zh-CN"/>
                          </w:rPr>
                          <w:t>55</w:t>
                        </w:r>
                        <w:r>
                          <w:rPr>
                            <w:lang w:val="zh-CN"/>
                          </w:rPr>
                          <w:fldChar w:fldCharType="end"/>
                        </w:r>
                      </w:p>
                    </w:sdtContent>
                  </w:sdt>
                  <w:p w14:paraId="7243F6D4">
                    <w:pPr>
                      <w:pStyle w:val="2"/>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95277">
    <w:pPr>
      <w:pStyle w:val="8"/>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F0B4A">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4"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7tpEvLgIAAFcEAAAOAAAAAAAAAAEAIAAAAB8BAABkcnMvZTJvRG9jLnhtbFBLBQYAAAAA&#10;BgAGAFkBAAC/BQAAAAA=&#10;">
              <v:fill on="f" focussize="0,0"/>
              <v:stroke on="f" weight="0.5pt"/>
              <v:imagedata o:title=""/>
              <o:lock v:ext="edit" aspectratio="f"/>
              <v:textbox inset="0mm,0mm,0mm,0mm" style="mso-fit-shape-to-text:t;">
                <w:txbxContent>
                  <w:p w14:paraId="5CBF0B4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1C296">
    <w:pPr>
      <w:tabs>
        <w:tab w:val="center" w:pos="4153"/>
        <w:tab w:val="right" w:pos="8306"/>
      </w:tabs>
      <w:snapToGrid w:val="0"/>
      <w:rPr>
        <w:sz w:val="18"/>
        <w:szCs w:val="18"/>
      </w:rPr>
    </w:pPr>
    <w:r>
      <mc:AlternateContent>
        <mc:Choice Requires="wps">
          <w:drawing>
            <wp:anchor distT="0" distB="0" distL="114300" distR="114300" simplePos="0" relativeHeight="251661312" behindDoc="1" locked="0" layoutInCell="1" allowOverlap="1">
              <wp:simplePos x="0" y="0"/>
              <wp:positionH relativeFrom="margin">
                <wp:posOffset>5728970</wp:posOffset>
              </wp:positionH>
              <wp:positionV relativeFrom="paragraph">
                <wp:posOffset>21590</wp:posOffset>
              </wp:positionV>
              <wp:extent cx="121285" cy="219075"/>
              <wp:effectExtent l="0" t="0" r="12065" b="9525"/>
              <wp:wrapThrough wrapText="bothSides">
                <wp:wrapPolygon>
                  <wp:start x="0" y="0"/>
                  <wp:lineTo x="0" y="20661"/>
                  <wp:lineTo x="20356" y="20661"/>
                  <wp:lineTo x="20356" y="0"/>
                  <wp:lineTo x="0" y="0"/>
                </wp:wrapPolygon>
              </wp:wrapThrough>
              <wp:docPr id="32" name="文本框 15"/>
              <wp:cNvGraphicFramePr/>
              <a:graphic xmlns:a="http://schemas.openxmlformats.org/drawingml/2006/main">
                <a:graphicData uri="http://schemas.microsoft.com/office/word/2010/wordprocessingShape">
                  <wps:wsp>
                    <wps:cNvSpPr txBox="1"/>
                    <wps:spPr>
                      <a:xfrm>
                        <a:off x="0" y="0"/>
                        <a:ext cx="12128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43BC4C">
                          <w:pPr>
                            <w:pStyle w:val="8"/>
                            <w:rPr>
                              <w:rFonts w:hint="eastAsia" w:ascii="宋体" w:hAnsi="宋体" w:eastAsia="宋体" w:cs="宋体"/>
                              <w:sz w:val="16"/>
                              <w:szCs w:val="16"/>
                            </w:rPr>
                          </w:pPr>
                          <w:r>
                            <w:rPr>
                              <w:rFonts w:hint="eastAsia" w:ascii="宋体" w:hAnsi="宋体" w:eastAsia="宋体" w:cs="宋体"/>
                              <w:sz w:val="16"/>
                              <w:szCs w:val="16"/>
                            </w:rPr>
                            <w:t>Ⅰ</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15" o:spid="_x0000_s1026" o:spt="202" type="#_x0000_t202" style="position:absolute;left:0pt;margin-left:451.1pt;margin-top:1.7pt;height:17.25pt;width:9.55pt;mso-position-horizontal-relative:margin;mso-wrap-distance-left:9pt;mso-wrap-distance-right:9pt;z-index:-251655168;mso-width-relative:page;mso-height-relative:page;" filled="f" stroked="f" coordsize="21600,21600" wrapcoords="0 0 0 20661 20356 20661 20356 0 0 0" o:gfxdata="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2f8lTWAAAACAEAAA8AAAAAAAAAAQAgAAAAIgAAAGRycy9kb3ducmV2Lnht&#10;bFBLAQIUABQAAAAIAIdO4kDRBY1eNAIAAFcEAAAOAAAAAAAAAAEAIAAAACUBAABkcnMvZTJvRG9j&#10;LnhtbFBLBQYAAAAABgAGAFkBAADLBQAAAAA=&#10;">
              <v:fill on="f" focussize="0,0"/>
              <v:stroke on="f" weight="0.5pt"/>
              <v:imagedata o:title=""/>
              <o:lock v:ext="edit" aspectratio="f"/>
              <v:textbox inset="0mm,0mm,0mm,0mm">
                <w:txbxContent>
                  <w:p w14:paraId="4A43BC4C">
                    <w:pPr>
                      <w:pStyle w:val="8"/>
                      <w:rPr>
                        <w:rFonts w:hint="eastAsia" w:ascii="宋体" w:hAnsi="宋体" w:eastAsia="宋体" w:cs="宋体"/>
                        <w:sz w:val="16"/>
                        <w:szCs w:val="16"/>
                      </w:rPr>
                    </w:pPr>
                    <w:r>
                      <w:rPr>
                        <w:rFonts w:hint="eastAsia" w:ascii="宋体" w:hAnsi="宋体" w:eastAsia="宋体" w:cs="宋体"/>
                        <w:sz w:val="16"/>
                        <w:szCs w:val="16"/>
                      </w:rPr>
                      <w:t>Ⅰ</w:t>
                    </w:r>
                  </w:p>
                </w:txbxContent>
              </v:textbox>
              <w10:wrap type="through"/>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356B7">
    <w:pPr>
      <w:pStyle w:val="8"/>
      <w:jc w:val="right"/>
    </w:pPr>
    <w:r>
      <w:rPr>
        <w:sz w:val="18"/>
      </w:rPr>
      <mc:AlternateContent>
        <mc:Choice Requires="wps">
          <w:drawing>
            <wp:anchor distT="0" distB="0" distL="114300" distR="114300" simplePos="0" relativeHeight="251677696" behindDoc="0" locked="0" layoutInCell="1" allowOverlap="1">
              <wp:simplePos x="0" y="0"/>
              <wp:positionH relativeFrom="margin">
                <wp:posOffset>5712460</wp:posOffset>
              </wp:positionH>
              <wp:positionV relativeFrom="paragraph">
                <wp:posOffset>21590</wp:posOffset>
              </wp:positionV>
              <wp:extent cx="149225" cy="173355"/>
              <wp:effectExtent l="0" t="0" r="0" b="0"/>
              <wp:wrapNone/>
              <wp:docPr id="36" name="文本框 26"/>
              <wp:cNvGraphicFramePr/>
              <a:graphic xmlns:a="http://schemas.openxmlformats.org/drawingml/2006/main">
                <a:graphicData uri="http://schemas.microsoft.com/office/word/2010/wordprocessingShape">
                  <wps:wsp>
                    <wps:cNvSpPr txBox="1"/>
                    <wps:spPr>
                      <a:xfrm>
                        <a:off x="0" y="0"/>
                        <a:ext cx="149225" cy="1733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3A5148">
                          <w:pPr>
                            <w:pStyle w:val="8"/>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文本框 26" o:spid="_x0000_s1026" o:spt="202" type="#_x0000_t202" style="position:absolute;left:0pt;margin-left:449.8pt;margin-top:1.7pt;height:13.65pt;width:11.75pt;mso-position-horizontal-relative:margin;z-index:251677696;mso-width-relative:page;mso-height-relative:page;" filled="f" stroked="f" coordsize="21600,21600" o:gfxdata="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JRdwzXAAAACAEAAA8AAAAAAAAAAQAgAAAAIgAAAGRycy9kb3du&#10;cmV2LnhtbFBLAQIUABQAAAAIAIdO4kDj09kPOQIAAGMEAAAOAAAAAAAAAAEAIAAAACYBAABkcnMv&#10;ZTJvRG9jLnhtbFBLBQYAAAAABgAGAFkBAADRBQAAAAA=&#10;">
              <v:fill on="f" focussize="0,0"/>
              <v:stroke on="f" weight="0.5pt"/>
              <v:imagedata o:title=""/>
              <o:lock v:ext="edit" aspectratio="f"/>
              <v:textbox inset="0mm,0mm,0mm,0mm">
                <w:txbxContent>
                  <w:p w14:paraId="483A5148">
                    <w:pPr>
                      <w:pStyle w:val="8"/>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A8A26">
    <w:pPr>
      <w:pStyle w:val="8"/>
    </w:pPr>
    <w: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06E2F6">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RpHTg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RpHTgtAgAAVwQAAA4AAAAAAAAAAQAgAAAAHwEAAGRycy9lMm9Eb2MueG1sUEsFBgAAAAAG&#10;AAYAWQEAAL4FAAAAAA==&#10;">
              <v:fill on="f" focussize="0,0"/>
              <v:stroke on="f" weight="0.5pt"/>
              <v:imagedata o:title=""/>
              <o:lock v:ext="edit" aspectratio="f"/>
              <v:textbox inset="0mm,0mm,0mm,0mm" style="mso-fit-shape-to-text:t;">
                <w:txbxContent>
                  <w:p w14:paraId="5106E2F6">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6252F">
    <w:pPr>
      <w:tabs>
        <w:tab w:val="center" w:pos="4153"/>
        <w:tab w:val="right" w:pos="8306"/>
      </w:tabs>
      <w:snapToGrid w:val="0"/>
      <w:rPr>
        <w:sz w:val="18"/>
        <w:szCs w:val="18"/>
      </w:rPr>
    </w:pPr>
    <w:r>
      <mc:AlternateContent>
        <mc:Choice Requires="wps">
          <w:drawing>
            <wp:anchor distT="0" distB="0" distL="114300" distR="114300" simplePos="0" relativeHeight="251676672" behindDoc="1" locked="0" layoutInCell="1" allowOverlap="1">
              <wp:simplePos x="0" y="0"/>
              <wp:positionH relativeFrom="margin">
                <wp:posOffset>5643880</wp:posOffset>
              </wp:positionH>
              <wp:positionV relativeFrom="paragraph">
                <wp:posOffset>11430</wp:posOffset>
              </wp:positionV>
              <wp:extent cx="121285" cy="219075"/>
              <wp:effectExtent l="0" t="0" r="0" b="0"/>
              <wp:wrapThrough wrapText="bothSides">
                <wp:wrapPolygon>
                  <wp:start x="565" y="313"/>
                  <wp:lineTo x="21035" y="313"/>
                  <wp:lineTo x="21035" y="21287"/>
                  <wp:lineTo x="565" y="21287"/>
                  <wp:lineTo x="565" y="313"/>
                </wp:wrapPolygon>
              </wp:wrapThrough>
              <wp:docPr id="40" name="文本框 23"/>
              <wp:cNvGraphicFramePr/>
              <a:graphic xmlns:a="http://schemas.openxmlformats.org/drawingml/2006/main">
                <a:graphicData uri="http://schemas.microsoft.com/office/word/2010/wordprocessingShape">
                  <wps:wsp>
                    <wps:cNvSpPr txBox="1"/>
                    <wps:spPr>
                      <a:xfrm>
                        <a:off x="0" y="0"/>
                        <a:ext cx="121285" cy="2190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1563F2">
                          <w:pPr>
                            <w:pStyle w:val="8"/>
                            <w:rPr>
                              <w:rFonts w:hint="eastAsia"/>
                            </w:rPr>
                          </w:pPr>
                          <w:r>
                            <w:rPr>
                              <w:rFonts w:hint="eastAsia"/>
                            </w:rPr>
                            <w:t>1</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文本框 23" o:spid="_x0000_s1026" o:spt="202" type="#_x0000_t202" style="position:absolute;left:0pt;margin-left:444.4pt;margin-top:0.9pt;height:17.25pt;width:9.55pt;mso-position-horizontal-relative:margin;mso-wrap-distance-left:9pt;mso-wrap-distance-right:9pt;z-index:-251639808;mso-width-relative:page;mso-height-relative:page;" filled="f" stroked="f" coordsize="21600,21600" wrapcoords="565 313 21035 313 21035 21287 565 21287 565 313" o:gfxdata="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rDaxk1gAAAAgBAAAPAAAAAAAAAAEAIAAAACIAAABkcnMvZG93bnJldi54bWxQ&#10;SwECFAAUAAAACACHTuJAgGhNwjICAABXBAAADgAAAAAAAAABACAAAAAlAQAAZHJzL2Uyb0RvYy54&#10;bWxQSwUGAAAAAAYABgBZAQAAyQUAAAAA&#10;">
              <v:fill on="f" focussize="0,0"/>
              <v:stroke on="f" weight="0.5pt"/>
              <v:imagedata o:title=""/>
              <o:lock v:ext="edit" aspectratio="f"/>
              <v:textbox inset="0mm,0mm,0mm,0mm">
                <w:txbxContent>
                  <w:p w14:paraId="481563F2">
                    <w:pPr>
                      <w:pStyle w:val="8"/>
                      <w:rPr>
                        <w:rFonts w:hint="eastAsia"/>
                      </w:rPr>
                    </w:pPr>
                    <w:r>
                      <w:rPr>
                        <w:rFonts w:hint="eastAsia"/>
                      </w:rPr>
                      <w:t>1</w:t>
                    </w:r>
                  </w:p>
                </w:txbxContent>
              </v:textbox>
              <w10:wrap type="through"/>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BF4ED">
    <w:pPr>
      <w:snapToGrid w:val="0"/>
      <w:jc w:val="left"/>
      <w:rPr>
        <w:rFonts w:hint="eastAsia" w:ascii="黑体" w:hAnsi="黑体" w:eastAsia="黑体"/>
        <w:bCs/>
        <w:kern w:val="0"/>
        <w:szCs w:val="28"/>
      </w:rPr>
    </w:pPr>
  </w:p>
  <w:p w14:paraId="562A8C51">
    <w:pPr>
      <w:snapToGrid w:val="0"/>
      <w:jc w:val="left"/>
      <w:rPr>
        <w:rFonts w:hint="eastAsia" w:ascii="黑体" w:hAnsi="黑体" w:eastAsia="黑体"/>
        <w:bCs/>
        <w:kern w:val="0"/>
        <w:szCs w:val="28"/>
      </w:rPr>
    </w:pPr>
  </w:p>
  <w:p w14:paraId="6245A76E">
    <w:pPr>
      <w:snapToGrid w:val="0"/>
      <w:jc w:val="left"/>
    </w:pPr>
    <w:r>
      <w:rPr>
        <w:rFonts w:hint="eastAsia" w:ascii="黑体" w:hAnsi="黑体" w:eastAsia="黑体"/>
        <w:bCs/>
        <w:kern w:val="0"/>
        <w:szCs w:val="28"/>
      </w:rPr>
      <w:t>DB34/T  ××－2024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0C315">
    <w:pPr>
      <w:snapToGrid w:val="0"/>
      <w:jc w:val="left"/>
      <w:rPr>
        <w:rFonts w:hint="eastAsia" w:ascii="黑体" w:hAnsi="黑体" w:eastAsia="黑体"/>
        <w:b/>
        <w:kern w:val="0"/>
        <w:szCs w:val="28"/>
      </w:rPr>
    </w:pPr>
  </w:p>
  <w:p w14:paraId="6F140CF1">
    <w:pPr>
      <w:snapToGrid w:val="0"/>
      <w:jc w:val="left"/>
      <w:rPr>
        <w:rFonts w:hint="eastAsia" w:ascii="黑体" w:hAnsi="黑体" w:eastAsia="黑体"/>
        <w:b/>
        <w:kern w:val="0"/>
        <w:szCs w:val="28"/>
      </w:rPr>
    </w:pPr>
  </w:p>
  <w:p w14:paraId="1447B603">
    <w:pPr>
      <w:snapToGrid w:val="0"/>
      <w:spacing w:after="280"/>
      <w:jc w:val="right"/>
    </w:pPr>
    <w:r>
      <w:rPr>
        <w:rFonts w:hint="eastAsia" w:ascii="黑体" w:hAnsi="黑体" w:eastAsia="黑体"/>
        <w:bCs/>
        <w:kern w:val="0"/>
        <w:szCs w:val="28"/>
      </w:rPr>
      <w:t>DB34/ T ****—2024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E768E">
    <w:pPr>
      <w:snapToGrid w:val="0"/>
      <w:jc w:val="left"/>
      <w:rPr>
        <w:rFonts w:hint="eastAsia" w:ascii="黑体" w:hAnsi="黑体" w:eastAsia="黑体"/>
        <w:bCs/>
        <w:kern w:val="0"/>
        <w:szCs w:val="28"/>
      </w:rPr>
    </w:pPr>
  </w:p>
  <w:p w14:paraId="4CBD3D17">
    <w:pPr>
      <w:snapToGrid w:val="0"/>
      <w:jc w:val="left"/>
      <w:rPr>
        <w:rFonts w:hint="eastAsia" w:ascii="黑体" w:hAnsi="黑体" w:eastAsia="黑体"/>
        <w:bCs/>
        <w:kern w:val="0"/>
        <w:szCs w:val="28"/>
      </w:rPr>
    </w:pPr>
  </w:p>
  <w:p w14:paraId="103C86B2">
    <w:pPr>
      <w:snapToGrid w:val="0"/>
      <w:jc w:val="right"/>
      <w:rPr>
        <w:rFonts w:hint="eastAsia" w:ascii="黑体" w:hAnsi="黑体" w:eastAsia="黑体"/>
        <w:bCs/>
        <w:kern w:val="0"/>
        <w:szCs w:val="28"/>
      </w:rPr>
    </w:pPr>
    <w:r>
      <w:rPr>
        <w:rFonts w:hint="eastAsia" w:ascii="黑体" w:hAnsi="黑体" w:eastAsia="黑体"/>
        <w:bCs/>
        <w:kern w:val="0"/>
        <w:szCs w:val="28"/>
      </w:rPr>
      <w:t>DB34/T  ××－2024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C56D7">
    <w:pPr>
      <w:snapToGrid w:val="0"/>
      <w:jc w:val="left"/>
      <w:rPr>
        <w:rFonts w:hint="eastAsia" w:ascii="黑体" w:hAnsi="黑体" w:eastAsia="黑体"/>
        <w:b/>
        <w:kern w:val="0"/>
        <w:szCs w:val="28"/>
      </w:rPr>
    </w:pPr>
  </w:p>
  <w:p w14:paraId="3ACA77E0">
    <w:pPr>
      <w:snapToGrid w:val="0"/>
      <w:jc w:val="left"/>
      <w:rPr>
        <w:rFonts w:hint="eastAsia" w:ascii="黑体" w:hAnsi="黑体" w:eastAsia="黑体"/>
        <w:b/>
        <w:kern w:val="0"/>
        <w:szCs w:val="28"/>
      </w:rPr>
    </w:pPr>
  </w:p>
  <w:p w14:paraId="04449425">
    <w:pPr>
      <w:snapToGrid w:val="0"/>
      <w:jc w:val="right"/>
      <w:rPr>
        <w:rFonts w:hint="eastAsia" w:ascii="黑体" w:hAnsi="黑体" w:eastAsia="黑体"/>
        <w:bCs/>
        <w:kern w:val="0"/>
        <w:szCs w:val="28"/>
      </w:rPr>
    </w:pPr>
    <w:r>
      <w:rPr>
        <w:rFonts w:hint="eastAsia" w:ascii="黑体" w:hAnsi="黑体" w:eastAsia="黑体"/>
        <w:bCs/>
        <w:kern w:val="0"/>
        <w:szCs w:val="28"/>
      </w:rPr>
      <w:t>DB34/T  ××－2024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documentProtection w:enforcement="0"/>
  <w:defaultTabStop w:val="420"/>
  <w:evenAndOddHeaders w:val="1"/>
  <w:drawingGridHorizontalSpacing w:val="210"/>
  <w:drawingGridVerticalSpacing w:val="156"/>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2OTNhNTI1NjI1ZjRiNTUwODU4ZGNhNWNkNDU4NTUifQ=="/>
    <w:docVar w:name="KSO_WPS_MARK_KEY" w:val="e37862e2-b83d-4788-a472-d74a3cd8099a"/>
  </w:docVars>
  <w:rsids>
    <w:rsidRoot w:val="00172A27"/>
    <w:rsid w:val="00172A27"/>
    <w:rsid w:val="003E2A50"/>
    <w:rsid w:val="005922AE"/>
    <w:rsid w:val="00A96F1D"/>
    <w:rsid w:val="00FA23BD"/>
    <w:rsid w:val="022E7CEC"/>
    <w:rsid w:val="0591221D"/>
    <w:rsid w:val="0F0373BA"/>
    <w:rsid w:val="143A75CA"/>
    <w:rsid w:val="15917C2A"/>
    <w:rsid w:val="17FEDAE8"/>
    <w:rsid w:val="1CB007FA"/>
    <w:rsid w:val="1DEB28E6"/>
    <w:rsid w:val="1E5E3458"/>
    <w:rsid w:val="1FBD8740"/>
    <w:rsid w:val="21134DD2"/>
    <w:rsid w:val="28D61EBD"/>
    <w:rsid w:val="2B5B04B7"/>
    <w:rsid w:val="2D58479E"/>
    <w:rsid w:val="2E750AC0"/>
    <w:rsid w:val="2FB73586"/>
    <w:rsid w:val="2FBD8F50"/>
    <w:rsid w:val="347D6C7B"/>
    <w:rsid w:val="35C61F7E"/>
    <w:rsid w:val="36941E25"/>
    <w:rsid w:val="37184804"/>
    <w:rsid w:val="372F25EE"/>
    <w:rsid w:val="395F435E"/>
    <w:rsid w:val="3A810870"/>
    <w:rsid w:val="3BC762BC"/>
    <w:rsid w:val="3EBF52D9"/>
    <w:rsid w:val="3EFD7797"/>
    <w:rsid w:val="3FCA1333"/>
    <w:rsid w:val="3FFF6880"/>
    <w:rsid w:val="407422F5"/>
    <w:rsid w:val="40850FE3"/>
    <w:rsid w:val="40B300ED"/>
    <w:rsid w:val="40F028D4"/>
    <w:rsid w:val="47360774"/>
    <w:rsid w:val="4BB8B51E"/>
    <w:rsid w:val="4DDF6240"/>
    <w:rsid w:val="4EA67419"/>
    <w:rsid w:val="4FFEE031"/>
    <w:rsid w:val="515E0B1E"/>
    <w:rsid w:val="563B3C13"/>
    <w:rsid w:val="5755277E"/>
    <w:rsid w:val="5CB5557D"/>
    <w:rsid w:val="5DA61FE9"/>
    <w:rsid w:val="5F0C46A7"/>
    <w:rsid w:val="5FBF4278"/>
    <w:rsid w:val="62816E52"/>
    <w:rsid w:val="648A0240"/>
    <w:rsid w:val="677C417B"/>
    <w:rsid w:val="679C3B6C"/>
    <w:rsid w:val="67A725F6"/>
    <w:rsid w:val="685C16C4"/>
    <w:rsid w:val="6BAA11C7"/>
    <w:rsid w:val="6C3B62C3"/>
    <w:rsid w:val="6ED93C85"/>
    <w:rsid w:val="6F8662B1"/>
    <w:rsid w:val="75B0411F"/>
    <w:rsid w:val="760B4ED2"/>
    <w:rsid w:val="77E16086"/>
    <w:rsid w:val="77EF159E"/>
    <w:rsid w:val="77FF48A0"/>
    <w:rsid w:val="7EFF5BF0"/>
    <w:rsid w:val="7F1E7AAB"/>
    <w:rsid w:val="7F7ED231"/>
    <w:rsid w:val="7FE7375E"/>
    <w:rsid w:val="7FF2BCBD"/>
    <w:rsid w:val="7FF71830"/>
    <w:rsid w:val="9B572591"/>
    <w:rsid w:val="B9FBAA7E"/>
    <w:rsid w:val="D7BF04A8"/>
    <w:rsid w:val="EE29A73F"/>
    <w:rsid w:val="F71FA666"/>
    <w:rsid w:val="F7F3904A"/>
    <w:rsid w:val="F9FF50F6"/>
    <w:rsid w:val="FDFE4379"/>
    <w:rsid w:val="FFE961F7"/>
    <w:rsid w:val="FFF1EAEF"/>
    <w:rsid w:val="FFFD36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50" w:beforeLines="50" w:after="50" w:afterLines="50" w:line="360" w:lineRule="auto"/>
      <w:ind w:left="420" w:hanging="420"/>
      <w:outlineLvl w:val="0"/>
    </w:pPr>
    <w:rPr>
      <w:rFonts w:ascii="黑体" w:hAnsi="黑体" w:eastAsia="黑体"/>
      <w:bCs/>
      <w:kern w:val="44"/>
      <w:szCs w:val="44"/>
    </w:rPr>
  </w:style>
  <w:style w:type="paragraph" w:styleId="4">
    <w:name w:val="heading 2"/>
    <w:basedOn w:val="1"/>
    <w:next w:val="1"/>
    <w:unhideWhenUsed/>
    <w:qFormat/>
    <w:uiPriority w:val="9"/>
    <w:pPr>
      <w:keepNext/>
      <w:keepLines/>
      <w:spacing w:line="360" w:lineRule="auto"/>
      <w:outlineLvl w:val="1"/>
    </w:pPr>
    <w:rPr>
      <w:rFonts w:ascii="黑体" w:hAnsi="黑体" w:eastAsia="黑体"/>
      <w:bCs/>
      <w:szCs w:val="32"/>
    </w:rPr>
  </w:style>
  <w:style w:type="paragraph" w:styleId="5">
    <w:name w:val="heading 3"/>
    <w:basedOn w:val="1"/>
    <w:next w:val="1"/>
    <w:qFormat/>
    <w:uiPriority w:val="9"/>
    <w:pPr>
      <w:keepNext/>
      <w:keepLines/>
      <w:spacing w:line="408" w:lineRule="auto"/>
      <w:outlineLvl w:val="2"/>
    </w:pPr>
    <w:rPr>
      <w:b/>
      <w:bCs/>
      <w:color w:val="1A1A1A"/>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567"/>
      <w:textAlignment w:val="baseline"/>
    </w:pPr>
    <w:rPr>
      <w:rFonts w:ascii="Times New Roman" w:hAnsi="Times New Roman"/>
      <w:kern w:val="0"/>
      <w:sz w:val="28"/>
      <w:szCs w:val="20"/>
    </w:rPr>
  </w:style>
  <w:style w:type="paragraph" w:styleId="6">
    <w:name w:val="Body Text"/>
    <w:qFormat/>
    <w:uiPriority w:val="1"/>
    <w:pPr>
      <w:widowControl w:val="0"/>
      <w:autoSpaceDE w:val="0"/>
      <w:autoSpaceDN w:val="0"/>
      <w:ind w:left="600"/>
    </w:pPr>
    <w:rPr>
      <w:rFonts w:ascii="Noto Sans CJK JP Regular" w:hAnsi="Noto Sans CJK JP Regular" w:eastAsia="Noto Sans CJK JP Regular" w:cs="Noto Sans CJK JP Regular"/>
      <w:sz w:val="24"/>
      <w:szCs w:val="24"/>
      <w:lang w:val="en-US" w:eastAsia="en-US" w:bidi="ar-SA"/>
    </w:rPr>
  </w:style>
  <w:style w:type="paragraph" w:styleId="7">
    <w:name w:val="Plain Text"/>
    <w:basedOn w:val="1"/>
    <w:unhideWhenUsed/>
    <w:qFormat/>
    <w:uiPriority w:val="99"/>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834"/>
      </w:tabs>
      <w:spacing w:before="120" w:after="120" w:line="400" w:lineRule="exact"/>
      <w:jc w:val="left"/>
    </w:pPr>
    <w:rPr>
      <w:rFonts w:cs="Calibri"/>
      <w:b/>
      <w:bCs/>
      <w:caps/>
      <w:sz w:val="20"/>
      <w:szCs w:val="20"/>
    </w:rPr>
  </w:style>
  <w:style w:type="paragraph" w:styleId="11">
    <w:name w:val="toc 2"/>
    <w:basedOn w:val="1"/>
    <w:next w:val="1"/>
    <w:qFormat/>
    <w:uiPriority w:val="0"/>
    <w:pPr>
      <w:ind w:left="420" w:leftChars="200"/>
    </w:pPr>
  </w:style>
  <w:style w:type="paragraph" w:styleId="12">
    <w:name w:val="Normal (Web)"/>
    <w:basedOn w:val="1"/>
    <w:qFormat/>
    <w:uiPriority w:val="0"/>
    <w:pPr>
      <w:widowControl/>
      <w:spacing w:before="100" w:beforeAutospacing="1" w:after="100" w:afterAutospacing="1"/>
      <w:jc w:val="left"/>
    </w:pPr>
    <w:rPr>
      <w:rFonts w:ascii="Times New Roman" w:hAnsi="Times New Roman"/>
      <w:kern w:val="0"/>
      <w:sz w:val="24"/>
      <w:szCs w:val="24"/>
    </w:rPr>
  </w:style>
  <w:style w:type="paragraph" w:styleId="13">
    <w:name w:val="Body Text First Indent"/>
    <w:basedOn w:val="6"/>
    <w:semiHidden/>
    <w:unhideWhenUsed/>
    <w:qFormat/>
    <w:uiPriority w:val="99"/>
    <w:pPr>
      <w:autoSpaceDE/>
      <w:autoSpaceDN/>
      <w:spacing w:after="120"/>
      <w:ind w:left="0" w:firstLine="420" w:firstLineChars="100"/>
      <w:jc w:val="both"/>
    </w:pPr>
    <w:rPr>
      <w:rFonts w:ascii="Calibri" w:hAnsi="Calibri" w:eastAsia="宋体" w:cs="Times New Roman"/>
      <w:kern w:val="2"/>
      <w:sz w:val="21"/>
      <w:szCs w:val="22"/>
      <w:lang w:eastAsia="zh-CN"/>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font21"/>
    <w:basedOn w:val="16"/>
    <w:qFormat/>
    <w:uiPriority w:val="0"/>
    <w:rPr>
      <w:rFonts w:ascii="黑体" w:hAnsi="宋体" w:eastAsia="黑体" w:cs="黑体"/>
      <w:b/>
      <w:color w:val="000000"/>
      <w:sz w:val="18"/>
      <w:szCs w:val="18"/>
      <w:u w:val="none"/>
    </w:rPr>
  </w:style>
  <w:style w:type="character" w:customStyle="1" w:styleId="19">
    <w:name w:val="font51"/>
    <w:qFormat/>
    <w:uiPriority w:val="0"/>
    <w:rPr>
      <w:rFonts w:hint="eastAsia" w:ascii="宋体" w:hAnsi="宋体" w:eastAsia="宋体" w:cs="宋体"/>
      <w:color w:val="000000"/>
      <w:sz w:val="18"/>
      <w:szCs w:val="18"/>
      <w:u w:val="none"/>
    </w:rPr>
  </w:style>
  <w:style w:type="paragraph" w:customStyle="1" w:styleId="2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2">
    <w:name w:val="Table Paragraph"/>
    <w:qFormat/>
    <w:uiPriority w:val="1"/>
    <w:pPr>
      <w:widowControl w:val="0"/>
      <w:autoSpaceDE w:val="0"/>
      <w:autoSpaceDN w:val="0"/>
    </w:pPr>
    <w:rPr>
      <w:rFonts w:ascii="Noto Sans CJK JP Regular" w:hAnsi="Noto Sans CJK JP Regular" w:eastAsia="Noto Sans CJK JP Regular" w:cs="Noto Sans CJK JP Regular"/>
      <w:sz w:val="22"/>
      <w:szCs w:val="22"/>
      <w:lang w:val="en-US" w:eastAsia="en-US" w:bidi="ar-SA"/>
    </w:rPr>
  </w:style>
  <w:style w:type="paragraph" w:customStyle="1" w:styleId="23">
    <w:name w:val="正文666"/>
    <w:qFormat/>
    <w:uiPriority w:val="0"/>
    <w:pPr>
      <w:widowControl w:val="0"/>
      <w:spacing w:before="50" w:beforeLines="50" w:after="50" w:afterLines="50"/>
      <w:ind w:firstLine="420" w:firstLineChars="200"/>
      <w:jc w:val="both"/>
    </w:pPr>
    <w:rPr>
      <w:rFonts w:ascii="宋体" w:hAnsi="宋体" w:eastAsia="宋体" w:cs="Times New Roman"/>
      <w:kern w:val="2"/>
      <w:sz w:val="21"/>
      <w:szCs w:val="22"/>
      <w:lang w:val="en-US" w:eastAsia="zh-CN" w:bidi="ar-SA"/>
    </w:rPr>
  </w:style>
  <w:style w:type="table" w:customStyle="1" w:styleId="24">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7">
    <w:name w:val="其他标准标志"/>
    <w:basedOn w:val="25"/>
    <w:qFormat/>
    <w:uiPriority w:val="0"/>
    <w:pPr>
      <w:framePr w:w="6101" w:vAnchor="page" w:hAnchor="page" w:x="4673" w:y="942"/>
    </w:pPr>
    <w:rPr>
      <w:w w:val="130"/>
    </w:rPr>
  </w:style>
  <w:style w:type="paragraph" w:customStyle="1" w:styleId="28">
    <w:name w:val="其他标准称谓"/>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一致性程度标识"/>
    <w:basedOn w:val="30"/>
    <w:qFormat/>
    <w:uiPriority w:val="0"/>
    <w:pPr>
      <w:spacing w:before="440"/>
    </w:pPr>
    <w:rPr>
      <w:rFonts w:ascii="宋体" w:eastAsia="宋体"/>
    </w:rPr>
  </w:style>
  <w:style w:type="paragraph" w:customStyle="1" w:styleId="30">
    <w:name w:val="封面标准英文名称"/>
    <w:basedOn w:val="20"/>
    <w:qFormat/>
    <w:uiPriority w:val="0"/>
    <w:pPr>
      <w:spacing w:before="370" w:line="400" w:lineRule="exact"/>
    </w:pPr>
    <w:rPr>
      <w:rFonts w:ascii="Times New Roman"/>
      <w:sz w:val="28"/>
      <w:szCs w:val="28"/>
    </w:rPr>
  </w:style>
  <w:style w:type="paragraph" w:customStyle="1" w:styleId="3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character" w:customStyle="1" w:styleId="32">
    <w:name w:val="font141"/>
    <w:basedOn w:val="16"/>
    <w:qFormat/>
    <w:uiPriority w:val="0"/>
    <w:rPr>
      <w:rFonts w:ascii="宋体" w:hAnsi="宋体" w:eastAsia="宋体" w:cs="宋体"/>
      <w:color w:val="000000"/>
      <w:sz w:val="16"/>
      <w:szCs w:val="16"/>
      <w:u w:val="none"/>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character" w:customStyle="1" w:styleId="35">
    <w:name w:val="font131"/>
    <w:basedOn w:val="16"/>
    <w:qFormat/>
    <w:uiPriority w:val="0"/>
    <w:rPr>
      <w:rFonts w:ascii="宋体" w:hAnsi="宋体" w:eastAsia="宋体" w:cs="宋体"/>
      <w:b/>
      <w:bCs/>
      <w:color w:val="000000"/>
      <w:sz w:val="16"/>
      <w:szCs w:val="16"/>
      <w:u w:val="none"/>
    </w:rPr>
  </w:style>
  <w:style w:type="paragraph" w:customStyle="1" w:styleId="36">
    <w:name w:val="封面标准文稿类别"/>
    <w:basedOn w:val="29"/>
    <w:qFormat/>
    <w:uiPriority w:val="0"/>
    <w:pPr>
      <w:spacing w:after="160" w:line="240" w:lineRule="auto"/>
    </w:pPr>
    <w:rPr>
      <w:sz w:val="24"/>
    </w:rPr>
  </w:style>
  <w:style w:type="paragraph" w:customStyle="1" w:styleId="3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762</Words>
  <Characters>910</Characters>
  <TotalTime>5</TotalTime>
  <ScaleCrop>false</ScaleCrop>
  <LinksUpToDate>false</LinksUpToDate>
  <CharactersWithSpaces>1009</CharactersWithSpaces>
  <Application>WPS Office_12.1.0.21171_F1E327BC-269C-435d-A152-05C5408002CA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2025-04-11T23:05:00Z</dcterms:created>
  <dc:creator>xiaoh</dc:creator>
  <cp:lastModifiedBy>忐忑</cp:lastModifiedBy>
  <dcterms:modified xsi:type="dcterms:W3CDTF">2025-05-30T01:42:31Z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2D366C35583D4A3CA18739D4A59301A6</vt:lpwstr>
  </property>
  <property fmtid="{D5CDD505-2E9C-101B-9397-08002B2CF9AE}" pid="4" name="KSOTemplateDocerSaveRecord">
    <vt:lpwstr>eyJoZGlkIjoiMjE1MGZmOTRhZjllMGExZDlkZTMzYmYzNTljMTkwODUiLCJ1c2VySWQiOiI0MzYwMTU0NjQifQ==</vt:lpwstr>
  </property>
</Properties>
</file>