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0B6E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598D3C84">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p>
        </w:tc>
        <w:tc>
          <w:tcPr>
            <w:tcW w:w="8855" w:type="dxa"/>
          </w:tcPr>
          <w:p w14:paraId="0E1BD727">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Times New Roman" w:hAnsi="Times New Roman"/>
                <w:color w:val="000000"/>
                <w:sz w:val="24"/>
                <w:szCs w:val="24"/>
              </w:rPr>
              <w:t>11.020</w:t>
            </w: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hint="eastAsia" w:ascii="黑体" w:hAnsi="黑体" w:eastAsia="黑体"/>
                <w:sz w:val="21"/>
                <w:szCs w:val="21"/>
              </w:rPr>
              <w:fldChar w:fldCharType="separate"/>
            </w:r>
            <w:r>
              <w:rPr>
                <w:rFonts w:ascii="黑体" w:hAnsi="黑体" w:eastAsia="黑体"/>
                <w:sz w:val="21"/>
                <w:szCs w:val="21"/>
              </w:rPr>
              <w:fldChar w:fldCharType="end"/>
            </w:r>
            <w:bookmarkEnd w:id="0"/>
          </w:p>
        </w:tc>
      </w:tr>
      <w:tr w14:paraId="088B9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A5EB0E5">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CCS</w:t>
            </w:r>
          </w:p>
        </w:tc>
        <w:tc>
          <w:tcPr>
            <w:tcW w:w="8855" w:type="dxa"/>
          </w:tcPr>
          <w:p w14:paraId="4862CBC7">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Times New Roman" w:hAnsi="Times New Roman"/>
                <w:color w:val="000000"/>
                <w:sz w:val="24"/>
                <w:szCs w:val="24"/>
              </w:rPr>
              <w:t>C 07</w:t>
            </w:r>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BA2227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4ED8B97">
            <w:pPr>
              <w:pStyle w:val="52"/>
              <w:framePr w:w="0" w:hRule="auto" w:wrap="auto" w:vAnchor="margin" w:hAnchor="text" w:xAlign="left" w:yAlign="inline"/>
              <w:rPr>
                <w:rFonts w:hint="eastAsia" w:ascii="宋体" w:hAnsi="宋体"/>
                <w:sz w:val="28"/>
                <w:szCs w:val="28"/>
              </w:rPr>
            </w:pPr>
            <w:bookmarkStart w:id="1"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2" w:name="c1"/>
            <w:r>
              <w:instrText xml:space="preserve"> FORMTEXT </w:instrText>
            </w:r>
            <w:r>
              <w:fldChar w:fldCharType="separate"/>
            </w:r>
            <w:r>
              <w:t>34</w:t>
            </w:r>
            <w:r>
              <w:fldChar w:fldCharType="end"/>
            </w:r>
            <w:bookmarkEnd w:id="2"/>
          </w:p>
        </w:tc>
      </w:tr>
    </w:tbl>
    <w:p w14:paraId="53C8BAD2">
      <w:pPr>
        <w:pStyle w:val="53"/>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3"/>
      <w:r>
        <w:rPr>
          <w:rFonts w:hint="eastAsia" w:ascii="黑体" w:hAnsi="黑体" w:eastAsia="黑体"/>
          <w:b w:val="0"/>
          <w:bCs w:val="0"/>
          <w:w w:val="100"/>
          <w:sz w:val="48"/>
          <w:szCs w:val="48"/>
        </w:rPr>
        <w:t>地方标准</w:t>
      </w:r>
    </w:p>
    <w:bookmarkEnd w:id="1"/>
    <w:p w14:paraId="3A63E713">
      <w:pPr>
        <w:pStyle w:val="198"/>
        <w:framePr/>
        <w:rPr>
          <w:lang w:val="fr-FR"/>
        </w:rPr>
      </w:pPr>
      <w:r>
        <w:rPr>
          <w:lang w:val="fr-FR"/>
        </w:rPr>
        <w:t>DB</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lang w:val="fr-FR"/>
        </w:rPr>
        <w:t>34/T</w:t>
      </w:r>
      <w:r>
        <w:fldChar w:fldCharType="end"/>
      </w:r>
      <w:bookmarkEnd w:id="4"/>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14:paraId="588B9942">
      <w:pPr>
        <w:pStyle w:val="199"/>
        <w:framePr/>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5D1D14BE">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1"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7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4NJ&#10;ltgAAAAMAQAADwAAAAAAAAABACAAAAAiAAAAZHJzL2Rvd25yZXYueG1sUEsBAhQAFAAAAAgAh07i&#10;QGYQhibpAQAAuQMAAA4AAAAAAAAAAQAgAAAAJwEAAGRycy9lMm9Eb2MueG1sUEsFBgAAAAAGAAYA&#10;WQEAAIIFAAAAAA==&#10;">
                <v:fill on="f" focussize="0,0"/>
                <v:stroke color="#000000" joinstyle="round"/>
                <v:imagedata o:title=""/>
                <o:lock v:ext="edit" aspectratio="f"/>
              </v:line>
            </w:pict>
          </mc:Fallback>
        </mc:AlternateContent>
      </w:r>
    </w:p>
    <w:p w14:paraId="0CFC4E9F">
      <w:pPr>
        <w:pStyle w:val="53"/>
        <w:framePr w:w="9639" w:h="6976" w:hRule="exact" w:hSpace="0" w:vSpace="0" w:wrap="around" w:hAnchor="page" w:y="6408"/>
        <w:jc w:val="center"/>
        <w:rPr>
          <w:rFonts w:hint="eastAsia" w:ascii="黑体" w:hAnsi="黑体" w:eastAsia="黑体"/>
          <w:b w:val="0"/>
          <w:bCs w:val="0"/>
          <w:w w:val="100"/>
        </w:rPr>
      </w:pPr>
    </w:p>
    <w:p w14:paraId="64467F6B">
      <w:pPr>
        <w:pStyle w:val="200"/>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智慧手术室服务要求</w:t>
      </w:r>
      <w:r>
        <w:fldChar w:fldCharType="end"/>
      </w:r>
      <w:bookmarkEnd w:id="8"/>
    </w:p>
    <w:p w14:paraId="78750472">
      <w:pPr>
        <w:framePr w:w="9639" w:h="6974" w:hRule="exact" w:wrap="around" w:vAnchor="page" w:hAnchor="page" w:x="1419" w:y="6408" w:anchorLock="1"/>
        <w:ind w:left="-1418"/>
      </w:pPr>
    </w:p>
    <w:p w14:paraId="6FED7C67">
      <w:pPr>
        <w:pStyle w:val="128"/>
        <w:framePr w:w="9639" w:h="6974" w:hRule="exact" w:wrap="around" w:vAnchor="page" w:hAnchor="page" w:x="1419" w:y="6408" w:anchorLock="1"/>
        <w:textAlignment w:val="bottom"/>
        <w:rPr>
          <w:rFonts w:eastAsia="黑体"/>
          <w:color w:val="000000" w:themeColor="text1"/>
          <w:szCs w:val="28"/>
          <w14:textFill>
            <w14:solidFill>
              <w14:schemeClr w14:val="tx1"/>
            </w14:solidFill>
          </w14:textFill>
        </w:rPr>
      </w:pPr>
      <w:r>
        <w:rPr>
          <w:rFonts w:hint="eastAsia" w:eastAsia="黑体"/>
          <w:szCs w:val="28"/>
        </w:rPr>
        <w:t xml:space="preserve">Service requirements for </w:t>
      </w:r>
      <w:r>
        <w:rPr>
          <w:rFonts w:eastAsia="黑体"/>
        </w:rPr>
        <w:t>intelligent</w:t>
      </w:r>
      <w:r>
        <w:rPr>
          <w:rFonts w:hint="eastAsia" w:eastAsia="黑体"/>
          <w:color w:val="000000" w:themeColor="text1"/>
          <w:szCs w:val="28"/>
          <w14:textFill>
            <w14:solidFill>
              <w14:schemeClr w14:val="tx1"/>
            </w14:solidFill>
          </w14:textFill>
        </w:rPr>
        <w:t xml:space="preserve"> operating </w:t>
      </w:r>
      <w:r>
        <w:rPr>
          <w:rFonts w:eastAsia="黑体"/>
          <w:color w:val="000000" w:themeColor="text1"/>
          <w:szCs w:val="28"/>
          <w14:textFill>
            <w14:solidFill>
              <w14:schemeClr w14:val="tx1"/>
            </w14:solidFill>
          </w14:textFill>
        </w:rPr>
        <w:t>d</w:t>
      </w:r>
      <w:r>
        <w:rPr>
          <w:rFonts w:hint="eastAsia" w:eastAsia="黑体"/>
          <w:color w:val="000000" w:themeColor="text1"/>
          <w:szCs w:val="28"/>
          <w14:textFill>
            <w14:solidFill>
              <w14:schemeClr w14:val="tx1"/>
            </w14:solidFill>
          </w14:textFill>
        </w:rPr>
        <w:t>oom</w:t>
      </w:r>
    </w:p>
    <w:p w14:paraId="229D3699">
      <w:pPr>
        <w:framePr w:w="9639" w:h="6974" w:hRule="exact" w:wrap="around" w:vAnchor="page" w:hAnchor="page" w:x="1419" w:y="6408" w:anchorLock="1"/>
        <w:spacing w:line="760" w:lineRule="exact"/>
        <w:ind w:left="-1418"/>
      </w:pPr>
    </w:p>
    <w:p w14:paraId="4016BFEE">
      <w:pPr>
        <w:pStyle w:val="128"/>
        <w:framePr w:w="9639" w:h="6974" w:hRule="exact" w:wrap="around" w:vAnchor="page" w:hAnchor="page" w:x="1419" w:y="6408" w:anchorLock="1"/>
        <w:textAlignment w:val="bottom"/>
        <w:rPr>
          <w:rFonts w:eastAsia="黑体"/>
          <w:szCs w:val="28"/>
        </w:rPr>
      </w:pPr>
    </w:p>
    <w:p w14:paraId="6A52A32C">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征求意见稿）"/>
              <w:listEntry w:val="（工作组讨论稿）"/>
              <w:listEntry w:val=" "/>
              <w:listEntry w:val="草案版次选择"/>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6D4BB66F">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0"/>
    </w:p>
    <w:p w14:paraId="76FC7597">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rFonts w:hint="eastAsia"/>
          <w:b/>
          <w:sz w:val="21"/>
          <w:szCs w:val="28"/>
        </w:rPr>
        <w:t>在提交反馈意见时，请将您知道的相关专利连同支持性文件一并附上。</w:t>
      </w:r>
    </w:p>
    <w:p w14:paraId="1032528F">
      <w:pPr>
        <w:pStyle w:val="196"/>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rPr>
          <w:rFonts w:ascii="黑体"/>
        </w:rPr>
        <w:t>-</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ascii="黑体"/>
        </w:rPr>
        <w:t>-</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14:paraId="512CC237">
      <w:pPr>
        <w:pStyle w:val="197"/>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14:paraId="4EA0CE7C">
      <w:pPr>
        <w:pStyle w:val="154"/>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17"/>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4E2D8070">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2"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5"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DN6QEs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l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DN&#10;6QEs6AEAALgDAAAOAAAAAAAAAAEAIAAAACYBAABkcnMvZTJvRG9jLnhtbFBLBQYAAAAABgAGAFkB&#10;AACABQAAAAA=&#10;">
                <v:fill on="f" focussize="0,0"/>
                <v:stroke color="#000000" joinstyle="round"/>
                <v:imagedata o:title=""/>
                <o:lock v:ext="edit" aspectratio="f"/>
                <w10:anchorlock/>
              </v:line>
            </w:pict>
          </mc:Fallback>
        </mc:AlternateContent>
      </w:r>
    </w:p>
    <w:p w14:paraId="325D490D">
      <w:pPr>
        <w:pStyle w:val="94"/>
        <w:spacing w:after="468"/>
      </w:pPr>
      <w:bookmarkStart w:id="18" w:name="BookMark1"/>
      <w:bookmarkStart w:id="19" w:name="_Toc8318"/>
      <w:bookmarkStart w:id="20" w:name="_Toc131405691"/>
      <w:bookmarkStart w:id="21" w:name="_Toc21072"/>
      <w:r>
        <w:rPr>
          <w:rFonts w:hint="eastAsia"/>
          <w:spacing w:val="320"/>
        </w:rPr>
        <w:t>目</w:t>
      </w:r>
      <w:r>
        <w:rPr>
          <w:rFonts w:hint="eastAsia"/>
        </w:rPr>
        <w:t>次</w:t>
      </w:r>
    </w:p>
    <w:p w14:paraId="743194CC">
      <w:pPr>
        <w:pStyle w:val="20"/>
        <w:rPr>
          <w:rFonts w:hint="eastAsia" w:asciiTheme="minorHAnsi" w:hAnsiTheme="minorHAnsi" w:eastAsiaTheme="minorEastAsia" w:cstheme="minorBidi"/>
          <w:sz w:val="22"/>
          <w:szCs w:val="24"/>
          <w14:ligatures w14:val="standardContextual"/>
        </w:rPr>
      </w:pPr>
      <w:r>
        <w:fldChar w:fldCharType="begin"/>
      </w:r>
      <w:r>
        <w:instrText xml:space="preserve"> TOC \o "1-1" \h \z \u </w:instrText>
      </w:r>
      <w:r>
        <w:fldChar w:fldCharType="separate"/>
      </w:r>
      <w:r>
        <w:fldChar w:fldCharType="begin"/>
      </w:r>
      <w:r>
        <w:instrText xml:space="preserve"> HYPERLINK \l "_Toc196748005" </w:instrText>
      </w:r>
      <w:r>
        <w:fldChar w:fldCharType="separate"/>
      </w:r>
      <w:r>
        <w:rPr>
          <w:rStyle w:val="34"/>
          <w:rFonts w:hint="eastAsia"/>
          <w:spacing w:val="320"/>
        </w:rPr>
        <w:t>前</w:t>
      </w:r>
      <w:r>
        <w:rPr>
          <w:rStyle w:val="34"/>
          <w:rFonts w:hint="eastAsia"/>
        </w:rPr>
        <w:t>言</w:t>
      </w:r>
      <w:r>
        <w:rPr>
          <w:rFonts w:hint="eastAsia"/>
        </w:rPr>
        <w:tab/>
      </w:r>
      <w:r>
        <w:rPr>
          <w:rFonts w:hint="eastAsia"/>
        </w:rPr>
        <w:fldChar w:fldCharType="begin"/>
      </w:r>
      <w:r>
        <w:rPr>
          <w:rFonts w:hint="eastAsia"/>
        </w:rPr>
        <w:instrText xml:space="preserve"> </w:instrText>
      </w:r>
      <w:r>
        <w:instrText xml:space="preserve">PAGEREF _Toc196748005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1186DF15">
      <w:pPr>
        <w:pStyle w:val="20"/>
        <w:rPr>
          <w:rFonts w:hint="eastAsia" w:asciiTheme="minorHAnsi" w:hAnsiTheme="minorHAnsi" w:eastAsiaTheme="minorEastAsia" w:cstheme="minorBidi"/>
          <w:sz w:val="22"/>
          <w:szCs w:val="24"/>
          <w14:ligatures w14:val="standardContextual"/>
        </w:rPr>
      </w:pPr>
      <w:r>
        <w:fldChar w:fldCharType="begin"/>
      </w:r>
      <w:r>
        <w:instrText xml:space="preserve"> HYPERLINK \l "_Toc196748006" </w:instrText>
      </w:r>
      <w:r>
        <w:fldChar w:fldCharType="separate"/>
      </w:r>
      <w:r>
        <w:rPr>
          <w:rStyle w:val="34"/>
          <w:rFonts w:hint="eastAsia"/>
        </w:rPr>
        <w:t>1</w:t>
      </w:r>
      <w:r>
        <w:rPr>
          <w:rStyle w:val="34"/>
          <w:rFonts w:hint="eastAsia" w:ascii="Times New Roman"/>
        </w:rPr>
        <w:t xml:space="preserve"> 范围</w:t>
      </w:r>
      <w:r>
        <w:rPr>
          <w:rFonts w:hint="eastAsia"/>
        </w:rPr>
        <w:tab/>
      </w:r>
      <w:r>
        <w:rPr>
          <w:rFonts w:hint="eastAsia"/>
        </w:rPr>
        <w:fldChar w:fldCharType="begin"/>
      </w:r>
      <w:r>
        <w:rPr>
          <w:rFonts w:hint="eastAsia"/>
        </w:rPr>
        <w:instrText xml:space="preserve"> </w:instrText>
      </w:r>
      <w:r>
        <w:instrText xml:space="preserve">PAGEREF _Toc196748006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F0FBEAF">
      <w:pPr>
        <w:pStyle w:val="20"/>
        <w:rPr>
          <w:rFonts w:hint="eastAsia" w:asciiTheme="minorHAnsi" w:hAnsiTheme="minorHAnsi" w:eastAsiaTheme="minorEastAsia" w:cstheme="minorBidi"/>
          <w:sz w:val="22"/>
          <w:szCs w:val="24"/>
          <w14:ligatures w14:val="standardContextual"/>
        </w:rPr>
      </w:pPr>
      <w:r>
        <w:fldChar w:fldCharType="begin"/>
      </w:r>
      <w:r>
        <w:instrText xml:space="preserve"> HYPERLINK \l "_Toc196748007" </w:instrText>
      </w:r>
      <w:r>
        <w:fldChar w:fldCharType="separate"/>
      </w:r>
      <w:r>
        <w:rPr>
          <w:rStyle w:val="34"/>
          <w:rFonts w:hint="eastAsia"/>
        </w:rPr>
        <w:t>2</w:t>
      </w:r>
      <w:r>
        <w:rPr>
          <w:rStyle w:val="34"/>
          <w:rFonts w:hint="eastAsia" w:ascii="Times New Roman"/>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_Toc196748007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5FAF941">
      <w:pPr>
        <w:pStyle w:val="20"/>
        <w:rPr>
          <w:rFonts w:hint="eastAsia" w:asciiTheme="minorHAnsi" w:hAnsiTheme="minorHAnsi" w:eastAsiaTheme="minorEastAsia" w:cstheme="minorBidi"/>
          <w:sz w:val="22"/>
          <w:szCs w:val="24"/>
          <w14:ligatures w14:val="standardContextual"/>
        </w:rPr>
      </w:pPr>
      <w:r>
        <w:fldChar w:fldCharType="begin"/>
      </w:r>
      <w:r>
        <w:instrText xml:space="preserve"> HYPERLINK \l "_Toc196748008" </w:instrText>
      </w:r>
      <w:r>
        <w:fldChar w:fldCharType="separate"/>
      </w:r>
      <w:r>
        <w:rPr>
          <w:rStyle w:val="34"/>
          <w:rFonts w:hint="eastAsia"/>
        </w:rPr>
        <w:t>3</w:t>
      </w:r>
      <w:r>
        <w:rPr>
          <w:rStyle w:val="34"/>
          <w:rFonts w:hint="eastAsia" w:ascii="Times New Roman"/>
        </w:rPr>
        <w:t xml:space="preserve"> 术语和定义</w:t>
      </w:r>
      <w:r>
        <w:rPr>
          <w:rFonts w:hint="eastAsia"/>
        </w:rPr>
        <w:tab/>
      </w:r>
      <w:r>
        <w:rPr>
          <w:rFonts w:hint="eastAsia"/>
        </w:rPr>
        <w:fldChar w:fldCharType="begin"/>
      </w:r>
      <w:r>
        <w:rPr>
          <w:rFonts w:hint="eastAsia"/>
        </w:rPr>
        <w:instrText xml:space="preserve"> </w:instrText>
      </w:r>
      <w:r>
        <w:instrText xml:space="preserve">PAGEREF _Toc196748008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DCDCD35">
      <w:pPr>
        <w:pStyle w:val="20"/>
        <w:rPr>
          <w:rFonts w:hint="eastAsia" w:asciiTheme="minorHAnsi" w:hAnsiTheme="minorHAnsi" w:eastAsiaTheme="minorEastAsia" w:cstheme="minorBidi"/>
          <w:sz w:val="22"/>
          <w:szCs w:val="24"/>
          <w14:ligatures w14:val="standardContextual"/>
        </w:rPr>
      </w:pPr>
      <w:r>
        <w:fldChar w:fldCharType="begin"/>
      </w:r>
      <w:r>
        <w:instrText xml:space="preserve"> HYPERLINK \l "_Toc196748009" </w:instrText>
      </w:r>
      <w:r>
        <w:fldChar w:fldCharType="separate"/>
      </w:r>
      <w:r>
        <w:rPr>
          <w:rStyle w:val="34"/>
          <w:rFonts w:hint="eastAsia"/>
        </w:rPr>
        <w:t>4</w:t>
      </w:r>
      <w:r>
        <w:rPr>
          <w:rStyle w:val="34"/>
          <w:rFonts w:hint="eastAsia" w:ascii="Times New Roman"/>
        </w:rPr>
        <w:t xml:space="preserve"> 服务提供条件</w:t>
      </w:r>
      <w:r>
        <w:rPr>
          <w:rFonts w:hint="eastAsia"/>
        </w:rPr>
        <w:tab/>
      </w:r>
      <w:r>
        <w:rPr>
          <w:rFonts w:hint="eastAsia"/>
        </w:rPr>
        <w:fldChar w:fldCharType="begin"/>
      </w:r>
      <w:r>
        <w:rPr>
          <w:rFonts w:hint="eastAsia"/>
        </w:rPr>
        <w:instrText xml:space="preserve"> </w:instrText>
      </w:r>
      <w:r>
        <w:instrText xml:space="preserve">PAGEREF _Toc196748009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C019997">
      <w:pPr>
        <w:pStyle w:val="20"/>
        <w:rPr>
          <w:rFonts w:hint="eastAsia" w:asciiTheme="minorHAnsi" w:hAnsiTheme="minorHAnsi" w:eastAsiaTheme="minorEastAsia" w:cstheme="minorBidi"/>
          <w:sz w:val="22"/>
          <w:szCs w:val="24"/>
          <w14:ligatures w14:val="standardContextual"/>
        </w:rPr>
      </w:pPr>
      <w:r>
        <w:fldChar w:fldCharType="begin"/>
      </w:r>
      <w:r>
        <w:instrText xml:space="preserve"> HYPERLINK \l "_Toc196748010" </w:instrText>
      </w:r>
      <w:r>
        <w:fldChar w:fldCharType="separate"/>
      </w:r>
      <w:r>
        <w:rPr>
          <w:rStyle w:val="34"/>
          <w:rFonts w:hint="eastAsia"/>
        </w:rPr>
        <w:t>5</w:t>
      </w:r>
      <w:r>
        <w:rPr>
          <w:rStyle w:val="34"/>
          <w:rFonts w:hint="eastAsia" w:ascii="Times New Roman"/>
        </w:rPr>
        <w:t xml:space="preserve"> 服务内容</w:t>
      </w:r>
      <w:r>
        <w:rPr>
          <w:rFonts w:hint="eastAsia"/>
        </w:rPr>
        <w:tab/>
      </w:r>
      <w:r>
        <w:rPr>
          <w:rFonts w:hint="eastAsia"/>
        </w:rPr>
        <w:fldChar w:fldCharType="begin"/>
      </w:r>
      <w:r>
        <w:rPr>
          <w:rFonts w:hint="eastAsia"/>
        </w:rPr>
        <w:instrText xml:space="preserve"> </w:instrText>
      </w:r>
      <w:r>
        <w:instrText xml:space="preserve">PAGEREF _Toc196748010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74E232C">
      <w:pPr>
        <w:pStyle w:val="20"/>
        <w:rPr>
          <w:rFonts w:hint="eastAsia" w:asciiTheme="minorHAnsi" w:hAnsiTheme="minorHAnsi" w:eastAsiaTheme="minorEastAsia" w:cstheme="minorBidi"/>
          <w:sz w:val="22"/>
          <w:szCs w:val="24"/>
          <w14:ligatures w14:val="standardContextual"/>
        </w:rPr>
      </w:pPr>
      <w:r>
        <w:fldChar w:fldCharType="begin"/>
      </w:r>
      <w:r>
        <w:instrText xml:space="preserve"> HYPERLINK \l "_Toc196748011" </w:instrText>
      </w:r>
      <w:r>
        <w:fldChar w:fldCharType="separate"/>
      </w:r>
      <w:r>
        <w:rPr>
          <w:rStyle w:val="34"/>
          <w:rFonts w:hint="eastAsia"/>
        </w:rPr>
        <w:t>6</w:t>
      </w:r>
      <w:r>
        <w:rPr>
          <w:rStyle w:val="34"/>
          <w:rFonts w:hint="eastAsia" w:ascii="Times New Roman"/>
        </w:rPr>
        <w:t xml:space="preserve"> 服务评价及改进</w:t>
      </w:r>
      <w:r>
        <w:rPr>
          <w:rFonts w:hint="eastAsia"/>
        </w:rPr>
        <w:tab/>
      </w:r>
      <w:r>
        <w:rPr>
          <w:rFonts w:hint="eastAsia"/>
        </w:rPr>
        <w:fldChar w:fldCharType="begin"/>
      </w:r>
      <w:r>
        <w:rPr>
          <w:rFonts w:hint="eastAsia"/>
        </w:rPr>
        <w:instrText xml:space="preserve"> </w:instrText>
      </w:r>
      <w:r>
        <w:instrText xml:space="preserve">PAGEREF _Toc196748011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4B2F9123">
      <w:pPr>
        <w:pStyle w:val="94"/>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8"/>
    <w:p w14:paraId="72D47EB7">
      <w:pPr>
        <w:pStyle w:val="92"/>
        <w:spacing w:before="900" w:after="468"/>
      </w:pPr>
      <w:bookmarkStart w:id="22" w:name="_Toc196748005"/>
      <w:bookmarkStart w:id="23" w:name="BookMark2"/>
      <w:r>
        <w:rPr>
          <w:spacing w:val="320"/>
        </w:rPr>
        <w:t>前</w:t>
      </w:r>
      <w:r>
        <w:t>言</w:t>
      </w:r>
      <w:bookmarkEnd w:id="19"/>
      <w:bookmarkEnd w:id="20"/>
      <w:bookmarkEnd w:id="21"/>
      <w:bookmarkEnd w:id="22"/>
    </w:p>
    <w:p w14:paraId="70CD1E20">
      <w:pPr>
        <w:pStyle w:val="59"/>
        <w:ind w:firstLine="420"/>
      </w:pPr>
      <w:r>
        <w:rPr>
          <w:rFonts w:hint="eastAsia"/>
        </w:rPr>
        <w:t>本文件按照GB/T 1.1—2020《标准化工作导则  第1部分：标准化文件的结构和起草规则》的规定起草。</w:t>
      </w:r>
    </w:p>
    <w:p w14:paraId="63788E23">
      <w:pPr>
        <w:pStyle w:val="59"/>
        <w:ind w:firstLine="420"/>
      </w:pPr>
      <w:r>
        <w:rPr>
          <w:rFonts w:hint="eastAsia"/>
        </w:rPr>
        <w:t>请注意本文件的某些内容可能涉及专利。本文件的发布机构不承担识别专利的责任。</w:t>
      </w:r>
    </w:p>
    <w:p w14:paraId="5914CD60">
      <w:pPr>
        <w:pStyle w:val="59"/>
        <w:ind w:firstLine="420"/>
      </w:pPr>
      <w:r>
        <w:rPr>
          <w:rFonts w:hint="eastAsia"/>
        </w:rPr>
        <w:t>本文件由安徽省卫生健康委员会提出并归口。</w:t>
      </w:r>
    </w:p>
    <w:p w14:paraId="73774A35">
      <w:pPr>
        <w:pStyle w:val="59"/>
        <w:ind w:firstLine="420"/>
      </w:pPr>
      <w:r>
        <w:rPr>
          <w:rFonts w:hint="eastAsia"/>
        </w:rPr>
        <w:t>本文件起草单位：</w:t>
      </w:r>
    </w:p>
    <w:p w14:paraId="6E5C8309">
      <w:pPr>
        <w:pStyle w:val="59"/>
        <w:ind w:firstLine="420"/>
      </w:pPr>
      <w:r>
        <w:rPr>
          <w:rFonts w:hint="eastAsia"/>
        </w:rPr>
        <w:t>本文件主要起草人：</w:t>
      </w:r>
      <w:r>
        <w:t xml:space="preserve"> </w:t>
      </w:r>
    </w:p>
    <w:p w14:paraId="7A7DB98D">
      <w:pPr>
        <w:pStyle w:val="59"/>
        <w:ind w:firstLine="420"/>
      </w:pPr>
    </w:p>
    <w:p w14:paraId="5EAE8881">
      <w:pPr>
        <w:pStyle w:val="59"/>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14:paraId="016AA8F8">
      <w:pPr>
        <w:spacing w:line="20" w:lineRule="exact"/>
        <w:jc w:val="center"/>
        <w:rPr>
          <w:rFonts w:hint="eastAsia" w:ascii="黑体" w:hAnsi="黑体" w:eastAsia="黑体"/>
          <w:sz w:val="32"/>
          <w:szCs w:val="32"/>
        </w:rPr>
      </w:pPr>
      <w:bookmarkStart w:id="24" w:name="BookMark4"/>
    </w:p>
    <w:p w14:paraId="20CE4609">
      <w:pPr>
        <w:spacing w:line="20" w:lineRule="exact"/>
        <w:jc w:val="center"/>
        <w:rPr>
          <w:rFonts w:hint="eastAsia" w:ascii="黑体" w:hAnsi="黑体" w:eastAsia="黑体"/>
          <w:sz w:val="32"/>
          <w:szCs w:val="32"/>
        </w:rPr>
      </w:pPr>
    </w:p>
    <w:bookmarkEnd w:id="24"/>
    <w:p w14:paraId="3170AC25">
      <w:pPr>
        <w:spacing w:line="20" w:lineRule="exact"/>
        <w:jc w:val="center"/>
        <w:rPr>
          <w:rFonts w:ascii="Times New Roman" w:hAnsi="Times New Roman" w:eastAsia="黑体"/>
          <w:sz w:val="32"/>
          <w:szCs w:val="32"/>
        </w:rPr>
      </w:pPr>
    </w:p>
    <w:p w14:paraId="552B43D5">
      <w:pPr>
        <w:spacing w:line="20" w:lineRule="exact"/>
        <w:jc w:val="center"/>
        <w:rPr>
          <w:rFonts w:ascii="Times New Roman" w:hAnsi="Times New Roman" w:eastAsia="黑体"/>
          <w:sz w:val="32"/>
          <w:szCs w:val="32"/>
        </w:rPr>
      </w:pPr>
    </w:p>
    <w:p w14:paraId="40A7486F">
      <w:pPr>
        <w:spacing w:line="20" w:lineRule="exact"/>
        <w:jc w:val="center"/>
        <w:rPr>
          <w:rFonts w:ascii="Times New Roman" w:hAnsi="Times New Roman" w:eastAsia="黑体"/>
          <w:sz w:val="32"/>
          <w:szCs w:val="32"/>
        </w:rPr>
      </w:pPr>
    </w:p>
    <w:p w14:paraId="1B1B9065">
      <w:pPr>
        <w:spacing w:line="20" w:lineRule="exact"/>
        <w:jc w:val="center"/>
        <w:rPr>
          <w:rFonts w:ascii="Times New Roman" w:hAnsi="Times New Roman" w:eastAsia="黑体"/>
          <w:sz w:val="32"/>
          <w:szCs w:val="32"/>
        </w:rPr>
      </w:pPr>
    </w:p>
    <w:sdt>
      <w:sdtPr>
        <w:rPr>
          <w:rFonts w:ascii="Times New Roman" w:hAnsi="Times New Roman"/>
        </w:rPr>
        <w:tag w:val="NEW_STAND_NAME"/>
        <w:id w:val="595910757"/>
        <w:placeholder>
          <w:docPart w:val="76E57505FACB4F8386B04D32EFA46572"/>
        </w:placeholder>
      </w:sdtPr>
      <w:sdtEndPr>
        <w:rPr>
          <w:rFonts w:ascii="Times New Roman" w:hAnsi="Times New Roman"/>
        </w:rPr>
      </w:sdtEndPr>
      <w:sdtContent>
        <w:p w14:paraId="046AF7DF">
          <w:pPr>
            <w:pStyle w:val="180"/>
            <w:spacing w:before="3" w:beforeLines="1" w:after="686" w:afterLines="220"/>
            <w:rPr>
              <w:rFonts w:ascii="Times New Roman" w:hAnsi="Times New Roman"/>
            </w:rPr>
          </w:pPr>
          <w:bookmarkStart w:id="25" w:name="NEW_STAND_NAME"/>
          <w:r>
            <w:rPr>
              <w:rFonts w:ascii="Times New Roman" w:hAnsi="Times New Roman"/>
            </w:rPr>
            <w:t>智慧手术室服务要求</w:t>
          </w:r>
        </w:p>
      </w:sdtContent>
    </w:sdt>
    <w:bookmarkEnd w:id="25"/>
    <w:p w14:paraId="5D5D3D11">
      <w:pPr>
        <w:pStyle w:val="107"/>
        <w:spacing w:before="312" w:after="312"/>
        <w:rPr>
          <w:rFonts w:ascii="Times New Roman"/>
        </w:rPr>
      </w:pPr>
      <w:bookmarkStart w:id="26" w:name="_Toc26986771"/>
      <w:bookmarkStart w:id="27" w:name="_Toc180741048"/>
      <w:bookmarkStart w:id="28" w:name="_Toc24884211"/>
      <w:bookmarkStart w:id="29" w:name="_Toc97195091"/>
      <w:bookmarkStart w:id="30" w:name="_Toc17233325"/>
      <w:bookmarkStart w:id="31" w:name="_Toc17233333"/>
      <w:bookmarkStart w:id="32" w:name="_Toc24884218"/>
      <w:bookmarkStart w:id="33" w:name="_Toc26986530"/>
      <w:bookmarkStart w:id="34" w:name="_Toc196748006"/>
      <w:bookmarkStart w:id="35" w:name="_Toc26718930"/>
      <w:bookmarkStart w:id="36" w:name="_Toc26648465"/>
      <w:bookmarkStart w:id="37" w:name="_Toc180741068"/>
      <w:r>
        <w:rPr>
          <w:rFonts w:ascii="Times New Roman"/>
        </w:rPr>
        <w:t>范围</w:t>
      </w:r>
      <w:bookmarkEnd w:id="26"/>
      <w:bookmarkEnd w:id="27"/>
      <w:bookmarkEnd w:id="28"/>
      <w:bookmarkEnd w:id="29"/>
      <w:bookmarkEnd w:id="30"/>
      <w:bookmarkEnd w:id="31"/>
      <w:bookmarkEnd w:id="32"/>
      <w:bookmarkEnd w:id="33"/>
      <w:bookmarkEnd w:id="34"/>
      <w:bookmarkEnd w:id="35"/>
      <w:bookmarkEnd w:id="36"/>
      <w:bookmarkEnd w:id="37"/>
    </w:p>
    <w:p w14:paraId="0D745740">
      <w:pPr>
        <w:pStyle w:val="59"/>
        <w:ind w:firstLine="420"/>
        <w:rPr>
          <w:rFonts w:ascii="Times New Roman"/>
        </w:rPr>
      </w:pPr>
      <w:bookmarkStart w:id="38" w:name="_Toc26648466"/>
      <w:bookmarkStart w:id="39" w:name="_Toc24884219"/>
      <w:bookmarkStart w:id="40" w:name="_Toc17233326"/>
      <w:bookmarkStart w:id="41" w:name="_Toc17233334"/>
      <w:bookmarkStart w:id="42" w:name="_Toc24884212"/>
      <w:r>
        <w:rPr>
          <w:rFonts w:ascii="Times New Roman"/>
        </w:rPr>
        <w:t xml:space="preserve">本文件规定了医疗机构智慧手术室服务的服务提供条件、服务内容和服务评价及改进。 </w:t>
      </w:r>
    </w:p>
    <w:p w14:paraId="74E7454B">
      <w:pPr>
        <w:pStyle w:val="59"/>
        <w:ind w:firstLine="420"/>
        <w:rPr>
          <w:rFonts w:ascii="Times New Roman"/>
        </w:rPr>
      </w:pPr>
      <w:r>
        <w:rPr>
          <w:rFonts w:ascii="Times New Roman"/>
        </w:rPr>
        <w:t>本文件适用于医疗机构智慧手术室规范化服务的提供、服务评价及改进。</w:t>
      </w:r>
    </w:p>
    <w:p w14:paraId="615B0559">
      <w:pPr>
        <w:pStyle w:val="107"/>
        <w:spacing w:before="312" w:after="312"/>
        <w:rPr>
          <w:rFonts w:ascii="Times New Roman"/>
        </w:rPr>
      </w:pPr>
      <w:bookmarkStart w:id="43" w:name="_Toc26986772"/>
      <w:bookmarkStart w:id="44" w:name="_Toc180741069"/>
      <w:bookmarkStart w:id="45" w:name="_Toc97195092"/>
      <w:bookmarkStart w:id="46" w:name="_Toc26986531"/>
      <w:bookmarkStart w:id="47" w:name="_Toc180741049"/>
      <w:bookmarkStart w:id="48" w:name="_Toc26718931"/>
      <w:bookmarkStart w:id="49" w:name="_Toc196748007"/>
      <w:r>
        <w:rPr>
          <w:rFonts w:ascii="Times New Roman"/>
        </w:rPr>
        <w:t>规范性引用文件</w:t>
      </w:r>
      <w:bookmarkEnd w:id="38"/>
      <w:bookmarkEnd w:id="39"/>
      <w:bookmarkEnd w:id="40"/>
      <w:bookmarkEnd w:id="41"/>
      <w:bookmarkEnd w:id="42"/>
      <w:bookmarkEnd w:id="43"/>
      <w:bookmarkEnd w:id="44"/>
      <w:bookmarkEnd w:id="45"/>
      <w:bookmarkEnd w:id="46"/>
      <w:bookmarkEnd w:id="47"/>
      <w:bookmarkEnd w:id="48"/>
      <w:bookmarkEnd w:id="49"/>
    </w:p>
    <w:sdt>
      <w:sdtPr>
        <w:rPr>
          <w:rFonts w:ascii="Times New Roman"/>
        </w:rPr>
        <w:id w:val="715848253"/>
        <w:placeholder>
          <w:docPart w:val="05DAF4243894487F979D7587C77C9D3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14:paraId="72C5F5B1">
          <w:pPr>
            <w:pStyle w:val="59"/>
            <w:ind w:firstLine="420"/>
            <w:rPr>
              <w:rFonts w:ascii="Times New Roman"/>
            </w:rPr>
          </w:pPr>
          <w:r>
            <w:rPr>
              <w:rFonts w:ascii="Times New Roman"/>
            </w:rPr>
            <w:t>本文件没有规范性引用文件。</w:t>
          </w:r>
        </w:p>
      </w:sdtContent>
    </w:sdt>
    <w:p w14:paraId="19F43DB0">
      <w:pPr>
        <w:pStyle w:val="107"/>
        <w:spacing w:before="312" w:after="312"/>
        <w:rPr>
          <w:rFonts w:ascii="Times New Roman"/>
        </w:rPr>
      </w:pPr>
      <w:bookmarkStart w:id="50" w:name="_Toc196748008"/>
      <w:bookmarkStart w:id="51" w:name="_Toc180741050"/>
      <w:bookmarkStart w:id="52" w:name="_Toc180741070"/>
      <w:bookmarkStart w:id="53" w:name="_Toc97195093"/>
      <w:r>
        <w:rPr>
          <w:rFonts w:ascii="Times New Roman"/>
          <w:szCs w:val="21"/>
        </w:rPr>
        <w:t>术语和定义</w:t>
      </w:r>
      <w:bookmarkEnd w:id="50"/>
      <w:bookmarkEnd w:id="51"/>
      <w:bookmarkEnd w:id="52"/>
      <w:bookmarkEnd w:id="53"/>
    </w:p>
    <w:p w14:paraId="2E0132A7">
      <w:pPr>
        <w:pStyle w:val="59"/>
        <w:ind w:firstLine="420"/>
        <w:rPr>
          <w:rFonts w:ascii="Times New Roman"/>
        </w:rPr>
      </w:pPr>
      <w:bookmarkStart w:id="54" w:name="_Toc26986532"/>
      <w:bookmarkEnd w:id="54"/>
      <w:sdt>
        <w:sdtPr>
          <w:rPr>
            <w:rFonts w:ascii="Times New Roman"/>
          </w:rPr>
          <w:id w:val="-1909835108"/>
          <w:placeholder>
            <w:docPart w:val="4B11C3FF47E743D2A70AFE173E0B34B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r>
            <w:rPr>
              <w:rFonts w:ascii="Times New Roman"/>
            </w:rPr>
            <w:t>下列术语和定义适用于本文件。</w:t>
          </w:r>
        </w:sdtContent>
      </w:sdt>
    </w:p>
    <w:p w14:paraId="711D4581">
      <w:pPr>
        <w:pStyle w:val="226"/>
        <w:ind w:left="420" w:hanging="420" w:hangingChars="200"/>
        <w:rPr>
          <w:rFonts w:ascii="Times New Roman" w:eastAsia="黑体"/>
        </w:rPr>
      </w:pPr>
      <w:r>
        <w:rPr>
          <w:rFonts w:ascii="Times New Roman" w:eastAsia="黑体"/>
        </w:rPr>
        <w:br w:type="textWrapping"/>
      </w:r>
      <w:r>
        <w:rPr>
          <w:rFonts w:ascii="Times New Roman" w:eastAsia="黑体"/>
        </w:rPr>
        <w:t>智慧手术室 intelligent operating room</w:t>
      </w:r>
    </w:p>
    <w:p w14:paraId="30F7A61E">
      <w:pPr>
        <w:pStyle w:val="59"/>
        <w:ind w:firstLine="420"/>
        <w:rPr>
          <w:rFonts w:ascii="Times New Roman"/>
        </w:rPr>
      </w:pPr>
      <w:r>
        <w:rPr>
          <w:rFonts w:ascii="Times New Roman"/>
        </w:rPr>
        <w:t>充分利用物联网、云计算、大数据、移动互联网、人工智能等新一代信息技术的综合集成，结合智能管控系统，为患者手术的全流程闭环管理提供科学、高效、安全、信息共享的工作场景，能够全面提升医院智能化水平的创新型手术室。</w:t>
      </w:r>
    </w:p>
    <w:p w14:paraId="1DC43632">
      <w:pPr>
        <w:pStyle w:val="226"/>
        <w:ind w:left="420" w:hanging="420" w:hangingChars="200"/>
        <w:rPr>
          <w:rFonts w:ascii="Times New Roman" w:eastAsia="黑体"/>
        </w:rPr>
      </w:pPr>
      <w:r>
        <w:rPr>
          <w:rFonts w:ascii="Times New Roman" w:eastAsia="黑体"/>
        </w:rPr>
        <w:br w:type="textWrapping"/>
      </w:r>
      <w:r>
        <w:rPr>
          <w:rFonts w:ascii="Times New Roman" w:eastAsia="黑体"/>
        </w:rPr>
        <w:t>智慧手术室服务 intelligent operating room services</w:t>
      </w:r>
    </w:p>
    <w:p w14:paraId="7BDB8321">
      <w:pPr>
        <w:pStyle w:val="59"/>
        <w:ind w:firstLine="420"/>
        <w:rPr>
          <w:rFonts w:ascii="Times New Roman"/>
        </w:rPr>
      </w:pPr>
      <w:r>
        <w:rPr>
          <w:rFonts w:ascii="Times New Roman"/>
        </w:rPr>
        <w:t>基于智慧手术室围手术期手术业务与管理需要，以保障手术安全、高效为核心目标，</w:t>
      </w:r>
      <w:r>
        <w:rPr>
          <w:rFonts w:hint="eastAsia" w:ascii="Times New Roman"/>
          <w:lang w:eastAsia="zh-CN"/>
        </w:rPr>
        <w:t>实现</w:t>
      </w:r>
      <w:r>
        <w:rPr>
          <w:rFonts w:ascii="Times New Roman"/>
        </w:rPr>
        <w:t>以数据、信息为载体，提供手术业务、运营管理、辅助决策等方面的服务。</w:t>
      </w:r>
    </w:p>
    <w:p w14:paraId="16236964">
      <w:pPr>
        <w:pStyle w:val="226"/>
        <w:ind w:left="420" w:hanging="420" w:hangingChars="200"/>
        <w:rPr>
          <w:rFonts w:ascii="Times New Roman" w:eastAsia="黑体"/>
        </w:rPr>
      </w:pPr>
      <w:r>
        <w:rPr>
          <w:rFonts w:ascii="Times New Roman" w:eastAsia="黑体"/>
        </w:rPr>
        <w:br w:type="textWrapping"/>
      </w:r>
      <w:r>
        <w:rPr>
          <w:rFonts w:ascii="Times New Roman" w:eastAsia="黑体"/>
        </w:rPr>
        <w:t>智能化 intellectualization</w:t>
      </w:r>
    </w:p>
    <w:p w14:paraId="00959520">
      <w:pPr>
        <w:pStyle w:val="59"/>
        <w:ind w:firstLine="420"/>
        <w:rPr>
          <w:rFonts w:ascii="Times New Roman"/>
        </w:rPr>
      </w:pPr>
      <w:r>
        <w:rPr>
          <w:rFonts w:ascii="Times New Roman"/>
        </w:rPr>
        <w:t>使产品或事务</w:t>
      </w:r>
      <w:r>
        <w:rPr>
          <w:rFonts w:hint="eastAsia" w:ascii="Times New Roman"/>
        </w:rPr>
        <w:t>具有对客观事物进行合理分析、判断及有目的的行动和有效地处理周围环境事宜等能力的状态或过程。</w:t>
      </w:r>
    </w:p>
    <w:p w14:paraId="0F9DFDB7">
      <w:pPr>
        <w:pStyle w:val="107"/>
        <w:spacing w:before="312" w:after="312"/>
        <w:rPr>
          <w:rFonts w:ascii="Times New Roman"/>
        </w:rPr>
      </w:pPr>
      <w:bookmarkStart w:id="55" w:name="_Toc180741071"/>
      <w:bookmarkStart w:id="56" w:name="_Toc180741051"/>
      <w:bookmarkStart w:id="57" w:name="_Toc196748009"/>
      <w:r>
        <w:rPr>
          <w:rFonts w:ascii="Times New Roman"/>
        </w:rPr>
        <w:t>服务提供条件</w:t>
      </w:r>
      <w:bookmarkEnd w:id="55"/>
      <w:bookmarkEnd w:id="56"/>
      <w:bookmarkEnd w:id="57"/>
    </w:p>
    <w:p w14:paraId="3256021D">
      <w:pPr>
        <w:pStyle w:val="108"/>
        <w:spacing w:before="156" w:after="156"/>
        <w:rPr>
          <w:rFonts w:ascii="Times New Roman"/>
        </w:rPr>
      </w:pPr>
      <w:bookmarkStart w:id="58" w:name="_Toc180741072"/>
      <w:bookmarkStart w:id="59" w:name="_Toc180741052"/>
      <w:r>
        <w:rPr>
          <w:rFonts w:ascii="Times New Roman"/>
        </w:rPr>
        <w:t>服务人员</w:t>
      </w:r>
      <w:bookmarkEnd w:id="58"/>
      <w:bookmarkEnd w:id="59"/>
    </w:p>
    <w:p w14:paraId="0AF3A31D">
      <w:pPr>
        <w:pStyle w:val="59"/>
        <w:ind w:firstLine="420"/>
        <w:rPr>
          <w:rFonts w:ascii="Times New Roman"/>
        </w:rPr>
      </w:pPr>
      <w:r>
        <w:rPr>
          <w:rFonts w:hint="eastAsia" w:ascii="Times New Roman"/>
        </w:rPr>
        <w:t>服务人员</w:t>
      </w:r>
      <w:r>
        <w:rPr>
          <w:rFonts w:ascii="Times New Roman"/>
        </w:rPr>
        <w:t>包括但不限于：</w:t>
      </w:r>
    </w:p>
    <w:p w14:paraId="3FC55811">
      <w:pPr>
        <w:pStyle w:val="135"/>
        <w:rPr>
          <w:rFonts w:ascii="Times New Roman"/>
        </w:rPr>
      </w:pPr>
      <w:r>
        <w:rPr>
          <w:rFonts w:hint="eastAsia" w:ascii="Times New Roman"/>
        </w:rPr>
        <w:t>信息中心工程师</w:t>
      </w:r>
      <w:r>
        <w:rPr>
          <w:rFonts w:ascii="Times New Roman"/>
        </w:rPr>
        <w:t>；</w:t>
      </w:r>
    </w:p>
    <w:p w14:paraId="23B69C82">
      <w:pPr>
        <w:pStyle w:val="135"/>
        <w:rPr>
          <w:rFonts w:ascii="Times New Roman"/>
        </w:rPr>
      </w:pPr>
      <w:r>
        <w:rPr>
          <w:rFonts w:hint="eastAsia" w:ascii="Times New Roman"/>
        </w:rPr>
        <w:t>终端维修工程师</w:t>
      </w:r>
      <w:r>
        <w:rPr>
          <w:rFonts w:ascii="Times New Roman"/>
        </w:rPr>
        <w:t>；</w:t>
      </w:r>
    </w:p>
    <w:p w14:paraId="2F9EEBA3">
      <w:pPr>
        <w:pStyle w:val="135"/>
        <w:rPr>
          <w:rFonts w:ascii="Times New Roman"/>
        </w:rPr>
      </w:pPr>
      <w:r>
        <w:rPr>
          <w:rFonts w:hint="eastAsia" w:ascii="Times New Roman"/>
        </w:rPr>
        <w:t>网络工程师</w:t>
      </w:r>
      <w:r>
        <w:rPr>
          <w:rFonts w:ascii="Times New Roman"/>
        </w:rPr>
        <w:t>；</w:t>
      </w:r>
    </w:p>
    <w:p w14:paraId="7EC29FD5">
      <w:pPr>
        <w:pStyle w:val="135"/>
        <w:rPr>
          <w:rFonts w:ascii="Times New Roman"/>
        </w:rPr>
      </w:pPr>
      <w:r>
        <w:rPr>
          <w:rFonts w:hint="eastAsia" w:ascii="Times New Roman"/>
        </w:rPr>
        <w:t>数据库工程师</w:t>
      </w:r>
      <w:r>
        <w:rPr>
          <w:rFonts w:ascii="Times New Roman"/>
        </w:rPr>
        <w:t>；</w:t>
      </w:r>
    </w:p>
    <w:p w14:paraId="0B7AA37F">
      <w:pPr>
        <w:pStyle w:val="135"/>
        <w:rPr>
          <w:rFonts w:ascii="Times New Roman"/>
        </w:rPr>
      </w:pPr>
      <w:r>
        <w:rPr>
          <w:rFonts w:hint="eastAsia" w:ascii="Times New Roman"/>
        </w:rPr>
        <w:t>医学工程师</w:t>
      </w:r>
      <w:r>
        <w:rPr>
          <w:rFonts w:ascii="Times New Roman"/>
        </w:rPr>
        <w:t>；</w:t>
      </w:r>
    </w:p>
    <w:p w14:paraId="103D82CA">
      <w:pPr>
        <w:pStyle w:val="135"/>
        <w:rPr>
          <w:rFonts w:ascii="Times New Roman"/>
        </w:rPr>
      </w:pPr>
      <w:r>
        <w:rPr>
          <w:rFonts w:hint="eastAsia" w:ascii="Times New Roman"/>
        </w:rPr>
        <w:t>人工智能工程师</w:t>
      </w:r>
      <w:r>
        <w:rPr>
          <w:rFonts w:ascii="Times New Roman"/>
        </w:rPr>
        <w:t>。</w:t>
      </w:r>
    </w:p>
    <w:p w14:paraId="09936055">
      <w:pPr>
        <w:pStyle w:val="135"/>
        <w:numPr>
          <w:ilvl w:val="0"/>
          <w:numId w:val="0"/>
        </w:numPr>
        <w:ind w:left="851" w:hanging="426"/>
        <w:rPr>
          <w:rFonts w:ascii="Times New Roman"/>
        </w:rPr>
      </w:pPr>
    </w:p>
    <w:p w14:paraId="3CC83228">
      <w:pPr>
        <w:pStyle w:val="168"/>
      </w:pPr>
      <w:r>
        <w:t>从事服务的人员数量应与其服务的智慧手术室的规模相匹配。</w:t>
      </w:r>
    </w:p>
    <w:p w14:paraId="2C59420F">
      <w:pPr>
        <w:pStyle w:val="168"/>
      </w:pPr>
      <w:r>
        <w:t>从事软硬件安装、维修、维护保养服务的信息化人员应经过软硬件提供商或其认可机构</w:t>
      </w:r>
      <w:r>
        <w:rPr>
          <w:rFonts w:hint="eastAsia"/>
        </w:rPr>
        <w:t>定期开展的</w:t>
      </w:r>
      <w:r>
        <w:t>相关专业知识培训，并取得培训合格证书。</w:t>
      </w:r>
    </w:p>
    <w:p w14:paraId="29C97405">
      <w:pPr>
        <w:pStyle w:val="168"/>
      </w:pPr>
      <w:r>
        <w:rPr>
          <w:rFonts w:hint="eastAsia"/>
        </w:rPr>
        <w:t>服务人员进手术室时，服从手术室相关管理规定，并携带证件主动出示或采用生物识别技术进行身份验证。</w:t>
      </w:r>
    </w:p>
    <w:p w14:paraId="437C4C8E">
      <w:pPr>
        <w:pStyle w:val="108"/>
        <w:spacing w:before="156" w:after="156"/>
        <w:rPr>
          <w:rFonts w:ascii="Times New Roman"/>
        </w:rPr>
      </w:pPr>
      <w:bookmarkStart w:id="60" w:name="_Toc180741073"/>
      <w:bookmarkStart w:id="61" w:name="_Toc180741053"/>
      <w:r>
        <w:rPr>
          <w:rFonts w:ascii="Times New Roman"/>
        </w:rPr>
        <w:t>服务环境</w:t>
      </w:r>
      <w:bookmarkEnd w:id="60"/>
      <w:bookmarkEnd w:id="61"/>
    </w:p>
    <w:p w14:paraId="1E66AEAE">
      <w:pPr>
        <w:pStyle w:val="168"/>
      </w:pPr>
      <w:r>
        <w:t>应</w:t>
      </w:r>
      <w:r>
        <w:rPr>
          <w:rFonts w:hint="eastAsia"/>
        </w:rPr>
        <w:t>为在</w:t>
      </w:r>
      <w:r>
        <w:t>智慧手术室部署、应用、工作的各类设备设施、应用系统</w:t>
      </w:r>
      <w:r>
        <w:rPr>
          <w:rFonts w:hint="eastAsia"/>
        </w:rPr>
        <w:t>提供必要的网络环境</w:t>
      </w:r>
      <w:r>
        <w:t>。</w:t>
      </w:r>
    </w:p>
    <w:p w14:paraId="5C6B7CCC">
      <w:pPr>
        <w:pStyle w:val="168"/>
      </w:pPr>
      <w:r>
        <w:rPr>
          <w:rFonts w:hint="eastAsia"/>
        </w:rPr>
        <w:t>应为手术相关人员提供即时的双方或多方音频视频通信、广播通知、手术室内全流程录像音频监控且录像时间保存不少于90天等信息展示环境。</w:t>
      </w:r>
    </w:p>
    <w:p w14:paraId="157830A8">
      <w:pPr>
        <w:pStyle w:val="168"/>
      </w:pPr>
      <w:r>
        <w:t>应为医生提供生命体征预警、术中导航、</w:t>
      </w:r>
      <w:r>
        <w:rPr>
          <w:rFonts w:hint="eastAsia"/>
        </w:rPr>
        <w:t>人工智能</w:t>
      </w:r>
      <w:r>
        <w:t>决策等辅助决策服务</w:t>
      </w:r>
      <w:r>
        <w:rPr>
          <w:rFonts w:hint="eastAsia"/>
        </w:rPr>
        <w:t>硬件环境</w:t>
      </w:r>
      <w:r>
        <w:t>。</w:t>
      </w:r>
    </w:p>
    <w:p w14:paraId="1ED4D34B">
      <w:pPr>
        <w:pStyle w:val="168"/>
      </w:pPr>
      <w:r>
        <w:rPr>
          <w:rFonts w:hint="eastAsia"/>
        </w:rPr>
        <w:t>应为手术药品、耗材、器械等手术资源提供清晰的医保支付比例，以便计费、盘点、核对等服务软件环境。</w:t>
      </w:r>
    </w:p>
    <w:p w14:paraId="181C28DE">
      <w:pPr>
        <w:pStyle w:val="168"/>
      </w:pPr>
      <w:r>
        <w:rPr>
          <w:rFonts w:hint="eastAsia"/>
        </w:rPr>
        <w:t>应为手术相关系统提供开放的扩展性接口等软件环境。</w:t>
      </w:r>
    </w:p>
    <w:p w14:paraId="4AEEB4FD">
      <w:pPr>
        <w:pStyle w:val="168"/>
      </w:pPr>
      <w:r>
        <w:rPr>
          <w:rFonts w:hint="eastAsia"/>
        </w:rPr>
        <w:t>应为手术相关数据传输过程中提供数据加密、患者隐私保护等安全环境。</w:t>
      </w:r>
    </w:p>
    <w:p w14:paraId="0A12FA67">
      <w:pPr>
        <w:pStyle w:val="107"/>
        <w:spacing w:before="312" w:after="312"/>
        <w:rPr>
          <w:rFonts w:ascii="Times New Roman"/>
        </w:rPr>
      </w:pPr>
      <w:bookmarkStart w:id="62" w:name="_Toc180741054"/>
      <w:bookmarkStart w:id="63" w:name="_Toc196748010"/>
      <w:bookmarkStart w:id="64" w:name="_Toc180741074"/>
      <w:r>
        <w:rPr>
          <w:rFonts w:ascii="Times New Roman"/>
        </w:rPr>
        <w:t>服务内容</w:t>
      </w:r>
      <w:bookmarkEnd w:id="62"/>
      <w:bookmarkEnd w:id="63"/>
      <w:bookmarkEnd w:id="64"/>
    </w:p>
    <w:p w14:paraId="08462D1C">
      <w:pPr>
        <w:pStyle w:val="108"/>
        <w:spacing w:before="156" w:after="156"/>
        <w:rPr>
          <w:rFonts w:ascii="Times New Roman"/>
        </w:rPr>
      </w:pPr>
      <w:bookmarkStart w:id="65" w:name="_Toc180741055"/>
      <w:bookmarkStart w:id="66" w:name="_Toc180741075"/>
      <w:r>
        <w:rPr>
          <w:rFonts w:ascii="Times New Roman"/>
        </w:rPr>
        <w:t>业务支撑服务</w:t>
      </w:r>
      <w:bookmarkEnd w:id="65"/>
      <w:bookmarkEnd w:id="66"/>
    </w:p>
    <w:p w14:paraId="1FEBEB68">
      <w:pPr>
        <w:pStyle w:val="68"/>
        <w:spacing w:before="156" w:after="156"/>
        <w:ind w:left="0"/>
        <w:rPr>
          <w:rFonts w:ascii="Times New Roman"/>
        </w:rPr>
      </w:pPr>
      <w:r>
        <w:rPr>
          <w:rFonts w:ascii="Times New Roman"/>
        </w:rPr>
        <w:t>服务提供者</w:t>
      </w:r>
    </w:p>
    <w:p w14:paraId="7158F740">
      <w:pPr>
        <w:pStyle w:val="59"/>
        <w:ind w:firstLine="420"/>
        <w:rPr>
          <w:rFonts w:ascii="Times New Roman"/>
        </w:rPr>
      </w:pPr>
      <w:r>
        <w:rPr>
          <w:rFonts w:ascii="Times New Roman"/>
        </w:rPr>
        <w:t>业务支撑服务应由手术患者运送系统、手术行为管理系统、手术室智能排班系统、手术安排管理系统、手术耗材管理系统、手术药品管理系统、手术器械管理系统、手术麻醉管理系统等信息化管理系统提供。</w:t>
      </w:r>
    </w:p>
    <w:p w14:paraId="75A8B5D8">
      <w:pPr>
        <w:pStyle w:val="68"/>
        <w:spacing w:before="156" w:after="156"/>
        <w:ind w:left="0"/>
        <w:rPr>
          <w:rFonts w:ascii="Times New Roman"/>
        </w:rPr>
      </w:pPr>
      <w:r>
        <w:rPr>
          <w:rFonts w:ascii="Times New Roman"/>
        </w:rPr>
        <w:t>服务对象</w:t>
      </w:r>
    </w:p>
    <w:p w14:paraId="1A24F748">
      <w:pPr>
        <w:pStyle w:val="59"/>
        <w:ind w:firstLine="420"/>
        <w:rPr>
          <w:rFonts w:ascii="Times New Roman"/>
        </w:rPr>
      </w:pPr>
      <w:bookmarkStart w:id="67" w:name="OLE_LINK5"/>
      <w:bookmarkStart w:id="68" w:name="OLE_LINK6"/>
      <w:r>
        <w:rPr>
          <w:rFonts w:ascii="Times New Roman"/>
        </w:rPr>
        <w:t>业务支撑服务对象包括但不限于：</w:t>
      </w:r>
    </w:p>
    <w:p w14:paraId="7CB88AAB">
      <w:pPr>
        <w:pStyle w:val="135"/>
        <w:rPr>
          <w:rFonts w:ascii="Times New Roman"/>
        </w:rPr>
      </w:pPr>
      <w:r>
        <w:rPr>
          <w:rFonts w:ascii="Times New Roman"/>
        </w:rPr>
        <w:t>手术科室医生；</w:t>
      </w:r>
    </w:p>
    <w:p w14:paraId="674E6117">
      <w:pPr>
        <w:pStyle w:val="135"/>
        <w:rPr>
          <w:rFonts w:ascii="Times New Roman"/>
        </w:rPr>
      </w:pPr>
      <w:r>
        <w:rPr>
          <w:rFonts w:ascii="Times New Roman"/>
        </w:rPr>
        <w:t>麻醉医生；</w:t>
      </w:r>
    </w:p>
    <w:p w14:paraId="40E95928">
      <w:pPr>
        <w:pStyle w:val="135"/>
        <w:rPr>
          <w:rFonts w:ascii="Times New Roman"/>
        </w:rPr>
      </w:pPr>
      <w:r>
        <w:rPr>
          <w:rFonts w:hint="eastAsia" w:ascii="Times New Roman"/>
        </w:rPr>
        <w:t>麻醉护士；</w:t>
      </w:r>
    </w:p>
    <w:p w14:paraId="53BF5822">
      <w:pPr>
        <w:pStyle w:val="135"/>
        <w:rPr>
          <w:rFonts w:ascii="Times New Roman"/>
        </w:rPr>
      </w:pPr>
      <w:r>
        <w:rPr>
          <w:rFonts w:ascii="Times New Roman"/>
        </w:rPr>
        <w:t>复苏室护士；</w:t>
      </w:r>
    </w:p>
    <w:p w14:paraId="59C7A11B">
      <w:pPr>
        <w:pStyle w:val="135"/>
        <w:rPr>
          <w:rFonts w:ascii="Times New Roman"/>
        </w:rPr>
      </w:pPr>
      <w:r>
        <w:rPr>
          <w:rFonts w:ascii="Times New Roman"/>
        </w:rPr>
        <w:t>手术室护士；</w:t>
      </w:r>
    </w:p>
    <w:p w14:paraId="065944E1">
      <w:pPr>
        <w:pStyle w:val="135"/>
        <w:rPr>
          <w:rFonts w:ascii="Times New Roman"/>
        </w:rPr>
      </w:pPr>
      <w:r>
        <w:rPr>
          <w:rFonts w:ascii="Times New Roman"/>
        </w:rPr>
        <w:t>手术室辅助人员；</w:t>
      </w:r>
    </w:p>
    <w:p w14:paraId="3748071E">
      <w:pPr>
        <w:pStyle w:val="135"/>
        <w:rPr>
          <w:rFonts w:ascii="Times New Roman"/>
        </w:rPr>
      </w:pPr>
      <w:r>
        <w:rPr>
          <w:rFonts w:ascii="Times New Roman"/>
        </w:rPr>
        <w:t>病理科医生；</w:t>
      </w:r>
    </w:p>
    <w:p w14:paraId="2C08FB76">
      <w:pPr>
        <w:pStyle w:val="135"/>
        <w:rPr>
          <w:rFonts w:ascii="Times New Roman"/>
        </w:rPr>
      </w:pPr>
      <w:r>
        <w:rPr>
          <w:rFonts w:ascii="Times New Roman"/>
        </w:rPr>
        <w:t>药剂科</w:t>
      </w:r>
      <w:r>
        <w:rPr>
          <w:rFonts w:hint="eastAsia" w:ascii="Times New Roman"/>
        </w:rPr>
        <w:t>药师</w:t>
      </w:r>
      <w:r>
        <w:rPr>
          <w:rFonts w:ascii="Times New Roman"/>
        </w:rPr>
        <w:t>。</w:t>
      </w:r>
    </w:p>
    <w:bookmarkEnd w:id="67"/>
    <w:bookmarkEnd w:id="68"/>
    <w:p w14:paraId="07D5EB5E">
      <w:pPr>
        <w:pStyle w:val="68"/>
        <w:spacing w:before="156" w:after="156"/>
        <w:ind w:left="0"/>
        <w:rPr>
          <w:rFonts w:ascii="Times New Roman"/>
        </w:rPr>
      </w:pPr>
      <w:r>
        <w:rPr>
          <w:rFonts w:ascii="Times New Roman"/>
        </w:rPr>
        <w:t>服务提供内容</w:t>
      </w:r>
    </w:p>
    <w:p w14:paraId="45B162C2">
      <w:pPr>
        <w:pStyle w:val="167"/>
        <w:rPr>
          <w:rFonts w:ascii="Times New Roman"/>
        </w:rPr>
      </w:pPr>
      <w:r>
        <w:rPr>
          <w:rFonts w:ascii="Times New Roman"/>
        </w:rPr>
        <w:t>业务支撑服务应包括但不限于患者运送管理、智能手术衣鞋发放、智能化人员排班、智能化手术安排、</w:t>
      </w:r>
      <w:r>
        <w:rPr>
          <w:rFonts w:hint="eastAsia" w:ascii="Times New Roman"/>
        </w:rPr>
        <w:t>物流管理、</w:t>
      </w:r>
      <w:r>
        <w:rPr>
          <w:rFonts w:ascii="Times New Roman"/>
        </w:rPr>
        <w:t>耗材管理、药品管理、器械管理、麻醉管理、病理运送、手术预测、手术调度、手术业务协同等服务。</w:t>
      </w:r>
    </w:p>
    <w:p w14:paraId="01CFA0FD">
      <w:pPr>
        <w:pStyle w:val="167"/>
        <w:rPr>
          <w:rFonts w:ascii="Times New Roman"/>
        </w:rPr>
      </w:pPr>
      <w:r>
        <w:rPr>
          <w:rFonts w:ascii="Times New Roman"/>
        </w:rPr>
        <w:t>手术患者运送服务的内容应包括但不限于：</w:t>
      </w:r>
    </w:p>
    <w:p w14:paraId="50EFC9B1">
      <w:pPr>
        <w:pStyle w:val="177"/>
      </w:pPr>
      <w:r>
        <w:t>手术患者的运送服务。</w:t>
      </w:r>
    </w:p>
    <w:p w14:paraId="68D1BC9A">
      <w:pPr>
        <w:pStyle w:val="177"/>
      </w:pPr>
      <w:r>
        <w:t>对运送患者的身份核对、病历核查、患者交接等服务。</w:t>
      </w:r>
    </w:p>
    <w:p w14:paraId="799E9D65">
      <w:pPr>
        <w:pStyle w:val="167"/>
        <w:rPr>
          <w:rFonts w:ascii="Times New Roman"/>
        </w:rPr>
      </w:pPr>
      <w:r>
        <w:rPr>
          <w:rFonts w:ascii="Times New Roman"/>
        </w:rPr>
        <w:t>智能手术衣鞋发放服务的内容应包括但不限于：</w:t>
      </w:r>
    </w:p>
    <w:p w14:paraId="6C3F9FD6">
      <w:pPr>
        <w:pStyle w:val="177"/>
        <w:numPr>
          <w:ilvl w:val="0"/>
          <w:numId w:val="32"/>
        </w:numPr>
      </w:pPr>
      <w:r>
        <w:t>医护人员手术安全准入管理服务。</w:t>
      </w:r>
    </w:p>
    <w:p w14:paraId="6B17BE5D">
      <w:pPr>
        <w:pStyle w:val="177"/>
      </w:pPr>
      <w:r>
        <w:t>手术衣/鞋及更衣柜的智能管理服务。</w:t>
      </w:r>
    </w:p>
    <w:p w14:paraId="5705E23B">
      <w:pPr>
        <w:pStyle w:val="167"/>
        <w:rPr>
          <w:rFonts w:ascii="Times New Roman"/>
        </w:rPr>
      </w:pPr>
      <w:r>
        <w:rPr>
          <w:rFonts w:ascii="Times New Roman"/>
        </w:rPr>
        <w:t>智能化人员排班服务的内容应包括但不限于：</w:t>
      </w:r>
    </w:p>
    <w:p w14:paraId="50296C01">
      <w:pPr>
        <w:pStyle w:val="177"/>
        <w:numPr>
          <w:ilvl w:val="0"/>
          <w:numId w:val="33"/>
        </w:numPr>
      </w:pPr>
      <w:r>
        <w:t>依据班次轮换规则、人员分组规则等自动完成人员周排班的服务。</w:t>
      </w:r>
    </w:p>
    <w:p w14:paraId="03438352">
      <w:pPr>
        <w:pStyle w:val="177"/>
      </w:pPr>
      <w:r>
        <w:t>在周排班基础上提供推送人员日排班方案服务。</w:t>
      </w:r>
    </w:p>
    <w:p w14:paraId="4B279E42">
      <w:pPr>
        <w:pStyle w:val="177"/>
      </w:pPr>
      <w:r>
        <w:rPr>
          <w:rFonts w:hint="eastAsia"/>
        </w:rPr>
        <w:t>提供排班异常情况时的应急处理服务。</w:t>
      </w:r>
    </w:p>
    <w:p w14:paraId="73419B6C">
      <w:pPr>
        <w:pStyle w:val="167"/>
        <w:rPr>
          <w:rFonts w:ascii="Times New Roman"/>
        </w:rPr>
      </w:pPr>
      <w:r>
        <w:rPr>
          <w:rFonts w:ascii="Times New Roman"/>
        </w:rPr>
        <w:t>智能化手术排班服务的内容应包括但不限于：</w:t>
      </w:r>
    </w:p>
    <w:p w14:paraId="39E87C45">
      <w:pPr>
        <w:pStyle w:val="177"/>
        <w:numPr>
          <w:ilvl w:val="0"/>
          <w:numId w:val="34"/>
        </w:numPr>
      </w:pPr>
      <w:r>
        <w:t>依据手术排程原则，能够提供自动生成手术间的分配和手术台次的排序方案的服务。</w:t>
      </w:r>
    </w:p>
    <w:p w14:paraId="52504EEF">
      <w:pPr>
        <w:pStyle w:val="177"/>
      </w:pPr>
      <w:r>
        <w:t>自动将手术人员安排到对应手术间和台次的服务。</w:t>
      </w:r>
    </w:p>
    <w:p w14:paraId="43012F7D">
      <w:pPr>
        <w:pStyle w:val="177"/>
      </w:pPr>
      <w:r>
        <w:t>手术排班、信息查询、信息公告等服务。</w:t>
      </w:r>
    </w:p>
    <w:p w14:paraId="03D061A1">
      <w:pPr>
        <w:pStyle w:val="167"/>
        <w:rPr>
          <w:rFonts w:ascii="Times New Roman"/>
        </w:rPr>
      </w:pPr>
      <w:r>
        <w:rPr>
          <w:rFonts w:hint="eastAsia" w:ascii="Times New Roman"/>
        </w:rPr>
        <w:t>物流管理</w:t>
      </w:r>
      <w:r>
        <w:rPr>
          <w:rFonts w:ascii="Times New Roman"/>
        </w:rPr>
        <w:t>服务的内容应包括但不限于：</w:t>
      </w:r>
    </w:p>
    <w:p w14:paraId="6C3E0BA4">
      <w:pPr>
        <w:pStyle w:val="177"/>
        <w:numPr>
          <w:ilvl w:val="0"/>
          <w:numId w:val="35"/>
        </w:numPr>
      </w:pPr>
      <w:r>
        <w:rPr>
          <w:rFonts w:hint="eastAsia"/>
        </w:rPr>
        <w:t>手术室相关药品、器械等运输</w:t>
      </w:r>
      <w:r>
        <w:t>服务。</w:t>
      </w:r>
    </w:p>
    <w:p w14:paraId="0EB7FDF5">
      <w:pPr>
        <w:pStyle w:val="177"/>
        <w:numPr>
          <w:ilvl w:val="0"/>
          <w:numId w:val="35"/>
        </w:numPr>
      </w:pPr>
      <w:r>
        <w:rPr>
          <w:rFonts w:hint="eastAsia"/>
        </w:rPr>
        <w:t>物品智能分拣、全流程追踪、可追溯管理等服务。</w:t>
      </w:r>
    </w:p>
    <w:p w14:paraId="02C6B94D">
      <w:pPr>
        <w:pStyle w:val="167"/>
        <w:rPr>
          <w:rFonts w:ascii="Times New Roman"/>
        </w:rPr>
      </w:pPr>
      <w:r>
        <w:rPr>
          <w:rFonts w:ascii="Times New Roman"/>
        </w:rPr>
        <w:t>耗材管理服务的内容应包括但不限于：</w:t>
      </w:r>
    </w:p>
    <w:p w14:paraId="332F7FB4">
      <w:pPr>
        <w:pStyle w:val="177"/>
        <w:numPr>
          <w:ilvl w:val="0"/>
          <w:numId w:val="36"/>
        </w:numPr>
      </w:pPr>
      <w:r>
        <w:t>手术耗材使用、盘点、查询、追溯、计费等服务。</w:t>
      </w:r>
    </w:p>
    <w:p w14:paraId="4B1F0200">
      <w:pPr>
        <w:pStyle w:val="177"/>
      </w:pPr>
      <w:r>
        <w:t>手术耗材“一物一码”和双系统核对管理服务。</w:t>
      </w:r>
    </w:p>
    <w:p w14:paraId="6322E3B2">
      <w:pPr>
        <w:pStyle w:val="167"/>
        <w:rPr>
          <w:rFonts w:ascii="Times New Roman"/>
        </w:rPr>
      </w:pPr>
      <w:r>
        <w:rPr>
          <w:rFonts w:ascii="Times New Roman"/>
        </w:rPr>
        <w:t>药品管理服务的内容应包括但不限于：</w:t>
      </w:r>
    </w:p>
    <w:p w14:paraId="76A97221">
      <w:pPr>
        <w:pStyle w:val="177"/>
        <w:numPr>
          <w:ilvl w:val="0"/>
          <w:numId w:val="37"/>
        </w:numPr>
      </w:pPr>
      <w:r>
        <w:t>手术药品的入库、发药、清点、监控、查询、盘点等信息化管理服务</w:t>
      </w:r>
      <w:r>
        <w:rPr>
          <w:rFonts w:hint="eastAsia"/>
        </w:rPr>
        <w:t>。</w:t>
      </w:r>
    </w:p>
    <w:p w14:paraId="11FBA51D">
      <w:pPr>
        <w:pStyle w:val="177"/>
      </w:pPr>
      <w:r>
        <w:t>自动用药记录、电子处方打印、自动计费服务。</w:t>
      </w:r>
    </w:p>
    <w:p w14:paraId="52D960B7">
      <w:pPr>
        <w:pStyle w:val="177"/>
      </w:pPr>
      <w:r>
        <w:t>批号全程追踪、效期智能警示、空安瓿扫码回收等服务。</w:t>
      </w:r>
    </w:p>
    <w:p w14:paraId="2F4C2B58">
      <w:pPr>
        <w:pStyle w:val="167"/>
        <w:rPr>
          <w:rFonts w:ascii="Times New Roman"/>
        </w:rPr>
      </w:pPr>
      <w:r>
        <w:rPr>
          <w:rFonts w:ascii="Times New Roman"/>
        </w:rPr>
        <w:t>器械管理服务的内容应包括但不限于：</w:t>
      </w:r>
    </w:p>
    <w:p w14:paraId="4DCC13FF">
      <w:pPr>
        <w:pStyle w:val="177"/>
        <w:numPr>
          <w:ilvl w:val="0"/>
          <w:numId w:val="38"/>
        </w:numPr>
      </w:pPr>
      <w:r>
        <w:t>手术器械清洗、打包封装、消毒、入库、出库、效期管理等全过程信息化管理服务。</w:t>
      </w:r>
    </w:p>
    <w:p w14:paraId="25F3C038">
      <w:pPr>
        <w:pStyle w:val="167"/>
        <w:rPr>
          <w:rFonts w:ascii="Times New Roman"/>
        </w:rPr>
      </w:pPr>
      <w:r>
        <w:rPr>
          <w:rFonts w:ascii="Times New Roman"/>
        </w:rPr>
        <w:t>麻醉管理服务的内容应包括但不限于：</w:t>
      </w:r>
    </w:p>
    <w:p w14:paraId="4FF7E969">
      <w:pPr>
        <w:pStyle w:val="177"/>
        <w:numPr>
          <w:ilvl w:val="0"/>
          <w:numId w:val="39"/>
        </w:numPr>
      </w:pPr>
      <w:r>
        <w:t>术前麻醉评估、术中麻醉单记录、术后麻醉随访等表单服务。</w:t>
      </w:r>
    </w:p>
    <w:p w14:paraId="5AFFC6F1">
      <w:pPr>
        <w:pStyle w:val="177"/>
      </w:pPr>
      <w:r>
        <w:t>患者入室、麻醉开始、手术开始、麻醉结束、手术结束、转出等时间记录和打印服务。</w:t>
      </w:r>
    </w:p>
    <w:p w14:paraId="304F9F1C">
      <w:pPr>
        <w:pStyle w:val="177"/>
      </w:pPr>
      <w:r>
        <w:t>患者术中生命体征、手术事件、用药、用血等记录、修改和打印服务。</w:t>
      </w:r>
    </w:p>
    <w:p w14:paraId="5CF9AB05">
      <w:pPr>
        <w:pStyle w:val="167"/>
        <w:rPr>
          <w:rFonts w:ascii="Times New Roman"/>
        </w:rPr>
      </w:pPr>
      <w:r>
        <w:rPr>
          <w:rFonts w:ascii="Times New Roman"/>
        </w:rPr>
        <w:t>手术预测服务的内容应包括但不限于：</w:t>
      </w:r>
    </w:p>
    <w:p w14:paraId="43AB73D3">
      <w:pPr>
        <w:pStyle w:val="177"/>
        <w:numPr>
          <w:ilvl w:val="0"/>
          <w:numId w:val="40"/>
        </w:numPr>
      </w:pPr>
      <w:r>
        <w:rPr>
          <w:rFonts w:hint="eastAsia"/>
        </w:rPr>
        <w:t>基于历史数据，根据术式、手术医生、患者年龄、基础病等信息，提供单台手术的时长预测服务、月度手术台次的预测服务。</w:t>
      </w:r>
    </w:p>
    <w:p w14:paraId="11580CF4">
      <w:pPr>
        <w:pStyle w:val="177"/>
      </w:pPr>
      <w:r>
        <w:t>在手术排程情况，能够针对当日整体手术提供预测服务，提供预测手术室关门时间服务。</w:t>
      </w:r>
    </w:p>
    <w:p w14:paraId="2DF5B425">
      <w:pPr>
        <w:pStyle w:val="177"/>
      </w:pPr>
      <w:r>
        <w:rPr>
          <w:rFonts w:hint="eastAsia"/>
        </w:rPr>
        <w:t>基于历史数据，实时监测患者的生理信号和手术数据，并结合手术名称（ICD编码），可以实时发现并预警可能出现的风险。</w:t>
      </w:r>
    </w:p>
    <w:p w14:paraId="3BC3F4CC">
      <w:pPr>
        <w:pStyle w:val="167"/>
        <w:rPr>
          <w:rFonts w:ascii="Times New Roman"/>
        </w:rPr>
      </w:pPr>
      <w:r>
        <w:rPr>
          <w:rFonts w:ascii="Times New Roman"/>
        </w:rPr>
        <w:t>手术调度服务的内容应包括但不限于：</w:t>
      </w:r>
    </w:p>
    <w:p w14:paraId="63DE9B02">
      <w:pPr>
        <w:pStyle w:val="177"/>
        <w:numPr>
          <w:ilvl w:val="0"/>
          <w:numId w:val="41"/>
        </w:numPr>
      </w:pPr>
      <w:r>
        <w:t>根据抢救等应急手术需求，依据事先规划好的预案，结合手术进展、手术状态、手术资源等实时信息，提供针对性的急诊手术方案（手术间、手术人员）以及信息发布服务。</w:t>
      </w:r>
    </w:p>
    <w:p w14:paraId="48DE84B9">
      <w:pPr>
        <w:pStyle w:val="177"/>
      </w:pPr>
      <w:r>
        <w:t>在进行手术取消、调台、加台等变更操作时，应联动手术进展、手术状态、手术资源等实时信息，提供影响最小化的手术排程方案变更设计，必要时，提供变更方案与原方案的差异信息服务。</w:t>
      </w:r>
    </w:p>
    <w:p w14:paraId="02039A6A">
      <w:pPr>
        <w:pStyle w:val="167"/>
        <w:rPr>
          <w:rFonts w:ascii="Times New Roman"/>
        </w:rPr>
      </w:pPr>
      <w:r>
        <w:rPr>
          <w:rFonts w:ascii="Times New Roman"/>
        </w:rPr>
        <w:t>手术业务协同服务的内容应包括但不限于：</w:t>
      </w:r>
    </w:p>
    <w:p w14:paraId="57F23CE4">
      <w:pPr>
        <w:pStyle w:val="177"/>
        <w:numPr>
          <w:ilvl w:val="0"/>
          <w:numId w:val="42"/>
        </w:numPr>
      </w:pPr>
      <w:r>
        <w:t>协同任务的发起、分派、执行、反馈等服务，协同各方可共享信息，并随时进行音视频通信。</w:t>
      </w:r>
    </w:p>
    <w:p w14:paraId="15854DF4">
      <w:pPr>
        <w:pStyle w:val="177"/>
      </w:pPr>
      <w:r>
        <w:t>基于手术相关业务流程，提供数据驱动流程推进的服务。</w:t>
      </w:r>
    </w:p>
    <w:p w14:paraId="6803607E">
      <w:pPr>
        <w:pStyle w:val="108"/>
        <w:spacing w:before="156" w:after="156"/>
        <w:rPr>
          <w:rFonts w:ascii="Times New Roman"/>
        </w:rPr>
      </w:pPr>
      <w:bookmarkStart w:id="69" w:name="_Toc180741056"/>
      <w:bookmarkStart w:id="70" w:name="_Toc180741076"/>
      <w:r>
        <w:rPr>
          <w:rFonts w:ascii="Times New Roman"/>
        </w:rPr>
        <w:t>运营管理服务</w:t>
      </w:r>
      <w:bookmarkEnd w:id="69"/>
      <w:bookmarkEnd w:id="70"/>
    </w:p>
    <w:p w14:paraId="162D9EFD">
      <w:pPr>
        <w:pStyle w:val="68"/>
        <w:spacing w:before="156" w:after="156"/>
        <w:ind w:left="0"/>
        <w:rPr>
          <w:rFonts w:ascii="Times New Roman"/>
        </w:rPr>
      </w:pPr>
      <w:r>
        <w:rPr>
          <w:rFonts w:ascii="Times New Roman"/>
        </w:rPr>
        <w:t>服务提供者</w:t>
      </w:r>
    </w:p>
    <w:p w14:paraId="2EB4ABCE">
      <w:pPr>
        <w:pStyle w:val="59"/>
        <w:ind w:firstLine="420"/>
        <w:rPr>
          <w:rFonts w:ascii="Times New Roman"/>
        </w:rPr>
      </w:pPr>
      <w:r>
        <w:rPr>
          <w:rFonts w:ascii="Times New Roman"/>
        </w:rPr>
        <w:t>运营管理服务应由科室综合管理系统、手术动态监管系统、手术室运营管理系统等信息化系统提供。</w:t>
      </w:r>
    </w:p>
    <w:p w14:paraId="0BED0BC4">
      <w:pPr>
        <w:pStyle w:val="68"/>
        <w:spacing w:before="156" w:after="156"/>
        <w:ind w:left="0"/>
        <w:rPr>
          <w:rFonts w:ascii="Times New Roman"/>
        </w:rPr>
      </w:pPr>
      <w:r>
        <w:rPr>
          <w:rFonts w:ascii="Times New Roman"/>
        </w:rPr>
        <w:t>服务对象</w:t>
      </w:r>
    </w:p>
    <w:p w14:paraId="1F87312A">
      <w:pPr>
        <w:pStyle w:val="59"/>
        <w:ind w:firstLine="420"/>
        <w:rPr>
          <w:rFonts w:ascii="Times New Roman"/>
        </w:rPr>
      </w:pPr>
      <w:r>
        <w:rPr>
          <w:rFonts w:ascii="Times New Roman"/>
        </w:rPr>
        <w:t>业务支撑服务对象包括但不限于：</w:t>
      </w:r>
    </w:p>
    <w:p w14:paraId="5C34CFFA">
      <w:pPr>
        <w:pStyle w:val="135"/>
        <w:rPr>
          <w:rFonts w:ascii="Times New Roman"/>
        </w:rPr>
      </w:pPr>
      <w:r>
        <w:rPr>
          <w:rFonts w:ascii="Times New Roman"/>
        </w:rPr>
        <w:t>手术科室医生；</w:t>
      </w:r>
    </w:p>
    <w:p w14:paraId="26477497">
      <w:pPr>
        <w:pStyle w:val="135"/>
        <w:rPr>
          <w:rFonts w:ascii="Times New Roman"/>
        </w:rPr>
      </w:pPr>
      <w:r>
        <w:rPr>
          <w:rFonts w:ascii="Times New Roman"/>
        </w:rPr>
        <w:t>麻醉科主任；</w:t>
      </w:r>
    </w:p>
    <w:p w14:paraId="440E1555">
      <w:pPr>
        <w:pStyle w:val="135"/>
        <w:rPr>
          <w:rFonts w:ascii="Times New Roman"/>
        </w:rPr>
      </w:pPr>
      <w:r>
        <w:rPr>
          <w:rFonts w:ascii="Times New Roman"/>
        </w:rPr>
        <w:t>复苏室护士长；</w:t>
      </w:r>
    </w:p>
    <w:p w14:paraId="1ABD1860">
      <w:pPr>
        <w:pStyle w:val="135"/>
        <w:rPr>
          <w:rFonts w:ascii="Times New Roman"/>
        </w:rPr>
      </w:pPr>
      <w:r>
        <w:rPr>
          <w:rFonts w:ascii="Times New Roman"/>
        </w:rPr>
        <w:t>手术室护士长；</w:t>
      </w:r>
    </w:p>
    <w:p w14:paraId="45F814EE">
      <w:pPr>
        <w:pStyle w:val="135"/>
        <w:rPr>
          <w:rFonts w:ascii="Times New Roman"/>
        </w:rPr>
      </w:pPr>
      <w:r>
        <w:rPr>
          <w:rFonts w:ascii="Times New Roman"/>
        </w:rPr>
        <w:t>医务处管理人员；</w:t>
      </w:r>
    </w:p>
    <w:p w14:paraId="4B7F619D">
      <w:pPr>
        <w:pStyle w:val="135"/>
        <w:rPr>
          <w:rFonts w:ascii="Times New Roman"/>
        </w:rPr>
      </w:pPr>
      <w:r>
        <w:rPr>
          <w:rFonts w:ascii="Times New Roman"/>
        </w:rPr>
        <w:t>计财处人员；</w:t>
      </w:r>
    </w:p>
    <w:p w14:paraId="0ABCFF88">
      <w:pPr>
        <w:pStyle w:val="135"/>
        <w:rPr>
          <w:rFonts w:ascii="Times New Roman"/>
        </w:rPr>
      </w:pPr>
      <w:r>
        <w:rPr>
          <w:rFonts w:ascii="Times New Roman"/>
        </w:rPr>
        <w:t>物资设备处人员；</w:t>
      </w:r>
    </w:p>
    <w:p w14:paraId="553DEC8C">
      <w:pPr>
        <w:pStyle w:val="135"/>
        <w:rPr>
          <w:rFonts w:ascii="Times New Roman"/>
        </w:rPr>
      </w:pPr>
      <w:r>
        <w:rPr>
          <w:rFonts w:ascii="Times New Roman"/>
        </w:rPr>
        <w:t>院长。</w:t>
      </w:r>
    </w:p>
    <w:p w14:paraId="7D60A6C2">
      <w:pPr>
        <w:pStyle w:val="68"/>
        <w:spacing w:before="156" w:after="156"/>
        <w:ind w:left="0"/>
        <w:rPr>
          <w:rFonts w:ascii="Times New Roman"/>
        </w:rPr>
      </w:pPr>
      <w:r>
        <w:rPr>
          <w:rFonts w:ascii="Times New Roman"/>
        </w:rPr>
        <w:t>服务提供内容</w:t>
      </w:r>
    </w:p>
    <w:p w14:paraId="6519D4E1">
      <w:pPr>
        <w:pStyle w:val="167"/>
        <w:rPr>
          <w:rFonts w:ascii="Times New Roman"/>
        </w:rPr>
      </w:pPr>
      <w:r>
        <w:rPr>
          <w:rFonts w:ascii="Times New Roman"/>
        </w:rPr>
        <w:t>运营管理服务应包括但不限于手术科室绩效计算、手术资源监管、手术流程监控、手术运营指标监管等服务。</w:t>
      </w:r>
    </w:p>
    <w:p w14:paraId="5D2E9ED9">
      <w:pPr>
        <w:pStyle w:val="167"/>
        <w:rPr>
          <w:rFonts w:ascii="Times New Roman"/>
        </w:rPr>
      </w:pPr>
      <w:r>
        <w:rPr>
          <w:rFonts w:ascii="Times New Roman"/>
        </w:rPr>
        <w:t>科室绩效自动计算服务的内容应包括但不限于：</w:t>
      </w:r>
    </w:p>
    <w:p w14:paraId="5A21FD17">
      <w:pPr>
        <w:pStyle w:val="177"/>
        <w:numPr>
          <w:ilvl w:val="0"/>
          <w:numId w:val="43"/>
        </w:numPr>
      </w:pPr>
      <w:r>
        <w:t>绩效数据自动抓取、分析、计算等服务。</w:t>
      </w:r>
    </w:p>
    <w:p w14:paraId="721EF8F9">
      <w:pPr>
        <w:pStyle w:val="177"/>
        <w:numPr>
          <w:ilvl w:val="0"/>
          <w:numId w:val="43"/>
        </w:numPr>
      </w:pPr>
      <w:r>
        <w:t>绩效模型自动计算绩效服务。</w:t>
      </w:r>
    </w:p>
    <w:p w14:paraId="6280AA89">
      <w:pPr>
        <w:pStyle w:val="177"/>
        <w:numPr>
          <w:ilvl w:val="0"/>
          <w:numId w:val="43"/>
        </w:numPr>
      </w:pPr>
      <w:r>
        <w:t>绩效模型应适应管理要求的变化。</w:t>
      </w:r>
    </w:p>
    <w:p w14:paraId="47CF4F2A">
      <w:pPr>
        <w:pStyle w:val="167"/>
        <w:rPr>
          <w:rFonts w:ascii="Times New Roman"/>
        </w:rPr>
      </w:pPr>
      <w:r>
        <w:rPr>
          <w:rFonts w:ascii="Times New Roman"/>
        </w:rPr>
        <w:t>手术资源监管服务的内容应包括但不限于：</w:t>
      </w:r>
    </w:p>
    <w:p w14:paraId="74FB74B1">
      <w:pPr>
        <w:pStyle w:val="177"/>
        <w:numPr>
          <w:ilvl w:val="0"/>
          <w:numId w:val="44"/>
        </w:numPr>
      </w:pPr>
      <w:r>
        <w:t>实时监管手术室当日各台手术消耗的药品、高值/低值耗材、器械包等手术资源信息服务。</w:t>
      </w:r>
    </w:p>
    <w:p w14:paraId="38367D5E">
      <w:pPr>
        <w:pStyle w:val="177"/>
        <w:numPr>
          <w:ilvl w:val="0"/>
          <w:numId w:val="43"/>
        </w:numPr>
      </w:pPr>
      <w:r>
        <w:t>实时监管手术人员的工作状态、在台时长、拖班时长等信息服务。</w:t>
      </w:r>
    </w:p>
    <w:p w14:paraId="49331F0C">
      <w:pPr>
        <w:pStyle w:val="167"/>
        <w:rPr>
          <w:rFonts w:ascii="Times New Roman"/>
        </w:rPr>
      </w:pPr>
      <w:r>
        <w:rPr>
          <w:rFonts w:ascii="Times New Roman"/>
        </w:rPr>
        <w:t>流程监管服务的内容应包括但不限于：</w:t>
      </w:r>
    </w:p>
    <w:p w14:paraId="0646B32D">
      <w:pPr>
        <w:pStyle w:val="177"/>
        <w:numPr>
          <w:ilvl w:val="0"/>
          <w:numId w:val="45"/>
        </w:numPr>
      </w:pPr>
      <w:r>
        <w:t>监管当日手术整体进展、各手术间整体情况、单台手术进展、重点手术情况、加台、停台手术统计等服务。</w:t>
      </w:r>
    </w:p>
    <w:p w14:paraId="1A669B60">
      <w:pPr>
        <w:pStyle w:val="177"/>
        <w:numPr>
          <w:ilvl w:val="0"/>
          <w:numId w:val="43"/>
        </w:numPr>
      </w:pPr>
      <w:r>
        <w:t>对接送患者、取血、送冰冻、保洁等业务监管服务。</w:t>
      </w:r>
    </w:p>
    <w:p w14:paraId="6CACF93A">
      <w:pPr>
        <w:pStyle w:val="167"/>
        <w:rPr>
          <w:rFonts w:ascii="Times New Roman"/>
        </w:rPr>
      </w:pPr>
      <w:r>
        <w:rPr>
          <w:rFonts w:ascii="Times New Roman"/>
        </w:rPr>
        <w:t>运营指标监管服务的内容应包括但不限于：</w:t>
      </w:r>
    </w:p>
    <w:p w14:paraId="02D285E2">
      <w:pPr>
        <w:pStyle w:val="177"/>
        <w:numPr>
          <w:ilvl w:val="0"/>
          <w:numId w:val="46"/>
        </w:numPr>
      </w:pPr>
      <w:r>
        <w:t>覆盖结构、效率、效益、安全、质量、人文等运营指标服务。</w:t>
      </w:r>
    </w:p>
    <w:p w14:paraId="5603AE0B">
      <w:pPr>
        <w:pStyle w:val="177"/>
        <w:numPr>
          <w:ilvl w:val="0"/>
          <w:numId w:val="43"/>
        </w:numPr>
      </w:pPr>
      <w:r>
        <w:t>手术量、首台准点开台率、手术间利用率、手术换台率、手术取消率、三四级手术占比、平均手术接台时长、平均患者等待时长、平均手术室关门时间等手术运营指标数据服务。</w:t>
      </w:r>
    </w:p>
    <w:p w14:paraId="10024CA2">
      <w:pPr>
        <w:pStyle w:val="108"/>
        <w:spacing w:before="156" w:after="156"/>
        <w:rPr>
          <w:rFonts w:ascii="Times New Roman"/>
        </w:rPr>
      </w:pPr>
      <w:bookmarkStart w:id="71" w:name="_Toc180741057"/>
      <w:bookmarkStart w:id="72" w:name="_Toc180741077"/>
      <w:r>
        <w:rPr>
          <w:rFonts w:ascii="Times New Roman"/>
        </w:rPr>
        <w:t>辅助决策支持服务</w:t>
      </w:r>
      <w:bookmarkEnd w:id="71"/>
      <w:bookmarkEnd w:id="72"/>
    </w:p>
    <w:p w14:paraId="2B783280">
      <w:pPr>
        <w:pStyle w:val="68"/>
        <w:spacing w:before="156" w:after="156"/>
        <w:ind w:left="0"/>
        <w:rPr>
          <w:rFonts w:ascii="Times New Roman"/>
        </w:rPr>
      </w:pPr>
      <w:r>
        <w:rPr>
          <w:rFonts w:ascii="Times New Roman"/>
        </w:rPr>
        <w:t>服务提供者</w:t>
      </w:r>
    </w:p>
    <w:p w14:paraId="33A7249D">
      <w:pPr>
        <w:pStyle w:val="59"/>
        <w:ind w:firstLine="420"/>
        <w:rPr>
          <w:rFonts w:ascii="Times New Roman"/>
        </w:rPr>
      </w:pPr>
      <w:r>
        <w:rPr>
          <w:rFonts w:hint="eastAsia" w:ascii="Times New Roman"/>
        </w:rPr>
        <w:t>辅助决策支持服务应由临床决策支持系统、手术导航系统、AI辅助决策、远程手术会诊等信息化系统提供。</w:t>
      </w:r>
    </w:p>
    <w:p w14:paraId="05AF53B0">
      <w:pPr>
        <w:pStyle w:val="68"/>
        <w:spacing w:before="156" w:after="156"/>
        <w:ind w:left="0"/>
        <w:rPr>
          <w:rFonts w:ascii="Times New Roman"/>
        </w:rPr>
      </w:pPr>
      <w:r>
        <w:rPr>
          <w:rFonts w:ascii="Times New Roman"/>
        </w:rPr>
        <w:t>服务对象</w:t>
      </w:r>
    </w:p>
    <w:p w14:paraId="035C53A9">
      <w:pPr>
        <w:pStyle w:val="59"/>
        <w:ind w:firstLine="420"/>
        <w:rPr>
          <w:rFonts w:ascii="Times New Roman"/>
        </w:rPr>
      </w:pPr>
      <w:r>
        <w:rPr>
          <w:rFonts w:ascii="Times New Roman"/>
        </w:rPr>
        <w:t>业务支撑服务对象包括但不限于：</w:t>
      </w:r>
    </w:p>
    <w:p w14:paraId="67643C35">
      <w:pPr>
        <w:pStyle w:val="135"/>
        <w:rPr>
          <w:rFonts w:ascii="Times New Roman"/>
        </w:rPr>
      </w:pPr>
      <w:r>
        <w:rPr>
          <w:rFonts w:ascii="Times New Roman"/>
        </w:rPr>
        <w:t>手术科室医生；</w:t>
      </w:r>
    </w:p>
    <w:p w14:paraId="4DFC4F6F">
      <w:pPr>
        <w:pStyle w:val="135"/>
        <w:rPr>
          <w:rFonts w:ascii="Times New Roman"/>
        </w:rPr>
      </w:pPr>
      <w:r>
        <w:rPr>
          <w:rFonts w:ascii="Times New Roman"/>
        </w:rPr>
        <w:t>麻醉科医生；</w:t>
      </w:r>
    </w:p>
    <w:p w14:paraId="48ADDB86">
      <w:pPr>
        <w:pStyle w:val="135"/>
        <w:rPr>
          <w:rFonts w:ascii="Times New Roman"/>
        </w:rPr>
      </w:pPr>
      <w:r>
        <w:rPr>
          <w:rFonts w:hint="eastAsia" w:ascii="Times New Roman"/>
        </w:rPr>
        <w:t>麻醉护士；</w:t>
      </w:r>
    </w:p>
    <w:p w14:paraId="11AD26ED">
      <w:pPr>
        <w:pStyle w:val="135"/>
        <w:rPr>
          <w:rFonts w:ascii="Times New Roman"/>
        </w:rPr>
      </w:pPr>
      <w:r>
        <w:rPr>
          <w:rFonts w:ascii="Times New Roman"/>
        </w:rPr>
        <w:t>复苏室护士；</w:t>
      </w:r>
    </w:p>
    <w:p w14:paraId="63D462AD">
      <w:pPr>
        <w:pStyle w:val="135"/>
        <w:rPr>
          <w:rFonts w:ascii="Times New Roman"/>
        </w:rPr>
      </w:pPr>
      <w:r>
        <w:rPr>
          <w:rFonts w:ascii="Times New Roman"/>
        </w:rPr>
        <w:t>手术室护士。</w:t>
      </w:r>
    </w:p>
    <w:p w14:paraId="2134D307">
      <w:pPr>
        <w:pStyle w:val="68"/>
        <w:spacing w:before="156" w:after="156"/>
        <w:ind w:left="0"/>
        <w:rPr>
          <w:rFonts w:ascii="Times New Roman"/>
        </w:rPr>
      </w:pPr>
      <w:r>
        <w:rPr>
          <w:rFonts w:ascii="Times New Roman"/>
        </w:rPr>
        <w:t>服务提供内容</w:t>
      </w:r>
    </w:p>
    <w:p w14:paraId="5D47A3F9">
      <w:pPr>
        <w:pStyle w:val="167"/>
        <w:rPr>
          <w:rFonts w:ascii="Times New Roman"/>
        </w:rPr>
      </w:pPr>
      <w:r>
        <w:rPr>
          <w:rFonts w:ascii="Times New Roman"/>
        </w:rPr>
        <w:t>手术辅助规划服务的内容应包括但不限于：</w:t>
      </w:r>
    </w:p>
    <w:p w14:paraId="4CAD4C55">
      <w:pPr>
        <w:pStyle w:val="177"/>
        <w:numPr>
          <w:ilvl w:val="0"/>
          <w:numId w:val="47"/>
        </w:numPr>
      </w:pPr>
      <w:r>
        <w:t>根据患者疾病诊断等医疗数据，结合历史数据库，提供患者术前谈话记录、手术知情同意书、手术讨论记录、手术记录单等个性化病历</w:t>
      </w:r>
      <w:r>
        <w:rPr>
          <w:rFonts w:hint="eastAsia"/>
          <w:lang w:eastAsia="zh-CN"/>
        </w:rPr>
        <w:t>模板</w:t>
      </w:r>
      <w:r>
        <w:t>服务。</w:t>
      </w:r>
    </w:p>
    <w:p w14:paraId="6BCBFF13">
      <w:pPr>
        <w:pStyle w:val="177"/>
        <w:numPr>
          <w:ilvl w:val="0"/>
          <w:numId w:val="43"/>
        </w:numPr>
      </w:pPr>
      <w:r>
        <w:t>根据患者的医疗数据及影像信息，结合手术方案知识库，提供从历史数据库模型中输出匹配的手术方案辅助医生的服务。</w:t>
      </w:r>
    </w:p>
    <w:p w14:paraId="74D44BD6">
      <w:pPr>
        <w:pStyle w:val="177"/>
        <w:numPr>
          <w:ilvl w:val="0"/>
          <w:numId w:val="43"/>
        </w:numPr>
      </w:pPr>
      <w:r>
        <w:t>根据患者的手术申请单信息，结合手术资源知识库，提供术中人员、器械、药品、耗材、输血等手术资源准备辅助参考服务。</w:t>
      </w:r>
    </w:p>
    <w:p w14:paraId="199E2CD9">
      <w:pPr>
        <w:pStyle w:val="177"/>
        <w:numPr>
          <w:ilvl w:val="0"/>
          <w:numId w:val="43"/>
        </w:numPr>
      </w:pPr>
      <w:r>
        <w:t>根据手术申请，根据手术安排策略知识库，提供最佳手术安排服务。</w:t>
      </w:r>
    </w:p>
    <w:p w14:paraId="50E29CA2">
      <w:pPr>
        <w:pStyle w:val="167"/>
        <w:rPr>
          <w:rFonts w:ascii="Times New Roman"/>
        </w:rPr>
      </w:pPr>
      <w:r>
        <w:rPr>
          <w:rFonts w:ascii="Times New Roman"/>
        </w:rPr>
        <w:t>手术辅助决策服务的内容应包括但不限于：</w:t>
      </w:r>
    </w:p>
    <w:p w14:paraId="3DE8D387">
      <w:pPr>
        <w:pStyle w:val="177"/>
        <w:numPr>
          <w:ilvl w:val="0"/>
          <w:numId w:val="48"/>
        </w:numPr>
      </w:pPr>
      <w:r>
        <w:rPr>
          <w:rFonts w:hint="eastAsia"/>
        </w:rPr>
        <w:t>根据实时监测患者的生理信号、手术数据、病历历史检验检查数据，并结合当次手术名称（ICD编码），可以实时发现并预警可能出现的风险，为医生提供精确的生理状态预警反馈服务。</w:t>
      </w:r>
    </w:p>
    <w:p w14:paraId="65C9E04D">
      <w:pPr>
        <w:pStyle w:val="177"/>
        <w:numPr>
          <w:ilvl w:val="0"/>
          <w:numId w:val="43"/>
        </w:numPr>
      </w:pPr>
      <w:r>
        <w:t>根据MRI和CT断层平面图像，产生三维的、边界清晰的、可任意旋转切割和无级缩放的病灶部位的矢量立体图形，为医生提供手术导航服务。</w:t>
      </w:r>
    </w:p>
    <w:p w14:paraId="320DCDEE">
      <w:pPr>
        <w:pStyle w:val="177"/>
        <w:numPr>
          <w:ilvl w:val="0"/>
          <w:numId w:val="43"/>
        </w:numPr>
      </w:pPr>
      <w:r>
        <w:rPr>
          <w:rFonts w:hint="eastAsia"/>
        </w:rPr>
        <w:t>人工智能</w:t>
      </w:r>
      <w:r>
        <w:t>模型为术中提供实时决策服务。</w:t>
      </w:r>
    </w:p>
    <w:p w14:paraId="76A43B56">
      <w:pPr>
        <w:pStyle w:val="177"/>
        <w:numPr>
          <w:ilvl w:val="0"/>
          <w:numId w:val="43"/>
        </w:numPr>
      </w:pPr>
      <w:r>
        <w:t>机器人辅助手术服务。</w:t>
      </w:r>
    </w:p>
    <w:p w14:paraId="49E821CD">
      <w:pPr>
        <w:pStyle w:val="167"/>
        <w:rPr>
          <w:rFonts w:ascii="Times New Roman"/>
        </w:rPr>
      </w:pPr>
      <w:r>
        <w:rPr>
          <w:rFonts w:ascii="Times New Roman"/>
        </w:rPr>
        <w:t>手术辅助管理服务的内容应包括但不限于：</w:t>
      </w:r>
    </w:p>
    <w:p w14:paraId="2355622A">
      <w:pPr>
        <w:pStyle w:val="177"/>
        <w:numPr>
          <w:ilvl w:val="0"/>
          <w:numId w:val="49"/>
        </w:numPr>
      </w:pPr>
      <w:r>
        <w:t>提供患者手术用药红处方打印、自动计费、盘点等服务。</w:t>
      </w:r>
    </w:p>
    <w:p w14:paraId="6DECBAAA">
      <w:pPr>
        <w:pStyle w:val="177"/>
        <w:numPr>
          <w:ilvl w:val="0"/>
          <w:numId w:val="43"/>
        </w:numPr>
      </w:pPr>
      <w:r>
        <w:t>提供手术耗材自动匹配、计费、盘点等服务。</w:t>
      </w:r>
    </w:p>
    <w:p w14:paraId="26A647E2">
      <w:pPr>
        <w:pStyle w:val="177"/>
        <w:numPr>
          <w:ilvl w:val="0"/>
          <w:numId w:val="43"/>
        </w:numPr>
      </w:pPr>
      <w:r>
        <w:t>提供手术医生个人、手术科室、手术室整体的手术能力的评估报表服务。</w:t>
      </w:r>
    </w:p>
    <w:p w14:paraId="33A84CCB">
      <w:pPr>
        <w:pStyle w:val="177"/>
        <w:numPr>
          <w:ilvl w:val="0"/>
          <w:numId w:val="43"/>
        </w:numPr>
      </w:pPr>
      <w:r>
        <w:t>提供按消息类别或重要等级的消息订阅服务。</w:t>
      </w:r>
    </w:p>
    <w:p w14:paraId="4DDFC472">
      <w:pPr>
        <w:pStyle w:val="177"/>
        <w:numPr>
          <w:ilvl w:val="0"/>
          <w:numId w:val="43"/>
        </w:numPr>
      </w:pPr>
      <w:r>
        <w:rPr>
          <w:rFonts w:hint="eastAsia"/>
        </w:rPr>
        <w:t>手术间门口应提供显示该间手术的相关状态信息。</w:t>
      </w:r>
    </w:p>
    <w:p w14:paraId="754941C7">
      <w:pPr>
        <w:pStyle w:val="107"/>
        <w:spacing w:before="312" w:after="312"/>
        <w:rPr>
          <w:rFonts w:ascii="Times New Roman"/>
        </w:rPr>
      </w:pPr>
      <w:bookmarkStart w:id="73" w:name="_Toc196748011"/>
      <w:bookmarkStart w:id="74" w:name="_Toc180741058"/>
      <w:bookmarkStart w:id="75" w:name="_Toc180741078"/>
      <w:r>
        <w:rPr>
          <w:rFonts w:ascii="Times New Roman"/>
        </w:rPr>
        <w:t>服务评价及改进</w:t>
      </w:r>
      <w:bookmarkEnd w:id="73"/>
      <w:bookmarkEnd w:id="74"/>
      <w:bookmarkEnd w:id="75"/>
      <w:bookmarkStart w:id="80" w:name="_GoBack"/>
      <w:bookmarkEnd w:id="80"/>
    </w:p>
    <w:p w14:paraId="69D6175E">
      <w:pPr>
        <w:pStyle w:val="108"/>
        <w:spacing w:before="156" w:after="156"/>
        <w:rPr>
          <w:rFonts w:ascii="Times New Roman"/>
        </w:rPr>
      </w:pPr>
      <w:bookmarkStart w:id="76" w:name="_Toc180741079"/>
      <w:bookmarkStart w:id="77" w:name="_Toc180741059"/>
      <w:r>
        <w:rPr>
          <w:rFonts w:ascii="Times New Roman"/>
        </w:rPr>
        <w:t>服务评价</w:t>
      </w:r>
      <w:bookmarkEnd w:id="76"/>
      <w:bookmarkEnd w:id="77"/>
    </w:p>
    <w:p w14:paraId="57FB63DE">
      <w:pPr>
        <w:pStyle w:val="168"/>
      </w:pPr>
      <w:r>
        <w:t>医疗机构应定期开展服务质量评价。</w:t>
      </w:r>
    </w:p>
    <w:p w14:paraId="3334BC5A">
      <w:pPr>
        <w:pStyle w:val="168"/>
      </w:pPr>
      <w:r>
        <w:t>服务质量评价的方法包括但不限于：问卷调查、座谈会、满意度测评、意见反馈，完善服务质量的外部评价。</w:t>
      </w:r>
    </w:p>
    <w:p w14:paraId="55AF669F">
      <w:pPr>
        <w:pStyle w:val="168"/>
      </w:pPr>
      <w:r>
        <w:t>应定期对智慧手术室及相关人员的服务能力、服务质量、服务成效等进行评估。</w:t>
      </w:r>
    </w:p>
    <w:p w14:paraId="558EF1FE">
      <w:pPr>
        <w:pStyle w:val="108"/>
        <w:spacing w:before="156" w:after="156"/>
        <w:rPr>
          <w:rFonts w:ascii="Times New Roman"/>
        </w:rPr>
      </w:pPr>
      <w:bookmarkStart w:id="78" w:name="_Toc180741080"/>
      <w:bookmarkStart w:id="79" w:name="_Toc180741060"/>
      <w:r>
        <w:rPr>
          <w:rFonts w:ascii="Times New Roman"/>
        </w:rPr>
        <w:t>服务改进</w:t>
      </w:r>
      <w:bookmarkEnd w:id="78"/>
      <w:bookmarkEnd w:id="79"/>
    </w:p>
    <w:p w14:paraId="70564802">
      <w:pPr>
        <w:pStyle w:val="168"/>
      </w:pPr>
      <w:r>
        <w:t>对服务过程中出现的问题和反馈意见应及时分析并报告。</w:t>
      </w:r>
    </w:p>
    <w:p w14:paraId="6EE4FBA3">
      <w:pPr>
        <w:pStyle w:val="168"/>
      </w:pPr>
      <w:r>
        <w:t>定期评价服务质量，分析服务过程中存在的问题，并持续改进。</w:t>
      </w:r>
    </w:p>
    <w:p w14:paraId="661E833E">
      <w:pPr>
        <w:pStyle w:val="59"/>
        <w:ind w:firstLine="420"/>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FF844">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5094C">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F05BB">
    <w:pPr>
      <w:pStyle w:val="55"/>
    </w:pPr>
    <w:r>
      <w:fldChar w:fldCharType="begin"/>
    </w:r>
    <w:r>
      <w:instrText xml:space="preserve">PAGE   \* MERGEFORMAT</w:instrText>
    </w:r>
    <w:r>
      <w:fldChar w:fldCharType="separate"/>
    </w:r>
    <w:r>
      <w:rPr>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74812">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042C5">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25F0D">
    <w:pPr>
      <w:pStyle w:val="64"/>
      <w:rPr>
        <w:rFonts w:hint="eastAsia"/>
      </w:rPr>
    </w:pPr>
    <w:r>
      <w:fldChar w:fldCharType="begin"/>
    </w:r>
    <w:r>
      <w:instrText xml:space="preserve"> STYLEREF  标准文件_文件编号  \* MERGEFORMAT </w:instrText>
    </w:r>
    <w:r>
      <w:fldChar w:fldCharType="separate"/>
    </w:r>
    <w:r>
      <w:t>DB34/TXXXX—XXXX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66B32">
    <w:pPr>
      <w:pStyle w:val="19"/>
      <w:jc w:val="right"/>
      <w:rPr>
        <w:lang w:val="fr-FR"/>
      </w:rPr>
    </w:pPr>
    <w:r>
      <w:fldChar w:fldCharType="begin"/>
    </w:r>
    <w:r>
      <w:instrText xml:space="preserve"> STYLEREF  标准文件_文件编号  \* MERGEFORMAT </w:instrText>
    </w:r>
    <w:r>
      <w:fldChar w:fldCharType="separate"/>
    </w:r>
    <w:r>
      <w:t>DB34/TXXXX—XXXX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1702"/>
        </w:tabs>
        <w:ind w:left="1702"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426"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3YzBkNGVhYmZmY2NlMjM0M2QwMjAzODg4ZDNhNTMifQ=="/>
  </w:docVars>
  <w:rsids>
    <w:rsidRoot w:val="00542009"/>
    <w:rsid w:val="0000040A"/>
    <w:rsid w:val="00000A94"/>
    <w:rsid w:val="00001972"/>
    <w:rsid w:val="00001D9A"/>
    <w:rsid w:val="00003D8C"/>
    <w:rsid w:val="00006319"/>
    <w:rsid w:val="00007B3A"/>
    <w:rsid w:val="000107E0"/>
    <w:rsid w:val="00011FDE"/>
    <w:rsid w:val="00012FFD"/>
    <w:rsid w:val="00014162"/>
    <w:rsid w:val="00014340"/>
    <w:rsid w:val="00016A9C"/>
    <w:rsid w:val="00022184"/>
    <w:rsid w:val="00022762"/>
    <w:rsid w:val="000238E0"/>
    <w:rsid w:val="000243F8"/>
    <w:rsid w:val="000249DB"/>
    <w:rsid w:val="0002595E"/>
    <w:rsid w:val="000271E1"/>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CFB"/>
    <w:rsid w:val="000556ED"/>
    <w:rsid w:val="00055FE2"/>
    <w:rsid w:val="0005616F"/>
    <w:rsid w:val="00060C2E"/>
    <w:rsid w:val="00061033"/>
    <w:rsid w:val="000619E9"/>
    <w:rsid w:val="000622D4"/>
    <w:rsid w:val="0006357D"/>
    <w:rsid w:val="00067F1E"/>
    <w:rsid w:val="00071CC0"/>
    <w:rsid w:val="0007380F"/>
    <w:rsid w:val="00073C15"/>
    <w:rsid w:val="00073C8C"/>
    <w:rsid w:val="00077B64"/>
    <w:rsid w:val="00080A1C"/>
    <w:rsid w:val="00082317"/>
    <w:rsid w:val="00083D2C"/>
    <w:rsid w:val="0008609A"/>
    <w:rsid w:val="00086AA1"/>
    <w:rsid w:val="00087A77"/>
    <w:rsid w:val="00090CA6"/>
    <w:rsid w:val="0009189D"/>
    <w:rsid w:val="00092B8A"/>
    <w:rsid w:val="00092FB0"/>
    <w:rsid w:val="000934C5"/>
    <w:rsid w:val="00093D25"/>
    <w:rsid w:val="00093DAB"/>
    <w:rsid w:val="00094D73"/>
    <w:rsid w:val="00096C0C"/>
    <w:rsid w:val="00096D63"/>
    <w:rsid w:val="00097E28"/>
    <w:rsid w:val="000A0B60"/>
    <w:rsid w:val="000A0EB8"/>
    <w:rsid w:val="000A19FC"/>
    <w:rsid w:val="000A296B"/>
    <w:rsid w:val="000A371D"/>
    <w:rsid w:val="000A7311"/>
    <w:rsid w:val="000B060F"/>
    <w:rsid w:val="000B1592"/>
    <w:rsid w:val="000B1FF2"/>
    <w:rsid w:val="000B3CDA"/>
    <w:rsid w:val="000B6A0B"/>
    <w:rsid w:val="000B7073"/>
    <w:rsid w:val="000C0F6C"/>
    <w:rsid w:val="000C11DB"/>
    <w:rsid w:val="000C1492"/>
    <w:rsid w:val="000C2FBD"/>
    <w:rsid w:val="000C4B41"/>
    <w:rsid w:val="000C57D6"/>
    <w:rsid w:val="000C6362"/>
    <w:rsid w:val="000C7666"/>
    <w:rsid w:val="000D0A9C"/>
    <w:rsid w:val="000D1795"/>
    <w:rsid w:val="000D329A"/>
    <w:rsid w:val="000D3B41"/>
    <w:rsid w:val="000D4027"/>
    <w:rsid w:val="000D4B9C"/>
    <w:rsid w:val="000D4EB6"/>
    <w:rsid w:val="000D753B"/>
    <w:rsid w:val="000E4C9E"/>
    <w:rsid w:val="000E6FD7"/>
    <w:rsid w:val="000F06E1"/>
    <w:rsid w:val="000F0E3C"/>
    <w:rsid w:val="000F19D5"/>
    <w:rsid w:val="000F1C19"/>
    <w:rsid w:val="000F2F07"/>
    <w:rsid w:val="000F4AEA"/>
    <w:rsid w:val="000F633F"/>
    <w:rsid w:val="000F67E9"/>
    <w:rsid w:val="00104926"/>
    <w:rsid w:val="00112422"/>
    <w:rsid w:val="001128E2"/>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BBA"/>
    <w:rsid w:val="0017340B"/>
    <w:rsid w:val="00173FB1"/>
    <w:rsid w:val="00176DFD"/>
    <w:rsid w:val="00183ACA"/>
    <w:rsid w:val="001852C9"/>
    <w:rsid w:val="00190087"/>
    <w:rsid w:val="001913C4"/>
    <w:rsid w:val="0019189D"/>
    <w:rsid w:val="0019348F"/>
    <w:rsid w:val="00193A07"/>
    <w:rsid w:val="00194C95"/>
    <w:rsid w:val="00195C34"/>
    <w:rsid w:val="00196EF5"/>
    <w:rsid w:val="001A1A53"/>
    <w:rsid w:val="001A234A"/>
    <w:rsid w:val="001A31BA"/>
    <w:rsid w:val="001A4CF3"/>
    <w:rsid w:val="001A7D63"/>
    <w:rsid w:val="001B046D"/>
    <w:rsid w:val="001B06E8"/>
    <w:rsid w:val="001B5CC1"/>
    <w:rsid w:val="001B71D0"/>
    <w:rsid w:val="001B71EE"/>
    <w:rsid w:val="001C04A8"/>
    <w:rsid w:val="001C2C03"/>
    <w:rsid w:val="001C42F7"/>
    <w:rsid w:val="001C49E5"/>
    <w:rsid w:val="001C5C7C"/>
    <w:rsid w:val="001C680C"/>
    <w:rsid w:val="001C7FEA"/>
    <w:rsid w:val="001D0499"/>
    <w:rsid w:val="001D0BBE"/>
    <w:rsid w:val="001D0ED4"/>
    <w:rsid w:val="001D212F"/>
    <w:rsid w:val="001D29D7"/>
    <w:rsid w:val="001D2DE7"/>
    <w:rsid w:val="001D39A7"/>
    <w:rsid w:val="001D411C"/>
    <w:rsid w:val="001E1B6A"/>
    <w:rsid w:val="001E2484"/>
    <w:rsid w:val="001E3CC4"/>
    <w:rsid w:val="001E4882"/>
    <w:rsid w:val="001E73AB"/>
    <w:rsid w:val="001F092D"/>
    <w:rsid w:val="001F143A"/>
    <w:rsid w:val="001F1605"/>
    <w:rsid w:val="001F2333"/>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1F92"/>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5C7"/>
    <w:rsid w:val="00264A0C"/>
    <w:rsid w:val="00266EEB"/>
    <w:rsid w:val="00267EF4"/>
    <w:rsid w:val="00270CB8"/>
    <w:rsid w:val="00272B08"/>
    <w:rsid w:val="002771AC"/>
    <w:rsid w:val="00281BB8"/>
    <w:rsid w:val="00281E9E"/>
    <w:rsid w:val="00282405"/>
    <w:rsid w:val="00283B63"/>
    <w:rsid w:val="00285170"/>
    <w:rsid w:val="00285361"/>
    <w:rsid w:val="00286AB6"/>
    <w:rsid w:val="00290817"/>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46E"/>
    <w:rsid w:val="002B5779"/>
    <w:rsid w:val="002B7332"/>
    <w:rsid w:val="002B7F51"/>
    <w:rsid w:val="002C09E7"/>
    <w:rsid w:val="002C1E06"/>
    <w:rsid w:val="002C1E1C"/>
    <w:rsid w:val="002C3F07"/>
    <w:rsid w:val="002C5278"/>
    <w:rsid w:val="002C5679"/>
    <w:rsid w:val="002C5E16"/>
    <w:rsid w:val="002C7EBB"/>
    <w:rsid w:val="002D06C1"/>
    <w:rsid w:val="002D0752"/>
    <w:rsid w:val="002D42B5"/>
    <w:rsid w:val="002D4F1A"/>
    <w:rsid w:val="002D6511"/>
    <w:rsid w:val="002D6EC6"/>
    <w:rsid w:val="002D79AC"/>
    <w:rsid w:val="002E039D"/>
    <w:rsid w:val="002E1C3B"/>
    <w:rsid w:val="002E4D5A"/>
    <w:rsid w:val="002E6326"/>
    <w:rsid w:val="002F30E0"/>
    <w:rsid w:val="002F35E4"/>
    <w:rsid w:val="002F3730"/>
    <w:rsid w:val="002F38E1"/>
    <w:rsid w:val="002F7AF6"/>
    <w:rsid w:val="002F7D51"/>
    <w:rsid w:val="00300E63"/>
    <w:rsid w:val="00302F5F"/>
    <w:rsid w:val="0030441D"/>
    <w:rsid w:val="00304486"/>
    <w:rsid w:val="00306063"/>
    <w:rsid w:val="00307287"/>
    <w:rsid w:val="00313B85"/>
    <w:rsid w:val="003140B6"/>
    <w:rsid w:val="00317988"/>
    <w:rsid w:val="00321DD4"/>
    <w:rsid w:val="003221B4"/>
    <w:rsid w:val="0032258D"/>
    <w:rsid w:val="00322A17"/>
    <w:rsid w:val="00322E62"/>
    <w:rsid w:val="00324BBD"/>
    <w:rsid w:val="00324D13"/>
    <w:rsid w:val="00324D2A"/>
    <w:rsid w:val="00324EDD"/>
    <w:rsid w:val="00327A4A"/>
    <w:rsid w:val="003331E4"/>
    <w:rsid w:val="00336C64"/>
    <w:rsid w:val="00337162"/>
    <w:rsid w:val="0034194F"/>
    <w:rsid w:val="00344605"/>
    <w:rsid w:val="003474AA"/>
    <w:rsid w:val="00350D1D"/>
    <w:rsid w:val="00352C83"/>
    <w:rsid w:val="00356B13"/>
    <w:rsid w:val="003615D2"/>
    <w:rsid w:val="0036429C"/>
    <w:rsid w:val="00364845"/>
    <w:rsid w:val="00364A53"/>
    <w:rsid w:val="003654CB"/>
    <w:rsid w:val="00365AA9"/>
    <w:rsid w:val="00365F86"/>
    <w:rsid w:val="00365F87"/>
    <w:rsid w:val="00366E89"/>
    <w:rsid w:val="003705F4"/>
    <w:rsid w:val="00370D58"/>
    <w:rsid w:val="00371316"/>
    <w:rsid w:val="00376713"/>
    <w:rsid w:val="00381815"/>
    <w:rsid w:val="003819AF"/>
    <w:rsid w:val="00381B89"/>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6C8"/>
    <w:rsid w:val="003A1582"/>
    <w:rsid w:val="003A4077"/>
    <w:rsid w:val="003B09AD"/>
    <w:rsid w:val="003B1F18"/>
    <w:rsid w:val="003B5BF0"/>
    <w:rsid w:val="003B60BF"/>
    <w:rsid w:val="003B6BE3"/>
    <w:rsid w:val="003C010C"/>
    <w:rsid w:val="003C0A6C"/>
    <w:rsid w:val="003C14F8"/>
    <w:rsid w:val="003C5A43"/>
    <w:rsid w:val="003C6622"/>
    <w:rsid w:val="003D0519"/>
    <w:rsid w:val="003D0FF6"/>
    <w:rsid w:val="003D262C"/>
    <w:rsid w:val="003D6D61"/>
    <w:rsid w:val="003D79C6"/>
    <w:rsid w:val="003E091D"/>
    <w:rsid w:val="003E1C53"/>
    <w:rsid w:val="003E1DF8"/>
    <w:rsid w:val="003E2A69"/>
    <w:rsid w:val="003E2D49"/>
    <w:rsid w:val="003E2FD4"/>
    <w:rsid w:val="003E49F6"/>
    <w:rsid w:val="003E660F"/>
    <w:rsid w:val="003F0841"/>
    <w:rsid w:val="003F23D3"/>
    <w:rsid w:val="003F3F08"/>
    <w:rsid w:val="003F49F1"/>
    <w:rsid w:val="003F6272"/>
    <w:rsid w:val="00400E72"/>
    <w:rsid w:val="00401400"/>
    <w:rsid w:val="00402F46"/>
    <w:rsid w:val="00404869"/>
    <w:rsid w:val="00405884"/>
    <w:rsid w:val="00407D39"/>
    <w:rsid w:val="0041393F"/>
    <w:rsid w:val="0041477A"/>
    <w:rsid w:val="004167A3"/>
    <w:rsid w:val="00430CF6"/>
    <w:rsid w:val="00432DAA"/>
    <w:rsid w:val="00434305"/>
    <w:rsid w:val="00435DF7"/>
    <w:rsid w:val="004377C2"/>
    <w:rsid w:val="0044083F"/>
    <w:rsid w:val="00441AE7"/>
    <w:rsid w:val="00442D92"/>
    <w:rsid w:val="00445574"/>
    <w:rsid w:val="004467FB"/>
    <w:rsid w:val="00452D6B"/>
    <w:rsid w:val="00454484"/>
    <w:rsid w:val="0045517B"/>
    <w:rsid w:val="004560C4"/>
    <w:rsid w:val="00463B77"/>
    <w:rsid w:val="00463C7B"/>
    <w:rsid w:val="004644A6"/>
    <w:rsid w:val="004659BD"/>
    <w:rsid w:val="00470775"/>
    <w:rsid w:val="0047335F"/>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4D9A"/>
    <w:rsid w:val="004C7556"/>
    <w:rsid w:val="004C7E8B"/>
    <w:rsid w:val="004C7E9D"/>
    <w:rsid w:val="004C7F67"/>
    <w:rsid w:val="004D076D"/>
    <w:rsid w:val="004D0EF1"/>
    <w:rsid w:val="004D2253"/>
    <w:rsid w:val="004D4406"/>
    <w:rsid w:val="004D6883"/>
    <w:rsid w:val="004D69A4"/>
    <w:rsid w:val="004D7C42"/>
    <w:rsid w:val="004D7FA8"/>
    <w:rsid w:val="004E0465"/>
    <w:rsid w:val="004E127B"/>
    <w:rsid w:val="004E1C0A"/>
    <w:rsid w:val="004E2B06"/>
    <w:rsid w:val="004E30C5"/>
    <w:rsid w:val="004E4AA5"/>
    <w:rsid w:val="004E4AEE"/>
    <w:rsid w:val="004E59E3"/>
    <w:rsid w:val="004E67C0"/>
    <w:rsid w:val="004F04F9"/>
    <w:rsid w:val="004F391A"/>
    <w:rsid w:val="004F3CFB"/>
    <w:rsid w:val="004F6456"/>
    <w:rsid w:val="004F696E"/>
    <w:rsid w:val="004F6C71"/>
    <w:rsid w:val="00501139"/>
    <w:rsid w:val="0050363E"/>
    <w:rsid w:val="005039BC"/>
    <w:rsid w:val="005043BB"/>
    <w:rsid w:val="00504A3D"/>
    <w:rsid w:val="00505767"/>
    <w:rsid w:val="005073F0"/>
    <w:rsid w:val="00510A7B"/>
    <w:rsid w:val="00512197"/>
    <w:rsid w:val="00512F6E"/>
    <w:rsid w:val="00513038"/>
    <w:rsid w:val="00514174"/>
    <w:rsid w:val="00516088"/>
    <w:rsid w:val="00516B0B"/>
    <w:rsid w:val="005220EC"/>
    <w:rsid w:val="00523F95"/>
    <w:rsid w:val="00524D65"/>
    <w:rsid w:val="005255EF"/>
    <w:rsid w:val="00525B16"/>
    <w:rsid w:val="00530238"/>
    <w:rsid w:val="005310B6"/>
    <w:rsid w:val="00533D04"/>
    <w:rsid w:val="00534804"/>
    <w:rsid w:val="00534BDF"/>
    <w:rsid w:val="005354EA"/>
    <w:rsid w:val="0053585F"/>
    <w:rsid w:val="00535EC4"/>
    <w:rsid w:val="00535ED9"/>
    <w:rsid w:val="0053692B"/>
    <w:rsid w:val="00541853"/>
    <w:rsid w:val="00542009"/>
    <w:rsid w:val="00543BDA"/>
    <w:rsid w:val="005441CC"/>
    <w:rsid w:val="005479DA"/>
    <w:rsid w:val="00547BCC"/>
    <w:rsid w:val="0055013B"/>
    <w:rsid w:val="00551F6F"/>
    <w:rsid w:val="00555044"/>
    <w:rsid w:val="00561475"/>
    <w:rsid w:val="00563C17"/>
    <w:rsid w:val="0056487B"/>
    <w:rsid w:val="00564FB9"/>
    <w:rsid w:val="00573D9E"/>
    <w:rsid w:val="005801E3"/>
    <w:rsid w:val="00581802"/>
    <w:rsid w:val="005836A8"/>
    <w:rsid w:val="0058409C"/>
    <w:rsid w:val="00584262"/>
    <w:rsid w:val="00586630"/>
    <w:rsid w:val="00587ADD"/>
    <w:rsid w:val="00587F73"/>
    <w:rsid w:val="00591E27"/>
    <w:rsid w:val="00596160"/>
    <w:rsid w:val="005966E2"/>
    <w:rsid w:val="0059671D"/>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0260"/>
    <w:rsid w:val="005C29B8"/>
    <w:rsid w:val="005C5F21"/>
    <w:rsid w:val="005C7156"/>
    <w:rsid w:val="005D0C75"/>
    <w:rsid w:val="005D4171"/>
    <w:rsid w:val="005D6A95"/>
    <w:rsid w:val="005D6B2C"/>
    <w:rsid w:val="005D6D9C"/>
    <w:rsid w:val="005E2335"/>
    <w:rsid w:val="005E34CA"/>
    <w:rsid w:val="005E3C18"/>
    <w:rsid w:val="005E6097"/>
    <w:rsid w:val="005E6812"/>
    <w:rsid w:val="005E7881"/>
    <w:rsid w:val="005E78E0"/>
    <w:rsid w:val="005F0D9C"/>
    <w:rsid w:val="005F1590"/>
    <w:rsid w:val="005F284E"/>
    <w:rsid w:val="005F4712"/>
    <w:rsid w:val="006015CE"/>
    <w:rsid w:val="00603A25"/>
    <w:rsid w:val="00604784"/>
    <w:rsid w:val="00606419"/>
    <w:rsid w:val="00607D29"/>
    <w:rsid w:val="00612952"/>
    <w:rsid w:val="00614BAA"/>
    <w:rsid w:val="00614CC1"/>
    <w:rsid w:val="00615294"/>
    <w:rsid w:val="00615936"/>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1EE"/>
    <w:rsid w:val="00643F9D"/>
    <w:rsid w:val="00645904"/>
    <w:rsid w:val="006478AC"/>
    <w:rsid w:val="00651ACB"/>
    <w:rsid w:val="00651C47"/>
    <w:rsid w:val="00652AB2"/>
    <w:rsid w:val="00653FED"/>
    <w:rsid w:val="00654EC0"/>
    <w:rsid w:val="0065525B"/>
    <w:rsid w:val="00655D4F"/>
    <w:rsid w:val="00656D29"/>
    <w:rsid w:val="00660B63"/>
    <w:rsid w:val="006640E5"/>
    <w:rsid w:val="006646F1"/>
    <w:rsid w:val="00664929"/>
    <w:rsid w:val="00664F62"/>
    <w:rsid w:val="006655E1"/>
    <w:rsid w:val="00672060"/>
    <w:rsid w:val="00672BFD"/>
    <w:rsid w:val="006770F4"/>
    <w:rsid w:val="00677A84"/>
    <w:rsid w:val="0068026D"/>
    <w:rsid w:val="00680A27"/>
    <w:rsid w:val="006816A4"/>
    <w:rsid w:val="006819B8"/>
    <w:rsid w:val="00681A0A"/>
    <w:rsid w:val="00681B0F"/>
    <w:rsid w:val="006840A6"/>
    <w:rsid w:val="006850CD"/>
    <w:rsid w:val="00685AAB"/>
    <w:rsid w:val="00692648"/>
    <w:rsid w:val="00695D22"/>
    <w:rsid w:val="006A07AA"/>
    <w:rsid w:val="006A25E5"/>
    <w:rsid w:val="006A2B46"/>
    <w:rsid w:val="006A336D"/>
    <w:rsid w:val="006A37B9"/>
    <w:rsid w:val="006A6026"/>
    <w:rsid w:val="006B2672"/>
    <w:rsid w:val="006B54BF"/>
    <w:rsid w:val="006B5F44"/>
    <w:rsid w:val="006B5F90"/>
    <w:rsid w:val="006B62E4"/>
    <w:rsid w:val="006C1BBA"/>
    <w:rsid w:val="006C2079"/>
    <w:rsid w:val="006C5A62"/>
    <w:rsid w:val="006C5D68"/>
    <w:rsid w:val="006C6976"/>
    <w:rsid w:val="006C6DD0"/>
    <w:rsid w:val="006D04EA"/>
    <w:rsid w:val="006D09A7"/>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3F71"/>
    <w:rsid w:val="00704387"/>
    <w:rsid w:val="00707669"/>
    <w:rsid w:val="00711CBA"/>
    <w:rsid w:val="00711FB5"/>
    <w:rsid w:val="00712A01"/>
    <w:rsid w:val="00714F58"/>
    <w:rsid w:val="00722FBF"/>
    <w:rsid w:val="00722FC2"/>
    <w:rsid w:val="007241DE"/>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B52"/>
    <w:rsid w:val="00750D61"/>
    <w:rsid w:val="00750EE1"/>
    <w:rsid w:val="00752B4D"/>
    <w:rsid w:val="00755402"/>
    <w:rsid w:val="00756B26"/>
    <w:rsid w:val="00756EDF"/>
    <w:rsid w:val="007600E3"/>
    <w:rsid w:val="00760335"/>
    <w:rsid w:val="00765C43"/>
    <w:rsid w:val="00765EFB"/>
    <w:rsid w:val="007671CA"/>
    <w:rsid w:val="00767C61"/>
    <w:rsid w:val="0077008A"/>
    <w:rsid w:val="00770C21"/>
    <w:rsid w:val="00773C1F"/>
    <w:rsid w:val="00774DA4"/>
    <w:rsid w:val="00775AD5"/>
    <w:rsid w:val="00776599"/>
    <w:rsid w:val="00780537"/>
    <w:rsid w:val="0078114B"/>
    <w:rsid w:val="00781DD2"/>
    <w:rsid w:val="00783ECF"/>
    <w:rsid w:val="0078413A"/>
    <w:rsid w:val="007959E8"/>
    <w:rsid w:val="00795E9C"/>
    <w:rsid w:val="00796CBF"/>
    <w:rsid w:val="007A0521"/>
    <w:rsid w:val="007A2E12"/>
    <w:rsid w:val="007A3475"/>
    <w:rsid w:val="007A41C8"/>
    <w:rsid w:val="007A47F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1B68"/>
    <w:rsid w:val="007D1CFB"/>
    <w:rsid w:val="007D2508"/>
    <w:rsid w:val="007D346A"/>
    <w:rsid w:val="007D6518"/>
    <w:rsid w:val="007D76BD"/>
    <w:rsid w:val="007D7E3C"/>
    <w:rsid w:val="007E0BF1"/>
    <w:rsid w:val="007F0ED8"/>
    <w:rsid w:val="007F0F63"/>
    <w:rsid w:val="007F759F"/>
    <w:rsid w:val="007F75CE"/>
    <w:rsid w:val="007F7C4F"/>
    <w:rsid w:val="008013A4"/>
    <w:rsid w:val="008027CE"/>
    <w:rsid w:val="00802F42"/>
    <w:rsid w:val="00804196"/>
    <w:rsid w:val="00804383"/>
    <w:rsid w:val="00804BB7"/>
    <w:rsid w:val="00804D41"/>
    <w:rsid w:val="00810257"/>
    <w:rsid w:val="008104F5"/>
    <w:rsid w:val="00810BF1"/>
    <w:rsid w:val="00811072"/>
    <w:rsid w:val="00811369"/>
    <w:rsid w:val="00814A74"/>
    <w:rsid w:val="00815419"/>
    <w:rsid w:val="00815D5C"/>
    <w:rsid w:val="008163C8"/>
    <w:rsid w:val="008164A1"/>
    <w:rsid w:val="00816F3E"/>
    <w:rsid w:val="00817325"/>
    <w:rsid w:val="008209E6"/>
    <w:rsid w:val="00821D03"/>
    <w:rsid w:val="00823303"/>
    <w:rsid w:val="008233B2"/>
    <w:rsid w:val="00823A9F"/>
    <w:rsid w:val="00823C85"/>
    <w:rsid w:val="00824FCF"/>
    <w:rsid w:val="00825138"/>
    <w:rsid w:val="008269DD"/>
    <w:rsid w:val="00830621"/>
    <w:rsid w:val="0083348C"/>
    <w:rsid w:val="00833BC5"/>
    <w:rsid w:val="00835062"/>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3C5"/>
    <w:rsid w:val="00883F93"/>
    <w:rsid w:val="00884DB3"/>
    <w:rsid w:val="00885A9D"/>
    <w:rsid w:val="008864F6"/>
    <w:rsid w:val="0089049D"/>
    <w:rsid w:val="00891DC4"/>
    <w:rsid w:val="008928C9"/>
    <w:rsid w:val="008930CB"/>
    <w:rsid w:val="008938DC"/>
    <w:rsid w:val="00893FD1"/>
    <w:rsid w:val="00894836"/>
    <w:rsid w:val="00895172"/>
    <w:rsid w:val="00895680"/>
    <w:rsid w:val="00896DFF"/>
    <w:rsid w:val="0089762C"/>
    <w:rsid w:val="008A1022"/>
    <w:rsid w:val="008A1893"/>
    <w:rsid w:val="008A3215"/>
    <w:rsid w:val="008A57E6"/>
    <w:rsid w:val="008A62F6"/>
    <w:rsid w:val="008A6F81"/>
    <w:rsid w:val="008A769A"/>
    <w:rsid w:val="008B0C9C"/>
    <w:rsid w:val="008B166D"/>
    <w:rsid w:val="008B17F4"/>
    <w:rsid w:val="008B2FC4"/>
    <w:rsid w:val="008B3615"/>
    <w:rsid w:val="008B4AC4"/>
    <w:rsid w:val="008B50C8"/>
    <w:rsid w:val="008B5281"/>
    <w:rsid w:val="008B7E05"/>
    <w:rsid w:val="008C1797"/>
    <w:rsid w:val="008C1FBE"/>
    <w:rsid w:val="008C219C"/>
    <w:rsid w:val="008C475E"/>
    <w:rsid w:val="008C4F44"/>
    <w:rsid w:val="008C619A"/>
    <w:rsid w:val="008D0CE8"/>
    <w:rsid w:val="008D2D1D"/>
    <w:rsid w:val="008D453D"/>
    <w:rsid w:val="008D5354"/>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2F6C"/>
    <w:rsid w:val="009062E6"/>
    <w:rsid w:val="009067E0"/>
    <w:rsid w:val="00911BE5"/>
    <w:rsid w:val="00913CA9"/>
    <w:rsid w:val="009145AE"/>
    <w:rsid w:val="009146CE"/>
    <w:rsid w:val="00914CA7"/>
    <w:rsid w:val="00915C3E"/>
    <w:rsid w:val="009161A8"/>
    <w:rsid w:val="009245F5"/>
    <w:rsid w:val="009249EC"/>
    <w:rsid w:val="009273B3"/>
    <w:rsid w:val="009305B5"/>
    <w:rsid w:val="009429D5"/>
    <w:rsid w:val="00942BF1"/>
    <w:rsid w:val="0094442C"/>
    <w:rsid w:val="00944ADA"/>
    <w:rsid w:val="00945180"/>
    <w:rsid w:val="00945428"/>
    <w:rsid w:val="0094607B"/>
    <w:rsid w:val="009505EC"/>
    <w:rsid w:val="00953604"/>
    <w:rsid w:val="00953C7D"/>
    <w:rsid w:val="0095496B"/>
    <w:rsid w:val="009610DC"/>
    <w:rsid w:val="00961490"/>
    <w:rsid w:val="0096381A"/>
    <w:rsid w:val="009653CA"/>
    <w:rsid w:val="00965E04"/>
    <w:rsid w:val="009665D3"/>
    <w:rsid w:val="009674AD"/>
    <w:rsid w:val="00970CDC"/>
    <w:rsid w:val="00977010"/>
    <w:rsid w:val="00977D02"/>
    <w:rsid w:val="009809BB"/>
    <w:rsid w:val="0098364B"/>
    <w:rsid w:val="009911AF"/>
    <w:rsid w:val="00991512"/>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1DA5"/>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06EF"/>
    <w:rsid w:val="00A0096C"/>
    <w:rsid w:val="00A01757"/>
    <w:rsid w:val="00A01AB9"/>
    <w:rsid w:val="00A028C0"/>
    <w:rsid w:val="00A02BAE"/>
    <w:rsid w:val="00A06A6B"/>
    <w:rsid w:val="00A07E46"/>
    <w:rsid w:val="00A07E47"/>
    <w:rsid w:val="00A129D0"/>
    <w:rsid w:val="00A12C33"/>
    <w:rsid w:val="00A138BA"/>
    <w:rsid w:val="00A14C8E"/>
    <w:rsid w:val="00A153D9"/>
    <w:rsid w:val="00A15F09"/>
    <w:rsid w:val="00A16926"/>
    <w:rsid w:val="00A169B6"/>
    <w:rsid w:val="00A2271D"/>
    <w:rsid w:val="00A237D5"/>
    <w:rsid w:val="00A30EFC"/>
    <w:rsid w:val="00A31984"/>
    <w:rsid w:val="00A32D73"/>
    <w:rsid w:val="00A3367B"/>
    <w:rsid w:val="00A3597D"/>
    <w:rsid w:val="00A363D1"/>
    <w:rsid w:val="00A36DD1"/>
    <w:rsid w:val="00A37F8D"/>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176B"/>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07B6"/>
    <w:rsid w:val="00AC27A6"/>
    <w:rsid w:val="00AC30F7"/>
    <w:rsid w:val="00AC3A5A"/>
    <w:rsid w:val="00AC4D95"/>
    <w:rsid w:val="00AC5DF4"/>
    <w:rsid w:val="00AD06CE"/>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7A30"/>
    <w:rsid w:val="00B02C37"/>
    <w:rsid w:val="00B04997"/>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2AC"/>
    <w:rsid w:val="00B4346D"/>
    <w:rsid w:val="00B440F4"/>
    <w:rsid w:val="00B447A5"/>
    <w:rsid w:val="00B46293"/>
    <w:rsid w:val="00B4654C"/>
    <w:rsid w:val="00B46AF0"/>
    <w:rsid w:val="00B47293"/>
    <w:rsid w:val="00B5044A"/>
    <w:rsid w:val="00B50E50"/>
    <w:rsid w:val="00B52120"/>
    <w:rsid w:val="00B54ABC"/>
    <w:rsid w:val="00B54DDE"/>
    <w:rsid w:val="00B56FBE"/>
    <w:rsid w:val="00B5729E"/>
    <w:rsid w:val="00B60ACF"/>
    <w:rsid w:val="00B62B58"/>
    <w:rsid w:val="00B65149"/>
    <w:rsid w:val="00B66567"/>
    <w:rsid w:val="00B66F52"/>
    <w:rsid w:val="00B66FE5"/>
    <w:rsid w:val="00B72880"/>
    <w:rsid w:val="00B75603"/>
    <w:rsid w:val="00B758BF"/>
    <w:rsid w:val="00B77EC8"/>
    <w:rsid w:val="00B827A6"/>
    <w:rsid w:val="00B831CE"/>
    <w:rsid w:val="00B86677"/>
    <w:rsid w:val="00B87131"/>
    <w:rsid w:val="00B939B1"/>
    <w:rsid w:val="00B9400F"/>
    <w:rsid w:val="00B96D40"/>
    <w:rsid w:val="00B9713C"/>
    <w:rsid w:val="00B97386"/>
    <w:rsid w:val="00BA263B"/>
    <w:rsid w:val="00BA42B2"/>
    <w:rsid w:val="00BA58D4"/>
    <w:rsid w:val="00BA5B9E"/>
    <w:rsid w:val="00BA7C9A"/>
    <w:rsid w:val="00BB203B"/>
    <w:rsid w:val="00BB5F8F"/>
    <w:rsid w:val="00BB657A"/>
    <w:rsid w:val="00BC07FB"/>
    <w:rsid w:val="00BC1A4E"/>
    <w:rsid w:val="00BC4790"/>
    <w:rsid w:val="00BC5DC7"/>
    <w:rsid w:val="00BC63E2"/>
    <w:rsid w:val="00BC6B8B"/>
    <w:rsid w:val="00BC73D8"/>
    <w:rsid w:val="00BD52D7"/>
    <w:rsid w:val="00BD5AD2"/>
    <w:rsid w:val="00BE1BBC"/>
    <w:rsid w:val="00BE22F3"/>
    <w:rsid w:val="00BE270B"/>
    <w:rsid w:val="00BE5B52"/>
    <w:rsid w:val="00BE7B8D"/>
    <w:rsid w:val="00BF0993"/>
    <w:rsid w:val="00BF10A9"/>
    <w:rsid w:val="00BF1703"/>
    <w:rsid w:val="00BF231C"/>
    <w:rsid w:val="00BF51E5"/>
    <w:rsid w:val="00BF74A6"/>
    <w:rsid w:val="00C0030E"/>
    <w:rsid w:val="00C013AD"/>
    <w:rsid w:val="00C04904"/>
    <w:rsid w:val="00C056B3"/>
    <w:rsid w:val="00C103E5"/>
    <w:rsid w:val="00C13319"/>
    <w:rsid w:val="00C13EE9"/>
    <w:rsid w:val="00C21540"/>
    <w:rsid w:val="00C21906"/>
    <w:rsid w:val="00C21BFA"/>
    <w:rsid w:val="00C22148"/>
    <w:rsid w:val="00C24C8D"/>
    <w:rsid w:val="00C25056"/>
    <w:rsid w:val="00C25FE2"/>
    <w:rsid w:val="00C26B53"/>
    <w:rsid w:val="00C279B2"/>
    <w:rsid w:val="00C33E50"/>
    <w:rsid w:val="00C34C20"/>
    <w:rsid w:val="00C35A3E"/>
    <w:rsid w:val="00C42130"/>
    <w:rsid w:val="00C423A4"/>
    <w:rsid w:val="00C44BF5"/>
    <w:rsid w:val="00C47624"/>
    <w:rsid w:val="00C502D5"/>
    <w:rsid w:val="00C521D6"/>
    <w:rsid w:val="00C5495D"/>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1C4E"/>
    <w:rsid w:val="00CE30EA"/>
    <w:rsid w:val="00CF048A"/>
    <w:rsid w:val="00CF155A"/>
    <w:rsid w:val="00CF2947"/>
    <w:rsid w:val="00CF686F"/>
    <w:rsid w:val="00CF6E60"/>
    <w:rsid w:val="00CF7BCA"/>
    <w:rsid w:val="00D008FD"/>
    <w:rsid w:val="00D0321C"/>
    <w:rsid w:val="00D035EC"/>
    <w:rsid w:val="00D05EF5"/>
    <w:rsid w:val="00D06AB1"/>
    <w:rsid w:val="00D072ED"/>
    <w:rsid w:val="00D07314"/>
    <w:rsid w:val="00D07A16"/>
    <w:rsid w:val="00D1028A"/>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535B"/>
    <w:rsid w:val="00D6661F"/>
    <w:rsid w:val="00D66846"/>
    <w:rsid w:val="00D675FB"/>
    <w:rsid w:val="00D71F25"/>
    <w:rsid w:val="00D72A9C"/>
    <w:rsid w:val="00D77031"/>
    <w:rsid w:val="00D81486"/>
    <w:rsid w:val="00D84941"/>
    <w:rsid w:val="00D84FA1"/>
    <w:rsid w:val="00D851F0"/>
    <w:rsid w:val="00D86DB7"/>
    <w:rsid w:val="00D926D0"/>
    <w:rsid w:val="00D93030"/>
    <w:rsid w:val="00D950E1"/>
    <w:rsid w:val="00D952A6"/>
    <w:rsid w:val="00D97F99"/>
    <w:rsid w:val="00DA0D3A"/>
    <w:rsid w:val="00DA1CB8"/>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6D36"/>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534"/>
    <w:rsid w:val="00DF5F11"/>
    <w:rsid w:val="00E01138"/>
    <w:rsid w:val="00E02DFB"/>
    <w:rsid w:val="00E030F9"/>
    <w:rsid w:val="00E0311A"/>
    <w:rsid w:val="00E03138"/>
    <w:rsid w:val="00E047F6"/>
    <w:rsid w:val="00E06404"/>
    <w:rsid w:val="00E065D2"/>
    <w:rsid w:val="00E11A85"/>
    <w:rsid w:val="00E12495"/>
    <w:rsid w:val="00E15CCD"/>
    <w:rsid w:val="00E202EF"/>
    <w:rsid w:val="00E210B5"/>
    <w:rsid w:val="00E235C1"/>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85E"/>
    <w:rsid w:val="00E60C63"/>
    <w:rsid w:val="00E623BB"/>
    <w:rsid w:val="00E62FF9"/>
    <w:rsid w:val="00E635D6"/>
    <w:rsid w:val="00E639BC"/>
    <w:rsid w:val="00E664CC"/>
    <w:rsid w:val="00E70388"/>
    <w:rsid w:val="00E70F92"/>
    <w:rsid w:val="00E74C54"/>
    <w:rsid w:val="00E77A03"/>
    <w:rsid w:val="00E822E8"/>
    <w:rsid w:val="00E82554"/>
    <w:rsid w:val="00E82606"/>
    <w:rsid w:val="00E8293B"/>
    <w:rsid w:val="00E846C8"/>
    <w:rsid w:val="00E84957"/>
    <w:rsid w:val="00E84A55"/>
    <w:rsid w:val="00E84C73"/>
    <w:rsid w:val="00E85BFF"/>
    <w:rsid w:val="00E86179"/>
    <w:rsid w:val="00E87E27"/>
    <w:rsid w:val="00E90391"/>
    <w:rsid w:val="00E906C2"/>
    <w:rsid w:val="00E9311F"/>
    <w:rsid w:val="00E934D1"/>
    <w:rsid w:val="00E94AF0"/>
    <w:rsid w:val="00E957C8"/>
    <w:rsid w:val="00E95D13"/>
    <w:rsid w:val="00E95DD3"/>
    <w:rsid w:val="00E969D5"/>
    <w:rsid w:val="00EA52E9"/>
    <w:rsid w:val="00EA58D1"/>
    <w:rsid w:val="00EA61BC"/>
    <w:rsid w:val="00EA681A"/>
    <w:rsid w:val="00EA735B"/>
    <w:rsid w:val="00EB17DE"/>
    <w:rsid w:val="00EB1E69"/>
    <w:rsid w:val="00EB2086"/>
    <w:rsid w:val="00EB28E5"/>
    <w:rsid w:val="00EB5EDF"/>
    <w:rsid w:val="00EB60FE"/>
    <w:rsid w:val="00EB74DB"/>
    <w:rsid w:val="00EC030C"/>
    <w:rsid w:val="00EC5359"/>
    <w:rsid w:val="00EC562A"/>
    <w:rsid w:val="00EC5719"/>
    <w:rsid w:val="00ED067A"/>
    <w:rsid w:val="00ED2B50"/>
    <w:rsid w:val="00EE0350"/>
    <w:rsid w:val="00EE0719"/>
    <w:rsid w:val="00EE0E80"/>
    <w:rsid w:val="00EE18C7"/>
    <w:rsid w:val="00EE54A6"/>
    <w:rsid w:val="00EE613F"/>
    <w:rsid w:val="00EE7295"/>
    <w:rsid w:val="00EE7869"/>
    <w:rsid w:val="00EF054A"/>
    <w:rsid w:val="00EF3235"/>
    <w:rsid w:val="00EF3E4D"/>
    <w:rsid w:val="00EF7E72"/>
    <w:rsid w:val="00F06473"/>
    <w:rsid w:val="00F06D37"/>
    <w:rsid w:val="00F07B9D"/>
    <w:rsid w:val="00F11586"/>
    <w:rsid w:val="00F1183B"/>
    <w:rsid w:val="00F11C9F"/>
    <w:rsid w:val="00F12263"/>
    <w:rsid w:val="00F1409D"/>
    <w:rsid w:val="00F14214"/>
    <w:rsid w:val="00F15172"/>
    <w:rsid w:val="00F157A9"/>
    <w:rsid w:val="00F25BB6"/>
    <w:rsid w:val="00F26B7E"/>
    <w:rsid w:val="00F27A3B"/>
    <w:rsid w:val="00F33817"/>
    <w:rsid w:val="00F400CF"/>
    <w:rsid w:val="00F420D5"/>
    <w:rsid w:val="00F451EA"/>
    <w:rsid w:val="00F45447"/>
    <w:rsid w:val="00F456C6"/>
    <w:rsid w:val="00F4577B"/>
    <w:rsid w:val="00F46496"/>
    <w:rsid w:val="00F474D0"/>
    <w:rsid w:val="00F50179"/>
    <w:rsid w:val="00F515EE"/>
    <w:rsid w:val="00F53C15"/>
    <w:rsid w:val="00F56511"/>
    <w:rsid w:val="00F6194E"/>
    <w:rsid w:val="00F623AC"/>
    <w:rsid w:val="00F6412A"/>
    <w:rsid w:val="00F65893"/>
    <w:rsid w:val="00F66A4A"/>
    <w:rsid w:val="00F71E22"/>
    <w:rsid w:val="00F72142"/>
    <w:rsid w:val="00F72AE7"/>
    <w:rsid w:val="00F81141"/>
    <w:rsid w:val="00F833BA"/>
    <w:rsid w:val="00F84FD0"/>
    <w:rsid w:val="00F859A8"/>
    <w:rsid w:val="00F85ADA"/>
    <w:rsid w:val="00F86383"/>
    <w:rsid w:val="00F86D87"/>
    <w:rsid w:val="00F9108B"/>
    <w:rsid w:val="00F91349"/>
    <w:rsid w:val="00F93A8A"/>
    <w:rsid w:val="00F95248"/>
    <w:rsid w:val="00F956A9"/>
    <w:rsid w:val="00F956AD"/>
    <w:rsid w:val="00F963ED"/>
    <w:rsid w:val="00F966CF"/>
    <w:rsid w:val="00F96CAE"/>
    <w:rsid w:val="00F97C99"/>
    <w:rsid w:val="00FA4DAC"/>
    <w:rsid w:val="00FA662D"/>
    <w:rsid w:val="00FA676A"/>
    <w:rsid w:val="00FA73B1"/>
    <w:rsid w:val="00FB0C1E"/>
    <w:rsid w:val="00FB0CB9"/>
    <w:rsid w:val="00FB231D"/>
    <w:rsid w:val="00FB315D"/>
    <w:rsid w:val="00FB45F1"/>
    <w:rsid w:val="00FB4A72"/>
    <w:rsid w:val="00FB54E8"/>
    <w:rsid w:val="00FB7054"/>
    <w:rsid w:val="00FB7AD0"/>
    <w:rsid w:val="00FC17B7"/>
    <w:rsid w:val="00FC2CB7"/>
    <w:rsid w:val="00FC4090"/>
    <w:rsid w:val="00FC55B4"/>
    <w:rsid w:val="00FC7DBC"/>
    <w:rsid w:val="00FD00E6"/>
    <w:rsid w:val="00FD09A1"/>
    <w:rsid w:val="00FD2A7C"/>
    <w:rsid w:val="00FD59EB"/>
    <w:rsid w:val="00FD7299"/>
    <w:rsid w:val="00FE1FBE"/>
    <w:rsid w:val="00FE3901"/>
    <w:rsid w:val="00FE39D3"/>
    <w:rsid w:val="00FE4BCE"/>
    <w:rsid w:val="00FE54AE"/>
    <w:rsid w:val="00FE576A"/>
    <w:rsid w:val="00FE7E79"/>
    <w:rsid w:val="00FF179D"/>
    <w:rsid w:val="00FF3E7D"/>
    <w:rsid w:val="00FF5B99"/>
    <w:rsid w:val="00FF730C"/>
    <w:rsid w:val="00FF73F4"/>
    <w:rsid w:val="00FF7CE4"/>
    <w:rsid w:val="00FF7E39"/>
    <w:rsid w:val="035901D0"/>
    <w:rsid w:val="04071455"/>
    <w:rsid w:val="2A535A2F"/>
    <w:rsid w:val="2F4405B8"/>
    <w:rsid w:val="33BA3C6C"/>
    <w:rsid w:val="3969558D"/>
    <w:rsid w:val="3ABB00EF"/>
    <w:rsid w:val="3C2F4D7F"/>
    <w:rsid w:val="3D89364D"/>
    <w:rsid w:val="4264540F"/>
    <w:rsid w:val="44044AE6"/>
    <w:rsid w:val="4A082339"/>
    <w:rsid w:val="4AF33A43"/>
    <w:rsid w:val="4CDD0D8A"/>
    <w:rsid w:val="53E53FD7"/>
    <w:rsid w:val="5DF43025"/>
    <w:rsid w:val="5E6C3C43"/>
    <w:rsid w:val="61253D1A"/>
    <w:rsid w:val="638F0AC4"/>
    <w:rsid w:val="6A80045D"/>
    <w:rsid w:val="6C8637ED"/>
    <w:rsid w:val="6FC860C0"/>
    <w:rsid w:val="746601A8"/>
    <w:rsid w:val="7C3640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0"/>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4"/>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pPr>
      <w:tabs>
        <w:tab w:val="right" w:leader="dot" w:pos="9344"/>
      </w:tabs>
    </w:pPr>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5"/>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autoRedefine/>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autoRedefine/>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autoRedefine/>
    <w:qFormat/>
    <w:uiPriority w:val="0"/>
    <w:pPr>
      <w:spacing w:line="0" w:lineRule="atLeast"/>
    </w:pPr>
    <w:rPr>
      <w:rFonts w:ascii="黑体" w:hAnsi="宋体" w:eastAsia="黑体"/>
    </w:rPr>
  </w:style>
  <w:style w:type="paragraph" w:customStyle="1" w:styleId="58">
    <w:name w:val="标准文件_标准正文"/>
    <w:basedOn w:val="1"/>
    <w:next w:val="59"/>
    <w:autoRedefine/>
    <w:qFormat/>
    <w:uiPriority w:val="0"/>
    <w:pPr>
      <w:snapToGrid w:val="0"/>
      <w:ind w:firstLine="200" w:firstLineChars="200"/>
    </w:pPr>
    <w:rPr>
      <w:kern w:val="0"/>
    </w:rPr>
  </w:style>
  <w:style w:type="paragraph" w:customStyle="1" w:styleId="59">
    <w:name w:val="标准文件_段"/>
    <w:link w:val="187"/>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autoRedefine/>
    <w:qFormat/>
    <w:uiPriority w:val="0"/>
    <w:pPr>
      <w:adjustRightInd/>
      <w:snapToGrid/>
      <w:ind w:firstLine="0" w:firstLineChars="0"/>
    </w:pPr>
    <w:rPr>
      <w:rFonts w:ascii="宋体" w:hAnsi="宋体"/>
      <w:kern w:val="2"/>
    </w:rPr>
  </w:style>
  <w:style w:type="paragraph" w:customStyle="1" w:styleId="61">
    <w:name w:val="标准文件_标准部门"/>
    <w:basedOn w:val="1"/>
    <w:autoRedefine/>
    <w:qFormat/>
    <w:uiPriority w:val="0"/>
    <w:pPr>
      <w:jc w:val="center"/>
    </w:pPr>
    <w:rPr>
      <w:rFonts w:ascii="黑体" w:eastAsia="黑体"/>
      <w:kern w:val="0"/>
      <w:sz w:val="44"/>
    </w:rPr>
  </w:style>
  <w:style w:type="paragraph" w:customStyle="1" w:styleId="62">
    <w:name w:val="标准文件_标准代替"/>
    <w:basedOn w:val="1"/>
    <w:next w:val="1"/>
    <w:autoRedefine/>
    <w:qFormat/>
    <w:uiPriority w:val="0"/>
    <w:pPr>
      <w:spacing w:line="310" w:lineRule="exact"/>
      <w:jc w:val="right"/>
    </w:pPr>
    <w:rPr>
      <w:rFonts w:ascii="宋体" w:hAnsi="宋体"/>
      <w:kern w:val="0"/>
    </w:rPr>
  </w:style>
  <w:style w:type="paragraph" w:customStyle="1" w:styleId="63">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autoRedefine/>
    <w:qFormat/>
    <w:uiPriority w:val="0"/>
    <w:pPr>
      <w:jc w:val="left"/>
    </w:pPr>
  </w:style>
  <w:style w:type="paragraph" w:customStyle="1" w:styleId="66">
    <w:name w:val="标准文件_参考文献标题"/>
    <w:basedOn w:val="1"/>
    <w:next w:val="1"/>
    <w:autoRedefine/>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7">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9">
    <w:name w:val="标准文件_发布"/>
    <w:autoRedefine/>
    <w:qFormat/>
    <w:uiPriority w:val="0"/>
    <w:rPr>
      <w:rFonts w:ascii="黑体" w:eastAsia="黑体"/>
      <w:spacing w:val="0"/>
      <w:w w:val="100"/>
      <w:position w:val="3"/>
      <w:sz w:val="28"/>
    </w:rPr>
  </w:style>
  <w:style w:type="paragraph" w:customStyle="1" w:styleId="70">
    <w:name w:val="标准文件_方框数字列项"/>
    <w:basedOn w:val="59"/>
    <w:autoRedefine/>
    <w:qFormat/>
    <w:uiPriority w:val="0"/>
    <w:pPr>
      <w:numPr>
        <w:ilvl w:val="0"/>
        <w:numId w:val="3"/>
      </w:numPr>
      <w:ind w:firstLine="0" w:firstLineChars="0"/>
    </w:pPr>
  </w:style>
  <w:style w:type="paragraph" w:customStyle="1" w:styleId="71">
    <w:name w:val="标准文件_封面标准编号"/>
    <w:basedOn w:val="1"/>
    <w:next w:val="62"/>
    <w:autoRedefine/>
    <w:qFormat/>
    <w:uiPriority w:val="0"/>
    <w:pPr>
      <w:spacing w:line="310" w:lineRule="exact"/>
      <w:jc w:val="right"/>
    </w:pPr>
    <w:rPr>
      <w:rFonts w:ascii="黑体" w:eastAsia="黑体"/>
      <w:kern w:val="0"/>
      <w:sz w:val="28"/>
    </w:rPr>
  </w:style>
  <w:style w:type="paragraph" w:customStyle="1" w:styleId="72">
    <w:name w:val="标准文件_封面标准分类号"/>
    <w:basedOn w:val="1"/>
    <w:autoRedefine/>
    <w:qFormat/>
    <w:uiPriority w:val="0"/>
    <w:rPr>
      <w:rFonts w:ascii="黑体" w:eastAsia="黑体"/>
      <w:b/>
      <w:kern w:val="0"/>
      <w:sz w:val="28"/>
    </w:rPr>
  </w:style>
  <w:style w:type="paragraph" w:customStyle="1" w:styleId="73">
    <w:name w:val="标准文件_封面标准名称"/>
    <w:basedOn w:val="1"/>
    <w:autoRedefine/>
    <w:qFormat/>
    <w:uiPriority w:val="0"/>
    <w:pPr>
      <w:spacing w:line="240" w:lineRule="auto"/>
      <w:jc w:val="center"/>
    </w:pPr>
    <w:rPr>
      <w:rFonts w:ascii="黑体" w:eastAsia="黑体"/>
      <w:kern w:val="0"/>
      <w:sz w:val="52"/>
    </w:rPr>
  </w:style>
  <w:style w:type="paragraph" w:customStyle="1" w:styleId="74">
    <w:name w:val="标准文件_封面标准英文名称"/>
    <w:basedOn w:val="1"/>
    <w:autoRedefine/>
    <w:qFormat/>
    <w:uiPriority w:val="0"/>
    <w:pPr>
      <w:spacing w:line="240" w:lineRule="auto"/>
      <w:jc w:val="center"/>
    </w:pPr>
    <w:rPr>
      <w:rFonts w:ascii="黑体" w:eastAsia="黑体"/>
      <w:b/>
      <w:sz w:val="28"/>
    </w:rPr>
  </w:style>
  <w:style w:type="paragraph" w:customStyle="1" w:styleId="75">
    <w:name w:val="标准文件_封面发布日期"/>
    <w:basedOn w:val="1"/>
    <w:autoRedefine/>
    <w:qFormat/>
    <w:uiPriority w:val="0"/>
    <w:pPr>
      <w:spacing w:line="310" w:lineRule="exact"/>
    </w:pPr>
    <w:rPr>
      <w:rFonts w:ascii="黑体" w:eastAsia="黑体"/>
      <w:kern w:val="0"/>
      <w:sz w:val="28"/>
    </w:rPr>
  </w:style>
  <w:style w:type="paragraph" w:customStyle="1" w:styleId="76">
    <w:name w:val="标准文件_封面密级"/>
    <w:basedOn w:val="1"/>
    <w:autoRedefine/>
    <w:qFormat/>
    <w:uiPriority w:val="0"/>
    <w:rPr>
      <w:rFonts w:eastAsia="黑体"/>
      <w:sz w:val="32"/>
    </w:rPr>
  </w:style>
  <w:style w:type="paragraph" w:customStyle="1" w:styleId="77">
    <w:name w:val="标准文件_封面实施日期"/>
    <w:basedOn w:val="1"/>
    <w:autoRedefine/>
    <w:qFormat/>
    <w:uiPriority w:val="0"/>
    <w:pPr>
      <w:spacing w:line="310" w:lineRule="exact"/>
      <w:jc w:val="right"/>
    </w:pPr>
    <w:rPr>
      <w:rFonts w:ascii="黑体" w:eastAsia="黑体"/>
      <w:sz w:val="28"/>
    </w:rPr>
  </w:style>
  <w:style w:type="paragraph" w:customStyle="1" w:styleId="78">
    <w:name w:val="标准文件_封面抬头"/>
    <w:basedOn w:val="59"/>
    <w:autoRedefine/>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autoRedefine/>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autoRedefine/>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autoRedefine/>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autoRedefine/>
    <w:qFormat/>
    <w:uiPriority w:val="0"/>
    <w:rPr>
      <w:kern w:val="2"/>
      <w:sz w:val="21"/>
      <w:szCs w:val="21"/>
    </w:rPr>
  </w:style>
  <w:style w:type="paragraph" w:customStyle="1" w:styleId="90">
    <w:name w:val="标准文件_附录章标题"/>
    <w:next w:val="59"/>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autoRedefine/>
    <w:qFormat/>
    <w:uiPriority w:val="0"/>
    <w:pPr>
      <w:ind w:left="488" w:leftChars="200" w:hanging="289" w:hangingChars="290"/>
    </w:pPr>
  </w:style>
  <w:style w:type="paragraph" w:customStyle="1" w:styleId="92">
    <w:name w:val="标准文件_前言、引言标题"/>
    <w:next w:val="1"/>
    <w:autoRedefine/>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autoRedefine/>
    <w:qFormat/>
    <w:uiPriority w:val="0"/>
    <w:pPr>
      <w:spacing w:line="460" w:lineRule="exact"/>
      <w:ind w:left="0" w:firstLine="0"/>
    </w:pPr>
  </w:style>
  <w:style w:type="paragraph" w:customStyle="1" w:styleId="94">
    <w:name w:val="标准文件_目录标题"/>
    <w:basedOn w:val="1"/>
    <w:autoRedefine/>
    <w:qFormat/>
    <w:uiPriority w:val="0"/>
    <w:pPr>
      <w:spacing w:before="480" w:afterLines="150" w:line="240" w:lineRule="auto"/>
      <w:jc w:val="center"/>
    </w:pPr>
    <w:rPr>
      <w:rFonts w:ascii="黑体" w:eastAsia="黑体"/>
      <w:sz w:val="32"/>
    </w:rPr>
  </w:style>
  <w:style w:type="paragraph" w:customStyle="1" w:styleId="95">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autoRedefine/>
    <w:qFormat/>
    <w:uiPriority w:val="0"/>
    <w:pPr>
      <w:numPr>
        <w:numId w:val="10"/>
      </w:numPr>
    </w:pPr>
  </w:style>
  <w:style w:type="paragraph" w:customStyle="1" w:styleId="97">
    <w:name w:val="标准文件_三级条标题"/>
    <w:basedOn w:val="68"/>
    <w:next w:val="59"/>
    <w:autoRedefine/>
    <w:qFormat/>
    <w:uiPriority w:val="0"/>
    <w:pPr>
      <w:widowControl/>
      <w:numPr>
        <w:ilvl w:val="4"/>
      </w:numPr>
      <w:outlineLvl w:val="3"/>
    </w:pPr>
  </w:style>
  <w:style w:type="character" w:customStyle="1" w:styleId="98">
    <w:name w:val="不明显参考1"/>
    <w:autoRedefine/>
    <w:qFormat/>
    <w:uiPriority w:val="31"/>
    <w:rPr>
      <w:smallCaps/>
      <w:color w:val="C0504D"/>
      <w:u w:val="single"/>
    </w:rPr>
  </w:style>
  <w:style w:type="paragraph" w:customStyle="1" w:styleId="99">
    <w:name w:val="标准文件_示例后续"/>
    <w:basedOn w:val="1"/>
    <w:autoRedefine/>
    <w:qFormat/>
    <w:uiPriority w:val="0"/>
    <w:pPr>
      <w:adjustRightInd/>
      <w:spacing w:line="240" w:lineRule="auto"/>
      <w:ind w:firstLine="200" w:firstLineChars="200"/>
    </w:pPr>
    <w:rPr>
      <w:sz w:val="18"/>
      <w:szCs w:val="24"/>
    </w:rPr>
  </w:style>
  <w:style w:type="paragraph" w:customStyle="1" w:styleId="100">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autoRedefine/>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autoRedefine/>
    <w:semiHidden/>
    <w:qFormat/>
    <w:uiPriority w:val="0"/>
    <w:rPr>
      <w:rFonts w:ascii="宋体"/>
      <w:kern w:val="2"/>
      <w:sz w:val="18"/>
      <w:szCs w:val="18"/>
    </w:rPr>
  </w:style>
  <w:style w:type="paragraph" w:customStyle="1" w:styleId="103">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autoRedefine/>
    <w:qFormat/>
    <w:uiPriority w:val="0"/>
    <w:pPr>
      <w:numPr>
        <w:ilvl w:val="0"/>
        <w:numId w:val="12"/>
      </w:numPr>
      <w:spacing w:line="240" w:lineRule="auto"/>
      <w:jc w:val="left"/>
    </w:pPr>
    <w:rPr>
      <w:rFonts w:ascii="宋体" w:hAnsi="宋体"/>
      <w:sz w:val="18"/>
    </w:rPr>
  </w:style>
  <w:style w:type="character" w:customStyle="1" w:styleId="105">
    <w:name w:val="标准文件_图表脚注内容"/>
    <w:autoRedefine/>
    <w:qFormat/>
    <w:uiPriority w:val="0"/>
    <w:rPr>
      <w:rFonts w:ascii="宋体" w:hAnsi="宋体" w:eastAsia="宋体" w:cs="Times New Roman"/>
      <w:spacing w:val="0"/>
      <w:sz w:val="18"/>
      <w:vertAlign w:val="superscript"/>
    </w:rPr>
  </w:style>
  <w:style w:type="paragraph" w:customStyle="1" w:styleId="106">
    <w:name w:val="标准文件_五级条标题"/>
    <w:next w:val="59"/>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autoRedefine/>
    <w:qFormat/>
    <w:uiPriority w:val="0"/>
    <w:pPr>
      <w:numPr>
        <w:ilvl w:val="2"/>
      </w:numPr>
      <w:spacing w:beforeLines="50" w:afterLines="50"/>
      <w:outlineLvl w:val="1"/>
    </w:pPr>
  </w:style>
  <w:style w:type="paragraph" w:customStyle="1" w:styleId="109">
    <w:name w:val="标准文件_一致程度"/>
    <w:basedOn w:val="1"/>
    <w:autoRedefine/>
    <w:qFormat/>
    <w:uiPriority w:val="0"/>
    <w:pPr>
      <w:spacing w:line="440" w:lineRule="exact"/>
      <w:jc w:val="center"/>
    </w:pPr>
    <w:rPr>
      <w:sz w:val="28"/>
    </w:rPr>
  </w:style>
  <w:style w:type="paragraph" w:customStyle="1" w:styleId="110">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autoRedefine/>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autoRedefine/>
    <w:qFormat/>
    <w:uiPriority w:val="0"/>
    <w:pPr>
      <w:framePr w:wrap="around"/>
      <w:spacing w:line="0" w:lineRule="atLeast"/>
    </w:pPr>
    <w:rPr>
      <w:rFonts w:ascii="黑体" w:eastAsia="黑体"/>
      <w:b w:val="0"/>
    </w:rPr>
  </w:style>
  <w:style w:type="paragraph" w:customStyle="1" w:styleId="155">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7">
    <w:name w:val="实施日期"/>
    <w:basedOn w:val="123"/>
    <w:autoRedefine/>
    <w:qFormat/>
    <w:uiPriority w:val="0"/>
    <w:pPr>
      <w:framePr w:hSpace="0" w:wrap="around" w:xAlign="right"/>
      <w:jc w:val="right"/>
    </w:pPr>
  </w:style>
  <w:style w:type="paragraph" w:customStyle="1" w:styleId="158">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9">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autoRedefine/>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autoRedefine/>
    <w:qFormat/>
    <w:uiPriority w:val="0"/>
    <w:pPr>
      <w:numPr>
        <w:ilvl w:val="6"/>
        <w:numId w:val="20"/>
      </w:numPr>
      <w:adjustRightInd/>
    </w:pPr>
    <w:rPr>
      <w:szCs w:val="24"/>
    </w:rPr>
  </w:style>
  <w:style w:type="paragraph" w:customStyle="1" w:styleId="162">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3">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autoRedefine/>
    <w:qFormat/>
    <w:uiPriority w:val="0"/>
    <w:pPr>
      <w:ind w:left="1406" w:leftChars="0" w:hanging="499" w:firstLineChars="0"/>
    </w:pPr>
  </w:style>
  <w:style w:type="paragraph" w:customStyle="1" w:styleId="165">
    <w:name w:val="标准文件_一级无标题"/>
    <w:basedOn w:val="108"/>
    <w:autoRedefine/>
    <w:qFormat/>
    <w:uiPriority w:val="0"/>
    <w:pPr>
      <w:spacing w:beforeLines="0" w:afterLines="0"/>
      <w:outlineLvl w:val="9"/>
    </w:pPr>
    <w:rPr>
      <w:rFonts w:ascii="宋体" w:eastAsia="宋体"/>
    </w:rPr>
  </w:style>
  <w:style w:type="paragraph" w:customStyle="1" w:styleId="166">
    <w:name w:val="标准文件_五级无标题"/>
    <w:basedOn w:val="106"/>
    <w:autoRedefine/>
    <w:qFormat/>
    <w:uiPriority w:val="0"/>
    <w:pPr>
      <w:spacing w:beforeLines="0" w:afterLines="0"/>
      <w:outlineLvl w:val="9"/>
    </w:pPr>
    <w:rPr>
      <w:rFonts w:ascii="宋体" w:eastAsia="宋体"/>
    </w:rPr>
  </w:style>
  <w:style w:type="paragraph" w:customStyle="1" w:styleId="167">
    <w:name w:val="标准文件_三级无标题"/>
    <w:basedOn w:val="97"/>
    <w:autoRedefine/>
    <w:qFormat/>
    <w:uiPriority w:val="0"/>
    <w:pPr>
      <w:spacing w:beforeLines="0" w:afterLines="0"/>
      <w:outlineLvl w:val="9"/>
    </w:pPr>
    <w:rPr>
      <w:rFonts w:ascii="宋体" w:eastAsia="宋体"/>
    </w:rPr>
  </w:style>
  <w:style w:type="paragraph" w:customStyle="1" w:styleId="168">
    <w:name w:val="标准文件_二级无标题"/>
    <w:basedOn w:val="68"/>
    <w:autoRedefine/>
    <w:qFormat/>
    <w:uiPriority w:val="0"/>
    <w:pPr>
      <w:spacing w:beforeLines="0" w:afterLines="0"/>
      <w:ind w:left="0"/>
      <w:outlineLvl w:val="9"/>
    </w:pPr>
    <w:rPr>
      <w:rFonts w:ascii="宋体" w:eastAsia="宋体"/>
    </w:rPr>
  </w:style>
  <w:style w:type="paragraph" w:customStyle="1" w:styleId="169">
    <w:name w:val="标准_四级无标题"/>
    <w:basedOn w:val="101"/>
    <w:next w:val="59"/>
    <w:autoRedefine/>
    <w:qFormat/>
    <w:uiPriority w:val="0"/>
    <w:rPr>
      <w:rFonts w:eastAsia="宋体"/>
    </w:rPr>
  </w:style>
  <w:style w:type="paragraph" w:customStyle="1" w:styleId="170">
    <w:name w:val="标准文件_四级无标题"/>
    <w:basedOn w:val="101"/>
    <w:autoRedefine/>
    <w:qFormat/>
    <w:uiPriority w:val="0"/>
    <w:pPr>
      <w:spacing w:beforeLines="0" w:afterLines="0"/>
      <w:outlineLvl w:val="9"/>
    </w:pPr>
    <w:rPr>
      <w:rFonts w:ascii="宋体" w:hAnsi="黑体" w:eastAsia="宋体"/>
      <w:szCs w:val="52"/>
    </w:rPr>
  </w:style>
  <w:style w:type="paragraph" w:customStyle="1" w:styleId="171">
    <w:name w:val="标准文件_大写罗马数字编号列项"/>
    <w:basedOn w:val="59"/>
    <w:autoRedefine/>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autoRedefine/>
    <w:qFormat/>
    <w:uiPriority w:val="0"/>
    <w:pPr>
      <w:numPr>
        <w:ilvl w:val="0"/>
        <w:numId w:val="24"/>
      </w:numPr>
      <w:ind w:firstLine="0" w:firstLineChars="0"/>
    </w:pPr>
    <w:rPr>
      <w:rFonts w:cs="Arial"/>
      <w:szCs w:val="28"/>
    </w:rPr>
  </w:style>
  <w:style w:type="paragraph" w:customStyle="1" w:styleId="173">
    <w:name w:val="标准文件_附录标题"/>
    <w:basedOn w:val="79"/>
    <w:autoRedefine/>
    <w:qFormat/>
    <w:uiPriority w:val="0"/>
    <w:pPr>
      <w:numPr>
        <w:numId w:val="0"/>
      </w:numPr>
      <w:spacing w:after="280"/>
      <w:outlineLvl w:val="9"/>
    </w:pPr>
  </w:style>
  <w:style w:type="paragraph" w:customStyle="1" w:styleId="174">
    <w:name w:val="标准文件_二级项"/>
    <w:autoRedefine/>
    <w:qFormat/>
    <w:uiPriority w:val="0"/>
    <w:rPr>
      <w:rFonts w:ascii="宋体" w:hAnsi="Times New Roman" w:eastAsia="宋体" w:cs="Times New Roman"/>
      <w:sz w:val="21"/>
      <w:lang w:val="en-US" w:eastAsia="zh-CN" w:bidi="ar-SA"/>
    </w:rPr>
  </w:style>
  <w:style w:type="paragraph" w:customStyle="1" w:styleId="175">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autoRedefine/>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autoRedefine/>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autoRedefine/>
    <w:qFormat/>
    <w:uiPriority w:val="0"/>
    <w:pPr>
      <w:ind w:firstLine="0" w:firstLineChars="0"/>
      <w:jc w:val="center"/>
    </w:pPr>
    <w:rPr>
      <w:sz w:val="18"/>
    </w:rPr>
  </w:style>
  <w:style w:type="paragraph" w:customStyle="1" w:styleId="182">
    <w:name w:val="标准文件_注："/>
    <w:next w:val="59"/>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autoRedefine/>
    <w:qFormat/>
    <w:uiPriority w:val="0"/>
    <w:pPr>
      <w:ind w:firstLine="420"/>
    </w:pPr>
    <w:rPr>
      <w:sz w:val="18"/>
    </w:rPr>
  </w:style>
  <w:style w:type="paragraph" w:customStyle="1" w:styleId="186">
    <w:name w:val="标准文件_示例×："/>
    <w:basedOn w:val="1"/>
    <w:next w:val="185"/>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autoRedefine/>
    <w:qFormat/>
    <w:uiPriority w:val="0"/>
    <w:rPr>
      <w:rFonts w:ascii="宋体" w:hAnsi="Times New Roman"/>
      <w:sz w:val="21"/>
    </w:rPr>
  </w:style>
  <w:style w:type="paragraph" w:customStyle="1" w:styleId="188">
    <w:name w:val="标准文件_表格续"/>
    <w:basedOn w:val="59"/>
    <w:next w:val="59"/>
    <w:autoRedefine/>
    <w:qFormat/>
    <w:uiPriority w:val="0"/>
    <w:pPr>
      <w:jc w:val="center"/>
    </w:pPr>
    <w:rPr>
      <w:rFonts w:ascii="黑体" w:hAnsi="黑体" w:eastAsia="黑体"/>
    </w:rPr>
  </w:style>
  <w:style w:type="character" w:styleId="189">
    <w:name w:val="Placeholder Text"/>
    <w:basedOn w:val="30"/>
    <w:autoRedefine/>
    <w:semiHidden/>
    <w:qFormat/>
    <w:uiPriority w:val="99"/>
    <w:rPr>
      <w:color w:val="808080"/>
    </w:rPr>
  </w:style>
  <w:style w:type="paragraph" w:customStyle="1" w:styleId="190">
    <w:name w:val="标准文件_二级项2"/>
    <w:basedOn w:val="59"/>
    <w:autoRedefine/>
    <w:qFormat/>
    <w:uiPriority w:val="0"/>
    <w:pPr>
      <w:numPr>
        <w:ilvl w:val="1"/>
        <w:numId w:val="21"/>
      </w:numPr>
      <w:ind w:firstLine="0" w:firstLineChars="0"/>
    </w:pPr>
  </w:style>
  <w:style w:type="paragraph" w:customStyle="1" w:styleId="191">
    <w:name w:val="标准文件_三级项2"/>
    <w:basedOn w:val="59"/>
    <w:autoRedefine/>
    <w:qFormat/>
    <w:uiPriority w:val="0"/>
    <w:pPr>
      <w:numPr>
        <w:ilvl w:val="0"/>
        <w:numId w:val="30"/>
      </w:numPr>
      <w:spacing w:line="300" w:lineRule="exact"/>
      <w:ind w:firstLineChars="0"/>
    </w:pPr>
    <w:rPr>
      <w:rFonts w:ascii="Times New Roman"/>
    </w:rPr>
  </w:style>
  <w:style w:type="paragraph" w:customStyle="1" w:styleId="192">
    <w:name w:val="标准文件_一级项2"/>
    <w:basedOn w:val="59"/>
    <w:autoRedefine/>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autoRedefine/>
    <w:qFormat/>
    <w:uiPriority w:val="0"/>
    <w:pPr>
      <w:ind w:firstLine="420"/>
    </w:pPr>
    <w:rPr>
      <w:rFonts w:ascii="黑体" w:eastAsia="黑体"/>
    </w:rPr>
  </w:style>
  <w:style w:type="character" w:customStyle="1" w:styleId="194">
    <w:name w:val="标准文件_来源"/>
    <w:basedOn w:val="30"/>
    <w:autoRedefine/>
    <w:qFormat/>
    <w:uiPriority w:val="1"/>
    <w:rPr>
      <w:rFonts w:eastAsia="宋体"/>
      <w:sz w:val="21"/>
    </w:rPr>
  </w:style>
  <w:style w:type="paragraph" w:customStyle="1" w:styleId="195">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autoRedefine/>
    <w:qFormat/>
    <w:uiPriority w:val="0"/>
    <w:pPr>
      <w:framePr w:w="3997" w:h="471" w:hRule="exact" w:hSpace="0" w:vSpace="181" w:wrap="around" w:vAnchor="page" w:hAnchor="page" w:x="1419" w:y="14097"/>
    </w:pPr>
  </w:style>
  <w:style w:type="paragraph" w:customStyle="1" w:styleId="197">
    <w:name w:val="其他实施日期"/>
    <w:basedOn w:val="157"/>
    <w:autoRedefine/>
    <w:qFormat/>
    <w:uiPriority w:val="0"/>
    <w:pPr>
      <w:framePr w:w="3997" w:h="471" w:hRule="exact" w:vSpace="181" w:wrap="around" w:vAnchor="page" w:hAnchor="page" w:x="7089" w:y="14097"/>
    </w:pPr>
  </w:style>
  <w:style w:type="paragraph" w:customStyle="1" w:styleId="198">
    <w:name w:val="标准文件_文件编号"/>
    <w:basedOn w:val="59"/>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autoRedefine/>
    <w:qFormat/>
    <w:uiPriority w:val="0"/>
    <w:pPr>
      <w:framePr/>
      <w:spacing w:before="57"/>
    </w:pPr>
    <w:rPr>
      <w:sz w:val="21"/>
    </w:rPr>
  </w:style>
  <w:style w:type="paragraph" w:customStyle="1" w:styleId="200">
    <w:name w:val="标准文件_文件名称"/>
    <w:basedOn w:val="59"/>
    <w:next w:val="59"/>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autoRedefine/>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autoRedefine/>
    <w:qFormat/>
    <w:uiPriority w:val="0"/>
    <w:pPr>
      <w:numPr>
        <w:ilvl w:val="1"/>
        <w:numId w:val="8"/>
      </w:numPr>
      <w:spacing w:beforeLines="50" w:afterLines="50"/>
      <w:ind w:firstLineChars="0"/>
    </w:pPr>
    <w:rPr>
      <w:rFonts w:ascii="黑体" w:eastAsia="黑体"/>
    </w:rPr>
  </w:style>
  <w:style w:type="paragraph" w:customStyle="1" w:styleId="204">
    <w:name w:val="标准文件_引言二级条标题"/>
    <w:basedOn w:val="59"/>
    <w:next w:val="59"/>
    <w:autoRedefine/>
    <w:qFormat/>
    <w:uiPriority w:val="0"/>
    <w:pPr>
      <w:numPr>
        <w:ilvl w:val="2"/>
        <w:numId w:val="8"/>
      </w:numPr>
      <w:spacing w:beforeLines="50" w:afterLines="50"/>
      <w:ind w:firstLineChars="0"/>
    </w:pPr>
    <w:rPr>
      <w:rFonts w:ascii="黑体" w:eastAsia="黑体"/>
    </w:rPr>
  </w:style>
  <w:style w:type="paragraph" w:customStyle="1" w:styleId="205">
    <w:name w:val="标准文件_引言三级条标题"/>
    <w:basedOn w:val="59"/>
    <w:next w:val="59"/>
    <w:autoRedefine/>
    <w:qFormat/>
    <w:uiPriority w:val="0"/>
    <w:pPr>
      <w:numPr>
        <w:ilvl w:val="3"/>
        <w:numId w:val="8"/>
      </w:numPr>
      <w:spacing w:beforeLines="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Lines="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Lines="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Lines="0" w:afterLines="0" w:line="276" w:lineRule="auto"/>
      <w:outlineLvl w:val="9"/>
    </w:pPr>
    <w:rPr>
      <w:rFonts w:ascii="宋体" w:eastAsia="宋体"/>
    </w:rPr>
  </w:style>
  <w:style w:type="paragraph" w:customStyle="1" w:styleId="215">
    <w:name w:val="标准文件_附录二级无标题"/>
    <w:basedOn w:val="82"/>
    <w:qFormat/>
    <w:uiPriority w:val="0"/>
    <w:pPr>
      <w:spacing w:beforeLines="0" w:afterLines="0" w:line="276" w:lineRule="auto"/>
      <w:outlineLvl w:val="9"/>
    </w:pPr>
    <w:rPr>
      <w:rFonts w:ascii="宋体" w:eastAsia="宋体"/>
    </w:rPr>
  </w:style>
  <w:style w:type="paragraph" w:customStyle="1" w:styleId="216">
    <w:name w:val="标准文件_附录三级无标题"/>
    <w:basedOn w:val="84"/>
    <w:qFormat/>
    <w:uiPriority w:val="0"/>
    <w:pPr>
      <w:spacing w:beforeLines="0" w:afterLines="0" w:line="276" w:lineRule="auto"/>
      <w:outlineLvl w:val="9"/>
    </w:pPr>
    <w:rPr>
      <w:rFonts w:ascii="宋体" w:eastAsia="宋体"/>
    </w:rPr>
  </w:style>
  <w:style w:type="paragraph" w:customStyle="1" w:styleId="217">
    <w:name w:val="标准文件_附录四级无标题"/>
    <w:basedOn w:val="85"/>
    <w:qFormat/>
    <w:uiPriority w:val="0"/>
    <w:pPr>
      <w:spacing w:beforeLines="0" w:afterLines="0" w:line="276" w:lineRule="auto"/>
      <w:outlineLvl w:val="9"/>
    </w:pPr>
    <w:rPr>
      <w:rFonts w:ascii="宋体" w:eastAsia="宋体"/>
    </w:rPr>
  </w:style>
  <w:style w:type="paragraph" w:customStyle="1" w:styleId="218">
    <w:name w:val="标准文件_附录五级无标题"/>
    <w:basedOn w:val="87"/>
    <w:qFormat/>
    <w:uiPriority w:val="0"/>
    <w:pPr>
      <w:spacing w:beforeLines="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Lines="0" w:afterLines="0" w:line="276" w:lineRule="auto"/>
    </w:pPr>
    <w:rPr>
      <w:rFonts w:ascii="宋体" w:eastAsia="宋体"/>
    </w:rPr>
  </w:style>
  <w:style w:type="paragraph" w:customStyle="1" w:styleId="220">
    <w:name w:val="标准文件_引言二级无标题"/>
    <w:basedOn w:val="204"/>
    <w:next w:val="59"/>
    <w:qFormat/>
    <w:uiPriority w:val="0"/>
    <w:pPr>
      <w:spacing w:beforeLines="0" w:afterLines="0" w:line="276" w:lineRule="auto"/>
    </w:pPr>
    <w:rPr>
      <w:rFonts w:ascii="宋体" w:eastAsia="宋体"/>
    </w:rPr>
  </w:style>
  <w:style w:type="paragraph" w:customStyle="1" w:styleId="221">
    <w:name w:val="标准文件_引言三级无标题"/>
    <w:basedOn w:val="205"/>
    <w:qFormat/>
    <w:uiPriority w:val="0"/>
    <w:pPr>
      <w:spacing w:beforeLines="0" w:afterLines="0" w:line="276" w:lineRule="auto"/>
    </w:pPr>
    <w:rPr>
      <w:rFonts w:ascii="宋体" w:eastAsia="宋体"/>
    </w:rPr>
  </w:style>
  <w:style w:type="paragraph" w:customStyle="1" w:styleId="222">
    <w:name w:val="标准文件_引言四级无标题"/>
    <w:basedOn w:val="206"/>
    <w:next w:val="59"/>
    <w:autoRedefine/>
    <w:qFormat/>
    <w:uiPriority w:val="0"/>
    <w:pPr>
      <w:spacing w:beforeLines="0" w:afterLines="0" w:line="276" w:lineRule="auto"/>
    </w:pPr>
    <w:rPr>
      <w:rFonts w:ascii="宋体" w:eastAsia="宋体"/>
    </w:rPr>
  </w:style>
  <w:style w:type="paragraph" w:customStyle="1" w:styleId="223">
    <w:name w:val="标准文件_引言五级无标题"/>
    <w:basedOn w:val="207"/>
    <w:next w:val="59"/>
    <w:qFormat/>
    <w:uiPriority w:val="0"/>
    <w:pPr>
      <w:spacing w:beforeLines="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autoRedefine/>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autoRedefine/>
    <w:qFormat/>
    <w:uiPriority w:val="0"/>
    <w:rPr>
      <w:rFonts w:ascii="黑体" w:eastAsia="黑体"/>
      <w:spacing w:val="85"/>
      <w:w w:val="100"/>
      <w:position w:val="3"/>
      <w:sz w:val="28"/>
      <w:szCs w:val="28"/>
    </w:rPr>
  </w:style>
  <w:style w:type="paragraph" w:customStyle="1" w:styleId="233">
    <w:name w:val="修订1"/>
    <w:hidden/>
    <w:semiHidden/>
    <w:qFormat/>
    <w:uiPriority w:val="99"/>
    <w:rPr>
      <w:rFonts w:ascii="Calibri" w:hAnsi="Calibri" w:eastAsia="宋体" w:cs="Times New Roman"/>
      <w:kern w:val="2"/>
      <w:sz w:val="21"/>
      <w:szCs w:val="21"/>
      <w:lang w:val="en-US" w:eastAsia="zh-CN" w:bidi="ar-SA"/>
    </w:rPr>
  </w:style>
  <w:style w:type="character" w:customStyle="1" w:styleId="234">
    <w:name w:val="批注文字 字符"/>
    <w:basedOn w:val="30"/>
    <w:link w:val="13"/>
    <w:semiHidden/>
    <w:qFormat/>
    <w:uiPriority w:val="99"/>
    <w:rPr>
      <w:kern w:val="2"/>
      <w:sz w:val="21"/>
      <w:szCs w:val="21"/>
    </w:rPr>
  </w:style>
  <w:style w:type="character" w:customStyle="1" w:styleId="235">
    <w:name w:val="批注主题 字符"/>
    <w:basedOn w:val="234"/>
    <w:link w:val="27"/>
    <w:semiHidden/>
    <w:qFormat/>
    <w:uiPriority w:val="99"/>
    <w:rPr>
      <w:b/>
      <w:bCs/>
      <w:kern w:val="2"/>
      <w:sz w:val="21"/>
      <w:szCs w:val="21"/>
    </w:rPr>
  </w:style>
  <w:style w:type="paragraph" w:customStyle="1" w:styleId="236">
    <w:name w:val="修订2"/>
    <w:hidden/>
    <w:semiHidden/>
    <w:qFormat/>
    <w:uiPriority w:val="99"/>
    <w:rPr>
      <w:rFonts w:ascii="Calibri" w:hAnsi="Calibri" w:eastAsia="宋体" w:cs="Times New Roman"/>
      <w:kern w:val="2"/>
      <w:sz w:val="21"/>
      <w:szCs w:val="21"/>
      <w:lang w:val="en-US" w:eastAsia="zh-CN" w:bidi="ar-SA"/>
    </w:rPr>
  </w:style>
  <w:style w:type="paragraph" w:customStyle="1" w:styleId="237">
    <w:name w:val="TOC 标题1"/>
    <w:basedOn w:val="2"/>
    <w:next w:val="1"/>
    <w:unhideWhenUsed/>
    <w:qFormat/>
    <w:uiPriority w:val="39"/>
    <w:pPr>
      <w:widowControl/>
      <w:adjustRightInd/>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238">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6E57505FACB4F8386B04D32EFA46572"/>
        <w:style w:val=""/>
        <w:category>
          <w:name w:val="常规"/>
          <w:gallery w:val="placeholder"/>
        </w:category>
        <w:types>
          <w:type w:val="bbPlcHdr"/>
        </w:types>
        <w:behaviors>
          <w:behavior w:val="content"/>
        </w:behaviors>
        <w:description w:val=""/>
        <w:guid w:val="{0900A16D-67E8-40A1-84FA-27B0542E48D7}"/>
      </w:docPartPr>
      <w:docPartBody>
        <w:p w14:paraId="78D6D52B">
          <w:pPr>
            <w:pStyle w:val="5"/>
            <w:rPr>
              <w:rFonts w:hint="eastAsia"/>
            </w:rPr>
          </w:pPr>
          <w:r>
            <w:rPr>
              <w:rStyle w:val="4"/>
              <w:rFonts w:hint="eastAsia"/>
            </w:rPr>
            <w:t>单击或点击此处输入文字。</w:t>
          </w:r>
        </w:p>
      </w:docPartBody>
    </w:docPart>
    <w:docPart>
      <w:docPartPr>
        <w:name w:val="05DAF4243894487F979D7587C77C9D32"/>
        <w:style w:val=""/>
        <w:category>
          <w:name w:val="常规"/>
          <w:gallery w:val="placeholder"/>
        </w:category>
        <w:types>
          <w:type w:val="bbPlcHdr"/>
        </w:types>
        <w:behaviors>
          <w:behavior w:val="content"/>
        </w:behaviors>
        <w:description w:val=""/>
        <w:guid w:val="{79786385-1EC1-4B07-96AE-64CC98261F9E}"/>
      </w:docPartPr>
      <w:docPartBody>
        <w:p w14:paraId="32834A03">
          <w:pPr>
            <w:pStyle w:val="6"/>
            <w:rPr>
              <w:rFonts w:hint="eastAsia"/>
            </w:rPr>
          </w:pPr>
          <w:r>
            <w:rPr>
              <w:rStyle w:val="4"/>
              <w:rFonts w:hint="eastAsia"/>
            </w:rPr>
            <w:t>选择一项。</w:t>
          </w:r>
        </w:p>
      </w:docPartBody>
    </w:docPart>
    <w:docPart>
      <w:docPartPr>
        <w:name w:val="4B11C3FF47E743D2A70AFE173E0B34B9"/>
        <w:style w:val=""/>
        <w:category>
          <w:name w:val="常规"/>
          <w:gallery w:val="placeholder"/>
        </w:category>
        <w:types>
          <w:type w:val="bbPlcHdr"/>
        </w:types>
        <w:behaviors>
          <w:behavior w:val="content"/>
        </w:behaviors>
        <w:description w:val=""/>
        <w:guid w:val="{62C83B90-CE6B-4EF2-B7E7-904F1DFEC051}"/>
      </w:docPartPr>
      <w:docPartBody>
        <w:p w14:paraId="13DF7F12">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C26892"/>
    <w:rsid w:val="000767ED"/>
    <w:rsid w:val="000B03B9"/>
    <w:rsid w:val="000D1E8B"/>
    <w:rsid w:val="000F1C19"/>
    <w:rsid w:val="001307E6"/>
    <w:rsid w:val="001403D3"/>
    <w:rsid w:val="00175FEE"/>
    <w:rsid w:val="00272BCD"/>
    <w:rsid w:val="00291646"/>
    <w:rsid w:val="0029165F"/>
    <w:rsid w:val="002C7533"/>
    <w:rsid w:val="002E4BBE"/>
    <w:rsid w:val="00307287"/>
    <w:rsid w:val="004C4D9A"/>
    <w:rsid w:val="004C52C0"/>
    <w:rsid w:val="004E25E1"/>
    <w:rsid w:val="004F7365"/>
    <w:rsid w:val="005D6B1C"/>
    <w:rsid w:val="005F0CA0"/>
    <w:rsid w:val="006536A2"/>
    <w:rsid w:val="00707803"/>
    <w:rsid w:val="00724F08"/>
    <w:rsid w:val="00732CB2"/>
    <w:rsid w:val="00796CBF"/>
    <w:rsid w:val="007D7E3C"/>
    <w:rsid w:val="007F6015"/>
    <w:rsid w:val="0083781C"/>
    <w:rsid w:val="0091633C"/>
    <w:rsid w:val="00A3791F"/>
    <w:rsid w:val="00A41311"/>
    <w:rsid w:val="00A6542B"/>
    <w:rsid w:val="00A66590"/>
    <w:rsid w:val="00A7501D"/>
    <w:rsid w:val="00AA63EB"/>
    <w:rsid w:val="00B76F1B"/>
    <w:rsid w:val="00C0030E"/>
    <w:rsid w:val="00C26892"/>
    <w:rsid w:val="00CE3AF3"/>
    <w:rsid w:val="00D6661F"/>
    <w:rsid w:val="00E346C7"/>
    <w:rsid w:val="00E613A1"/>
    <w:rsid w:val="00F030F1"/>
    <w:rsid w:val="00F06473"/>
    <w:rsid w:val="00F50E3D"/>
    <w:rsid w:val="00F762C1"/>
    <w:rsid w:val="00F833EF"/>
    <w:rsid w:val="00F916BA"/>
    <w:rsid w:val="00FB7A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6E57505FACB4F8386B04D32EFA4657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05DAF4243894487F979D7587C77C9D32"/>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4B11C3FF47E743D2A70AFE173E0B34B9"/>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5E9040-D6A0-4A10-946D-2B91489B69D9}">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121</Words>
  <Characters>217</Characters>
  <Lines>34</Lines>
  <Paragraphs>9</Paragraphs>
  <TotalTime>334</TotalTime>
  <ScaleCrop>false</ScaleCrop>
  <LinksUpToDate>false</LinksUpToDate>
  <CharactersWithSpaces>236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2023-03-20T01:00:00Z</dcterms:created>
  <dc:creator>thinkpad</dc:creator>
  <dc:description>&lt;config cover="true" show_menu="true" version="1.0.0" doctype="SDKXY"&gt;_x000d_
&lt;/config&gt;</dc:description>
  <cp:lastModifiedBy>忐忑</cp:lastModifiedBy>
  <cp:lastPrinted>2024-03-25T06:38:00Z</cp:lastPrinted>
  <dcterms:modified xsi:type="dcterms:W3CDTF">2025-05-28T01:43:34Z</dcterms:modified>
  <dc:title>地方标准</dc:title>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2052-12.1.0.21171</vt:lpwstr>
  </property>
  <property fmtid="{D5CDD505-2E9C-101B-9397-08002B2CF9AE}" pid="15" name="ICV">
    <vt:lpwstr>0357CBA541284FF98F0C4418FACC0D54_13</vt:lpwstr>
  </property>
  <property fmtid="{D5CDD505-2E9C-101B-9397-08002B2CF9AE}" pid="16" name="KSOTemplateDocerSaveRecord">
    <vt:lpwstr>eyJoZGlkIjoiMjE1MGZmOTRhZjllMGExZDlkZTMzYmYzNTljMTkwODUiLCJ1c2VySWQiOiI0MzYwMTU0NjQifQ==</vt:lpwstr>
  </property>
</Properties>
</file>