
<file path=[Content_Types].xml><?xml version="1.0" encoding="utf-8"?>
<Types xmlns="http://schemas.openxmlformats.org/package/2006/content-types">
  <Default Extension="xml" ContentType="application/xml"/>
  <Default Extension="wmf" ContentType="image/x-wmf"/>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D1BC9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ABD7552">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14:paraId="49216781">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fldChar w:fldCharType="end"/>
            </w:r>
            <w:bookmarkEnd w:id="0"/>
            <w:r>
              <w:rPr>
                <w:rFonts w:hint="eastAsia" w:ascii="黑体" w:hAnsi="黑体" w:eastAsia="黑体"/>
                <w:sz w:val="21"/>
                <w:szCs w:val="21"/>
              </w:rPr>
              <w:t>03.022.20</w:t>
            </w:r>
          </w:p>
        </w:tc>
      </w:tr>
      <w:tr w14:paraId="2AC9B4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CFA42D4">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p>
        </w:tc>
        <w:tc>
          <w:tcPr>
            <w:tcW w:w="8855" w:type="dxa"/>
          </w:tcPr>
          <w:p w14:paraId="74300542">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R10</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2073122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4111DD28">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34</w:t>
            </w:r>
            <w:r>
              <w:fldChar w:fldCharType="end"/>
            </w:r>
            <w:bookmarkEnd w:id="3"/>
          </w:p>
        </w:tc>
      </w:tr>
    </w:tbl>
    <w:p w14:paraId="469994CF">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727BC239">
      <w:pPr>
        <w:pStyle w:val="196"/>
        <w:framePr/>
        <w:rPr>
          <w:lang w:val="fr-FR"/>
        </w:rPr>
      </w:pPr>
      <w:r>
        <w:rPr>
          <w:lang w:val="fr-FR"/>
        </w:rPr>
        <w:t>DB</w:t>
      </w:r>
      <w:bookmarkStart w:id="5" w:name="文字1"/>
      <w:r>
        <w:rPr>
          <w:lang w:val="fr-FR"/>
        </w:rPr>
        <w:fldChar w:fldCharType="begin">
          <w:ffData>
            <w:name w:val="文字1"/>
            <w:enabled/>
            <w:calcOnExit w:val="0"/>
            <w:textInput>
              <w:default w:val="34/T"/>
            </w:textInput>
          </w:ffData>
        </w:fldChar>
      </w:r>
      <w:r>
        <w:rPr>
          <w:lang w:val="fr-FR"/>
        </w:rPr>
        <w:instrText xml:space="preserve">FORMTEXT</w:instrText>
      </w:r>
      <w:r>
        <w:rPr>
          <w:lang w:val="fr-FR"/>
        </w:rPr>
        <w:fldChar w:fldCharType="separate"/>
      </w:r>
      <w:r>
        <w:rPr>
          <w:lang w:val="fr-FR"/>
        </w:rPr>
        <w:t>34/T</w:t>
      </w:r>
      <w:r>
        <w:rPr>
          <w:lang w:val="fr-FR"/>
        </w:rP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7D749013">
      <w:pPr>
        <w:pStyle w:val="197"/>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14F097C0">
      <w:pPr>
        <w:spacing w:line="240" w:lineRule="auto"/>
        <w:rPr>
          <w:rFonts w:ascii="黑体" w:hAnsi="黑体" w:eastAsia="黑体"/>
          <w:kern w:val="0"/>
          <w:sz w:val="10"/>
          <w:szCs w:val="10"/>
        </w:rPr>
      </w:pPr>
      <w:r>
        <w:rPr>
          <w:rFonts w:ascii="黑体" w:hAnsi="黑体" w:eastAsia="黑体"/>
          <w:kern w:val="0"/>
          <w:sz w:val="10"/>
          <w:szCs w:val="10"/>
        </w:rPr>
        <w:pict>
          <v:line id="直接连接符 73" o:spid="_x0000_s1026" o:spt="20" style="position:absolute;left:0pt;margin-left:70.9pt;margin-top:212.65pt;height:0pt;width:481.9pt;mso-position-horizontal-relative:page;mso-position-vertical-relative:page;z-index:251659264;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">
            <v:path arrowok="t"/>
            <v:fill focussize="0,0"/>
            <v:stroke/>
            <v:imagedata o:title=""/>
            <o:lock v:ext="edit"/>
          </v:line>
        </w:pict>
      </w:r>
    </w:p>
    <w:p w14:paraId="470C60FD">
      <w:pPr>
        <w:pStyle w:val="51"/>
        <w:framePr w:w="9639" w:h="6976" w:hRule="exact" w:hSpace="0" w:vSpace="0" w:wrap="around" w:hAnchor="page" w:y="6408"/>
        <w:jc w:val="center"/>
        <w:rPr>
          <w:rFonts w:ascii="黑体" w:hAnsi="黑体" w:eastAsia="黑体"/>
          <w:b w:val="0"/>
          <w:bCs w:val="0"/>
          <w:w w:val="100"/>
        </w:rPr>
      </w:pPr>
    </w:p>
    <w:p w14:paraId="193B8A97">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bookmarkStart w:id="10" w:name="OLE_LINK21"/>
      <w:bookmarkStart w:id="11" w:name="OLE_LINK22"/>
      <w:r>
        <w:t>高速公路运营管理无人机场景应用技术指南</w:t>
      </w:r>
      <w:bookmarkEnd w:id="10"/>
      <w:bookmarkEnd w:id="11"/>
      <w:r>
        <w:fldChar w:fldCharType="end"/>
      </w:r>
      <w:bookmarkEnd w:id="9"/>
    </w:p>
    <w:p w14:paraId="4F0C06C4">
      <w:pPr>
        <w:framePr w:w="9639" w:h="6974" w:hRule="exact" w:wrap="around" w:vAnchor="page" w:hAnchor="page" w:x="1419" w:y="6408" w:anchorLock="1"/>
        <w:ind w:left="-1418"/>
      </w:pPr>
    </w:p>
    <w:p w14:paraId="6E073DAF">
      <w:pPr>
        <w:pStyle w:val="126"/>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2"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xml:space="preserve">Technical Guide for Unmanned Aerial Vehicle (UAV) </w:t>
      </w:r>
      <w:r>
        <w:rPr>
          <w:rFonts w:hint="eastAsia" w:ascii="黑体" w:hAnsi="黑体" w:eastAsia="黑体"/>
          <w:szCs w:val="28"/>
        </w:rPr>
        <w:t>a</w:t>
      </w:r>
      <w:r>
        <w:rPr>
          <w:rFonts w:ascii="黑体" w:hAnsi="黑体" w:eastAsia="黑体"/>
          <w:szCs w:val="28"/>
        </w:rPr>
        <w:t xml:space="preserve">pplications in </w:t>
      </w:r>
      <w:r>
        <w:rPr>
          <w:rFonts w:hint="eastAsia" w:ascii="黑体" w:hAnsi="黑体" w:eastAsia="黑体"/>
          <w:szCs w:val="28"/>
        </w:rPr>
        <w:t>e</w:t>
      </w:r>
      <w:r>
        <w:rPr>
          <w:rFonts w:ascii="黑体" w:hAnsi="黑体" w:eastAsia="黑体"/>
          <w:szCs w:val="28"/>
        </w:rPr>
        <w:t xml:space="preserve">xpressway </w:t>
      </w:r>
      <w:r>
        <w:rPr>
          <w:rFonts w:hint="eastAsia" w:ascii="黑体" w:hAnsi="黑体" w:eastAsia="黑体"/>
          <w:szCs w:val="28"/>
        </w:rPr>
        <w:t>o</w:t>
      </w:r>
      <w:r>
        <w:rPr>
          <w:rFonts w:ascii="黑体" w:hAnsi="黑体" w:eastAsia="黑体"/>
          <w:szCs w:val="28"/>
        </w:rPr>
        <w:t xml:space="preserve">peration and </w:t>
      </w:r>
      <w:r>
        <w:rPr>
          <w:rFonts w:hint="eastAsia" w:ascii="黑体" w:hAnsi="黑体" w:eastAsia="黑体"/>
          <w:szCs w:val="28"/>
        </w:rPr>
        <w:t>m</w:t>
      </w:r>
      <w:r>
        <w:rPr>
          <w:rFonts w:ascii="黑体" w:hAnsi="黑体" w:eastAsia="黑体"/>
          <w:szCs w:val="28"/>
        </w:rPr>
        <w:t>anagement</w:t>
      </w:r>
      <w:r>
        <w:rPr>
          <w:rFonts w:ascii="黑体" w:hAnsi="黑体" w:eastAsia="黑体"/>
          <w:szCs w:val="28"/>
        </w:rPr>
        <w:fldChar w:fldCharType="end"/>
      </w:r>
      <w:bookmarkEnd w:id="12"/>
    </w:p>
    <w:p w14:paraId="747AC5D2">
      <w:pPr>
        <w:framePr w:w="9639" w:h="6974" w:hRule="exact" w:wrap="around" w:vAnchor="page" w:hAnchor="page" w:x="1419" w:y="6408" w:anchorLock="1"/>
        <w:spacing w:line="760" w:lineRule="exact"/>
        <w:ind w:left="-1418"/>
      </w:pPr>
    </w:p>
    <w:p w14:paraId="22C3149E">
      <w:pPr>
        <w:pStyle w:val="126"/>
        <w:framePr w:w="9639" w:h="6974" w:hRule="exact" w:wrap="around" w:vAnchor="page" w:hAnchor="page" w:x="1419" w:y="6408" w:anchorLock="1"/>
        <w:textAlignment w:val="bottom"/>
        <w:rPr>
          <w:rFonts w:eastAsia="黑体"/>
          <w:szCs w:val="28"/>
        </w:rPr>
      </w:pPr>
    </w:p>
    <w:p w14:paraId="58C84336">
      <w:pPr>
        <w:pStyle w:val="126"/>
        <w:framePr w:w="9639" w:h="6974" w:hRule="exact" w:wrap="around" w:vAnchor="page" w:hAnchor="page" w:x="1419" w:y="6408" w:anchorLock="1"/>
        <w:spacing w:before="440" w:after="160"/>
        <w:textAlignment w:val="bottom"/>
        <w:rPr>
          <w:sz w:val="24"/>
          <w:szCs w:val="28"/>
        </w:rPr>
      </w:pPr>
      <w:bookmarkStart w:id="13" w:name="下拉1"/>
      <w:r>
        <w:rPr>
          <w:rFonts w:hint="eastAsia"/>
          <w:sz w:val="24"/>
          <w:szCs w:val="28"/>
        </w:rPr>
        <w:t>征求意见稿</w:t>
      </w: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r>
        <w:rPr>
          <w:sz w:val="24"/>
          <w:szCs w:val="28"/>
        </w:rPr>
        <w:instrText xml:space="preserve">FORMDROPDOWN</w:instrText>
      </w:r>
      <w:r>
        <w:rPr>
          <w:sz w:val="24"/>
          <w:szCs w:val="28"/>
        </w:rPr>
        <w:fldChar w:fldCharType="separate"/>
      </w:r>
      <w:r>
        <w:rPr>
          <w:sz w:val="24"/>
          <w:szCs w:val="28"/>
        </w:rPr>
        <w:fldChar w:fldCharType="end"/>
      </w:r>
      <w:bookmarkEnd w:id="13"/>
    </w:p>
    <w:p w14:paraId="05631F45">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4"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4"/>
    </w:p>
    <w:p w14:paraId="1C48E668">
      <w:pPr>
        <w:pStyle w:val="126"/>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5" w:name="下拉2"/>
      <w:r>
        <w:rPr>
          <w:b/>
          <w:sz w:val="21"/>
          <w:szCs w:val="28"/>
        </w:rPr>
        <w:instrText xml:space="preserve"> FORMDROPDOWN </w:instrText>
      </w:r>
      <w:r>
        <w:rPr>
          <w:b/>
          <w:sz w:val="21"/>
          <w:szCs w:val="28"/>
        </w:rPr>
        <w:fldChar w:fldCharType="separate"/>
      </w:r>
      <w:r>
        <w:rPr>
          <w:b/>
          <w:sz w:val="21"/>
          <w:szCs w:val="28"/>
        </w:rPr>
        <w:fldChar w:fldCharType="end"/>
      </w:r>
      <w:bookmarkEnd w:id="15"/>
    </w:p>
    <w:p w14:paraId="581110A0">
      <w:pPr>
        <w:pStyle w:val="194"/>
        <w:framePr w:wrap="around" w:y="14176"/>
      </w:pPr>
      <w:r>
        <w:rPr>
          <w:rFonts w:ascii="黑体"/>
        </w:rPr>
        <w:fldChar w:fldCharType="begin">
          <w:ffData>
            <w:name w:val="PLSH_DATE_Y"/>
            <w:enabled/>
            <w:calcOnExit w:val="0"/>
            <w:textInput>
              <w:default w:val="XXXX"/>
              <w:maxLength w:val="4"/>
            </w:textInput>
          </w:ffData>
        </w:fldChar>
      </w:r>
      <w:bookmarkStart w:id="16"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rPr>
          <w:rFonts w:ascii="黑体"/>
        </w:rPr>
        <w:t>-</w:t>
      </w:r>
      <w:r>
        <w:rPr>
          <w:rFonts w:ascii="黑体"/>
        </w:rPr>
        <w:fldChar w:fldCharType="begin">
          <w:ffData>
            <w:name w:val="PLSH_DATE_M"/>
            <w:enabled/>
            <w:calcOnExit w:val="0"/>
            <w:textInput>
              <w:default w:val="XX"/>
              <w:maxLength w:val="2"/>
            </w:textInput>
          </w:ffData>
        </w:fldChar>
      </w:r>
      <w:bookmarkStart w:id="17"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ascii="黑体"/>
        </w:rPr>
        <w:t>-</w:t>
      </w:r>
      <w:r>
        <w:rPr>
          <w:rFonts w:ascii="黑体"/>
        </w:rPr>
        <w:fldChar w:fldCharType="begin">
          <w:ffData>
            <w:name w:val="PLSH_DATE_D"/>
            <w:enabled/>
            <w:calcOnExit w:val="0"/>
            <w:textInput>
              <w:default w:val="XX"/>
              <w:maxLength w:val="2"/>
            </w:textInput>
          </w:ffData>
        </w:fldChar>
      </w:r>
      <w:bookmarkStart w:id="18"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发布</w:t>
      </w:r>
    </w:p>
    <w:p w14:paraId="7086D5A2">
      <w:pPr>
        <w:pStyle w:val="195"/>
        <w:framePr w:wrap="around" w:y="14176"/>
      </w:pPr>
      <w:r>
        <w:rPr>
          <w:rFonts w:ascii="黑体"/>
        </w:rPr>
        <w:fldChar w:fldCharType="begin">
          <w:ffData>
            <w:name w:val="CROT_DATE_Y"/>
            <w:enabled/>
            <w:calcOnExit w:val="0"/>
            <w:textInput>
              <w:default w:val="XXXX"/>
              <w:maxLength w:val="4"/>
            </w:textInput>
          </w:ffData>
        </w:fldChar>
      </w:r>
      <w:bookmarkStart w:id="19"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9"/>
      <w:r>
        <w:rPr>
          <w:rFonts w:ascii="黑体"/>
        </w:rPr>
        <w:t>-</w:t>
      </w:r>
      <w:r>
        <w:rPr>
          <w:rFonts w:ascii="黑体"/>
        </w:rPr>
        <w:fldChar w:fldCharType="begin">
          <w:ffData>
            <w:name w:val="CROT_DATE_M"/>
            <w:enabled/>
            <w:calcOnExit w:val="0"/>
            <w:textInput>
              <w:default w:val="XX"/>
              <w:maxLength w:val="2"/>
            </w:textInput>
          </w:ffData>
        </w:fldChar>
      </w:r>
      <w:bookmarkStart w:id="20"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20"/>
      <w:r>
        <w:rPr>
          <w:rFonts w:ascii="黑体"/>
        </w:rPr>
        <w:t>-</w:t>
      </w:r>
      <w:r>
        <w:rPr>
          <w:rFonts w:ascii="黑体"/>
        </w:rPr>
        <w:fldChar w:fldCharType="begin">
          <w:ffData>
            <w:name w:val="CROT_DATE_D"/>
            <w:enabled/>
            <w:calcOnExit w:val="0"/>
            <w:textInput>
              <w:default w:val="XX"/>
              <w:maxLength w:val="2"/>
            </w:textInput>
          </w:ffData>
        </w:fldChar>
      </w:r>
      <w:bookmarkStart w:id="21"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21"/>
      <w:r>
        <w:rPr>
          <w:rFonts w:hint="eastAsia"/>
        </w:rPr>
        <w:t>实施</w:t>
      </w:r>
    </w:p>
    <w:p w14:paraId="1BFA89C3">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2"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22"/>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6FBDC359">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w:pict>
          <v:line id="直接连接符 5" o:spid="_x0000_s1027" o:spt="20" style="position:absolute;left:0pt;margin-left:70.85pt;margin-top:728.6pt;height:0pt;width:481.9pt;mso-position-horizontal-relative:page;mso-position-vertical-relative:page;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">
            <v:path arrowok="t"/>
            <v:fill focussize="0,0"/>
            <v:stroke/>
            <v:imagedata o:title=""/>
            <o:lock v:ext="edit"/>
            <w10:anchorlock/>
          </v:line>
        </w:pict>
      </w:r>
    </w:p>
    <w:p w14:paraId="4DAD64F5">
      <w:pPr>
        <w:pStyle w:val="92"/>
        <w:spacing w:after="468"/>
      </w:pPr>
      <w:bookmarkStart w:id="23" w:name="BookMark1"/>
      <w:r>
        <w:rPr>
          <w:rFonts w:hint="eastAsia"/>
          <w:spacing w:val="320"/>
        </w:rPr>
        <w:t>目</w:t>
      </w:r>
      <w:r>
        <w:rPr>
          <w:rFonts w:hint="eastAsia"/>
        </w:rPr>
        <w:t>次</w:t>
      </w:r>
    </w:p>
    <w:p w14:paraId="5FF9719A">
      <w:pPr>
        <w:pStyle w:val="19"/>
        <w:tabs>
          <w:tab w:val="right" w:leader="dot" w:pos="9344"/>
        </w:tabs>
        <w:rPr>
          <w:rFonts w:asciiTheme="minorHAnsi" w:hAnsiTheme="minorHAnsi" w:eastAsiaTheme="minorEastAsia" w:cstheme="minorBidi"/>
          <w:szCs w:val="22"/>
        </w:rPr>
      </w:pPr>
      <w:r>
        <w:fldChar w:fldCharType="begin"/>
      </w:r>
      <w:r>
        <w:rPr>
          <w:rFonts w:hint="eastAsia"/>
        </w:rPr>
        <w:instrText xml:space="preserve">TOC \o "1-1" \h \t "标准文件_一级条标题,2,标准文件_二级条标题,3,标准文件_附录一级条标题,2,标准文件_附录二级条标题,3,"</w:instrText>
      </w:r>
      <w:r>
        <w:fldChar w:fldCharType="separate"/>
      </w:r>
      <w:r>
        <w:fldChar w:fldCharType="begin"/>
      </w:r>
      <w:r>
        <w:instrText xml:space="preserve"> HYPERLINK \l "_Toc198042226" </w:instrText>
      </w:r>
      <w:r>
        <w:fldChar w:fldCharType="separate"/>
      </w:r>
      <w:r>
        <w:rPr>
          <w:rStyle w:val="33"/>
          <w:rFonts w:hint="eastAsia"/>
          <w:spacing w:val="320"/>
        </w:rPr>
        <w:t>前</w:t>
      </w:r>
      <w:r>
        <w:rPr>
          <w:rStyle w:val="33"/>
          <w:rFonts w:hint="eastAsia"/>
        </w:rPr>
        <w:t>言</w:t>
      </w:r>
      <w:r>
        <w:tab/>
      </w:r>
      <w:r>
        <w:fldChar w:fldCharType="begin"/>
      </w:r>
      <w:r>
        <w:instrText xml:space="preserve"> PAGEREF _Toc198042226 \h </w:instrText>
      </w:r>
      <w:r>
        <w:fldChar w:fldCharType="separate"/>
      </w:r>
      <w:r>
        <w:t>II</w:t>
      </w:r>
      <w:r>
        <w:fldChar w:fldCharType="end"/>
      </w:r>
      <w:r>
        <w:fldChar w:fldCharType="end"/>
      </w:r>
    </w:p>
    <w:p w14:paraId="53260A14">
      <w:pPr>
        <w:pStyle w:val="19"/>
        <w:tabs>
          <w:tab w:val="right" w:leader="dot" w:pos="9344"/>
        </w:tabs>
        <w:rPr>
          <w:rFonts w:asciiTheme="minorHAnsi" w:hAnsiTheme="minorHAnsi" w:eastAsiaTheme="minorEastAsia" w:cstheme="minorBidi"/>
          <w:szCs w:val="22"/>
        </w:rPr>
      </w:pPr>
      <w:r>
        <w:fldChar w:fldCharType="begin"/>
      </w:r>
      <w:r>
        <w:instrText xml:space="preserve"> HYPERLINK \l "_Toc198042227" </w:instrText>
      </w:r>
      <w:r>
        <w:fldChar w:fldCharType="separate"/>
      </w:r>
      <w:r>
        <w:rPr>
          <w:rStyle w:val="33"/>
        </w:rPr>
        <w:t>1</w:t>
      </w:r>
      <w:r>
        <w:rPr>
          <w:rStyle w:val="33"/>
          <w:rFonts w:hint="eastAsia"/>
        </w:rPr>
        <w:t xml:space="preserve"> 范围</w:t>
      </w:r>
      <w:r>
        <w:tab/>
      </w:r>
      <w:r>
        <w:fldChar w:fldCharType="begin"/>
      </w:r>
      <w:r>
        <w:instrText xml:space="preserve"> PAGEREF _Toc198042227 \h </w:instrText>
      </w:r>
      <w:r>
        <w:fldChar w:fldCharType="separate"/>
      </w:r>
      <w:r>
        <w:t>3</w:t>
      </w:r>
      <w:r>
        <w:fldChar w:fldCharType="end"/>
      </w:r>
      <w:r>
        <w:fldChar w:fldCharType="end"/>
      </w:r>
    </w:p>
    <w:p w14:paraId="0B2D5E1E">
      <w:pPr>
        <w:pStyle w:val="19"/>
        <w:tabs>
          <w:tab w:val="right" w:leader="dot" w:pos="9344"/>
        </w:tabs>
        <w:rPr>
          <w:rFonts w:asciiTheme="minorHAnsi" w:hAnsiTheme="minorHAnsi" w:eastAsiaTheme="minorEastAsia" w:cstheme="minorBidi"/>
          <w:szCs w:val="22"/>
        </w:rPr>
      </w:pPr>
      <w:r>
        <w:fldChar w:fldCharType="begin"/>
      </w:r>
      <w:r>
        <w:instrText xml:space="preserve"> HYPERLINK \l "_Toc198042228" </w:instrText>
      </w:r>
      <w:r>
        <w:fldChar w:fldCharType="separate"/>
      </w:r>
      <w:r>
        <w:rPr>
          <w:rStyle w:val="33"/>
        </w:rPr>
        <w:t>2</w:t>
      </w:r>
      <w:r>
        <w:rPr>
          <w:rStyle w:val="33"/>
          <w:rFonts w:hint="eastAsia"/>
        </w:rPr>
        <w:t xml:space="preserve"> 规范性引用文件</w:t>
      </w:r>
      <w:r>
        <w:tab/>
      </w:r>
      <w:r>
        <w:fldChar w:fldCharType="begin"/>
      </w:r>
      <w:r>
        <w:instrText xml:space="preserve"> PAGEREF _Toc198042228 \h </w:instrText>
      </w:r>
      <w:r>
        <w:fldChar w:fldCharType="separate"/>
      </w:r>
      <w:r>
        <w:t>3</w:t>
      </w:r>
      <w:r>
        <w:fldChar w:fldCharType="end"/>
      </w:r>
      <w:r>
        <w:fldChar w:fldCharType="end"/>
      </w:r>
    </w:p>
    <w:p w14:paraId="5E8A5796">
      <w:pPr>
        <w:pStyle w:val="19"/>
        <w:tabs>
          <w:tab w:val="right" w:leader="dot" w:pos="9344"/>
        </w:tabs>
        <w:rPr>
          <w:rFonts w:asciiTheme="minorHAnsi" w:hAnsiTheme="minorHAnsi" w:eastAsiaTheme="minorEastAsia" w:cstheme="minorBidi"/>
          <w:szCs w:val="22"/>
        </w:rPr>
      </w:pPr>
      <w:r>
        <w:fldChar w:fldCharType="begin"/>
      </w:r>
      <w:r>
        <w:instrText xml:space="preserve"> HYPERLINK \l "_Toc198042229" </w:instrText>
      </w:r>
      <w:r>
        <w:fldChar w:fldCharType="separate"/>
      </w:r>
      <w:r>
        <w:rPr>
          <w:rStyle w:val="33"/>
        </w:rPr>
        <w:t>3</w:t>
      </w:r>
      <w:r>
        <w:rPr>
          <w:rStyle w:val="33"/>
          <w:rFonts w:hint="eastAsia"/>
        </w:rPr>
        <w:t xml:space="preserve"> 术语和定义</w:t>
      </w:r>
      <w:r>
        <w:tab/>
      </w:r>
      <w:r>
        <w:fldChar w:fldCharType="begin"/>
      </w:r>
      <w:r>
        <w:instrText xml:space="preserve"> PAGEREF _Toc198042229 \h </w:instrText>
      </w:r>
      <w:r>
        <w:fldChar w:fldCharType="separate"/>
      </w:r>
      <w:r>
        <w:t>3</w:t>
      </w:r>
      <w:r>
        <w:fldChar w:fldCharType="end"/>
      </w:r>
      <w:r>
        <w:fldChar w:fldCharType="end"/>
      </w:r>
    </w:p>
    <w:p w14:paraId="1C92D72F">
      <w:pPr>
        <w:pStyle w:val="19"/>
        <w:tabs>
          <w:tab w:val="right" w:leader="dot" w:pos="9344"/>
        </w:tabs>
        <w:rPr>
          <w:rFonts w:asciiTheme="minorHAnsi" w:hAnsiTheme="minorHAnsi" w:eastAsiaTheme="minorEastAsia" w:cstheme="minorBidi"/>
          <w:szCs w:val="22"/>
        </w:rPr>
      </w:pPr>
      <w:r>
        <w:fldChar w:fldCharType="begin"/>
      </w:r>
      <w:r>
        <w:instrText xml:space="preserve"> HYPERLINK \l "_Toc198042230" </w:instrText>
      </w:r>
      <w:r>
        <w:fldChar w:fldCharType="separate"/>
      </w:r>
      <w:r>
        <w:rPr>
          <w:rStyle w:val="33"/>
        </w:rPr>
        <w:t>4</w:t>
      </w:r>
      <w:r>
        <w:rPr>
          <w:rStyle w:val="33"/>
          <w:rFonts w:hint="eastAsia"/>
        </w:rPr>
        <w:t xml:space="preserve"> 应用原则</w:t>
      </w:r>
      <w:r>
        <w:tab/>
      </w:r>
      <w:r>
        <w:fldChar w:fldCharType="begin"/>
      </w:r>
      <w:r>
        <w:instrText xml:space="preserve"> PAGEREF _Toc198042230 \h </w:instrText>
      </w:r>
      <w:r>
        <w:fldChar w:fldCharType="separate"/>
      </w:r>
      <w:r>
        <w:t>3</w:t>
      </w:r>
      <w:r>
        <w:fldChar w:fldCharType="end"/>
      </w:r>
      <w:r>
        <w:fldChar w:fldCharType="end"/>
      </w:r>
    </w:p>
    <w:p w14:paraId="72754D2D">
      <w:pPr>
        <w:pStyle w:val="24"/>
        <w:rPr>
          <w:rFonts w:asciiTheme="minorHAnsi" w:hAnsiTheme="minorHAnsi" w:eastAsiaTheme="minorEastAsia" w:cstheme="minorBidi"/>
          <w:szCs w:val="22"/>
        </w:rPr>
      </w:pPr>
      <w:r>
        <w:fldChar w:fldCharType="begin"/>
      </w:r>
      <w:r>
        <w:instrText xml:space="preserve"> HYPERLINK \l "_Toc198042231" </w:instrText>
      </w:r>
      <w:r>
        <w:fldChar w:fldCharType="separate"/>
      </w:r>
      <w:r>
        <w:rPr>
          <w:rStyle w:val="33"/>
        </w:rPr>
        <w:t>4.1</w:t>
      </w:r>
      <w:r>
        <w:rPr>
          <w:rStyle w:val="33"/>
          <w:rFonts w:hint="eastAsia"/>
        </w:rPr>
        <w:t xml:space="preserve"> 安全优先</w:t>
      </w:r>
      <w:r>
        <w:tab/>
      </w:r>
      <w:r>
        <w:fldChar w:fldCharType="begin"/>
      </w:r>
      <w:r>
        <w:instrText xml:space="preserve"> PAGEREF _Toc198042231 \h </w:instrText>
      </w:r>
      <w:r>
        <w:fldChar w:fldCharType="separate"/>
      </w:r>
      <w:r>
        <w:t>3</w:t>
      </w:r>
      <w:r>
        <w:fldChar w:fldCharType="end"/>
      </w:r>
      <w:r>
        <w:fldChar w:fldCharType="end"/>
      </w:r>
    </w:p>
    <w:p w14:paraId="01637C01">
      <w:pPr>
        <w:pStyle w:val="24"/>
        <w:rPr>
          <w:rFonts w:asciiTheme="minorHAnsi" w:hAnsiTheme="minorHAnsi" w:eastAsiaTheme="minorEastAsia" w:cstheme="minorBidi"/>
          <w:szCs w:val="22"/>
        </w:rPr>
      </w:pPr>
      <w:r>
        <w:fldChar w:fldCharType="begin"/>
      </w:r>
      <w:r>
        <w:instrText xml:space="preserve"> HYPERLINK \l "_Toc198042232" </w:instrText>
      </w:r>
      <w:r>
        <w:fldChar w:fldCharType="separate"/>
      </w:r>
      <w:r>
        <w:rPr>
          <w:rStyle w:val="33"/>
        </w:rPr>
        <w:t>4.2</w:t>
      </w:r>
      <w:r>
        <w:rPr>
          <w:rStyle w:val="33"/>
          <w:rFonts w:hint="eastAsia"/>
        </w:rPr>
        <w:t xml:space="preserve"> 场景适配</w:t>
      </w:r>
      <w:r>
        <w:tab/>
      </w:r>
      <w:r>
        <w:fldChar w:fldCharType="begin"/>
      </w:r>
      <w:r>
        <w:instrText xml:space="preserve"> PAGEREF _Toc198042232 \h </w:instrText>
      </w:r>
      <w:r>
        <w:fldChar w:fldCharType="separate"/>
      </w:r>
      <w:r>
        <w:t>3</w:t>
      </w:r>
      <w:r>
        <w:fldChar w:fldCharType="end"/>
      </w:r>
      <w:r>
        <w:fldChar w:fldCharType="end"/>
      </w:r>
    </w:p>
    <w:p w14:paraId="1C1FD3D7">
      <w:pPr>
        <w:pStyle w:val="24"/>
        <w:rPr>
          <w:rFonts w:asciiTheme="minorHAnsi" w:hAnsiTheme="minorHAnsi" w:eastAsiaTheme="minorEastAsia" w:cstheme="minorBidi"/>
          <w:szCs w:val="22"/>
        </w:rPr>
      </w:pPr>
      <w:r>
        <w:fldChar w:fldCharType="begin"/>
      </w:r>
      <w:r>
        <w:instrText xml:space="preserve"> HYPERLINK \l "_Toc198042233" </w:instrText>
      </w:r>
      <w:r>
        <w:fldChar w:fldCharType="separate"/>
      </w:r>
      <w:r>
        <w:rPr>
          <w:rStyle w:val="33"/>
        </w:rPr>
        <w:t>4.3</w:t>
      </w:r>
      <w:r>
        <w:rPr>
          <w:rStyle w:val="33"/>
          <w:rFonts w:hint="eastAsia"/>
        </w:rPr>
        <w:t xml:space="preserve"> 数据合规</w:t>
      </w:r>
      <w:r>
        <w:tab/>
      </w:r>
      <w:r>
        <w:fldChar w:fldCharType="begin"/>
      </w:r>
      <w:r>
        <w:instrText xml:space="preserve"> PAGEREF _Toc198042233 \h </w:instrText>
      </w:r>
      <w:r>
        <w:fldChar w:fldCharType="separate"/>
      </w:r>
      <w:r>
        <w:t>3</w:t>
      </w:r>
      <w:r>
        <w:fldChar w:fldCharType="end"/>
      </w:r>
      <w:r>
        <w:fldChar w:fldCharType="end"/>
      </w:r>
    </w:p>
    <w:p w14:paraId="36BAD29C">
      <w:pPr>
        <w:pStyle w:val="24"/>
        <w:rPr>
          <w:rFonts w:asciiTheme="minorHAnsi" w:hAnsiTheme="minorHAnsi" w:eastAsiaTheme="minorEastAsia" w:cstheme="minorBidi"/>
          <w:szCs w:val="22"/>
        </w:rPr>
      </w:pPr>
      <w:r>
        <w:fldChar w:fldCharType="begin"/>
      </w:r>
      <w:r>
        <w:instrText xml:space="preserve"> HYPERLINK \l "_Toc198042234" </w:instrText>
      </w:r>
      <w:r>
        <w:fldChar w:fldCharType="separate"/>
      </w:r>
      <w:r>
        <w:rPr>
          <w:rStyle w:val="33"/>
        </w:rPr>
        <w:t>4.4</w:t>
      </w:r>
      <w:r>
        <w:rPr>
          <w:rStyle w:val="33"/>
          <w:rFonts w:hint="eastAsia"/>
        </w:rPr>
        <w:t xml:space="preserve"> 协同管理</w:t>
      </w:r>
      <w:r>
        <w:tab/>
      </w:r>
      <w:r>
        <w:fldChar w:fldCharType="begin"/>
      </w:r>
      <w:r>
        <w:instrText xml:space="preserve"> PAGEREF _Toc198042234 \h </w:instrText>
      </w:r>
      <w:r>
        <w:fldChar w:fldCharType="separate"/>
      </w:r>
      <w:r>
        <w:t>4</w:t>
      </w:r>
      <w:r>
        <w:fldChar w:fldCharType="end"/>
      </w:r>
      <w:r>
        <w:fldChar w:fldCharType="end"/>
      </w:r>
    </w:p>
    <w:p w14:paraId="19106C2C">
      <w:pPr>
        <w:pStyle w:val="19"/>
        <w:tabs>
          <w:tab w:val="right" w:leader="dot" w:pos="9344"/>
        </w:tabs>
        <w:rPr>
          <w:rFonts w:asciiTheme="minorHAnsi" w:hAnsiTheme="minorHAnsi" w:eastAsiaTheme="minorEastAsia" w:cstheme="minorBidi"/>
          <w:szCs w:val="22"/>
        </w:rPr>
      </w:pPr>
      <w:r>
        <w:fldChar w:fldCharType="begin"/>
      </w:r>
      <w:r>
        <w:instrText xml:space="preserve"> HYPERLINK \l "_Toc198042235" </w:instrText>
      </w:r>
      <w:r>
        <w:fldChar w:fldCharType="separate"/>
      </w:r>
      <w:r>
        <w:rPr>
          <w:rStyle w:val="33"/>
        </w:rPr>
        <w:t>5</w:t>
      </w:r>
      <w:r>
        <w:rPr>
          <w:rStyle w:val="33"/>
          <w:rFonts w:hint="eastAsia"/>
        </w:rPr>
        <w:t xml:space="preserve"> 无人机应用需考虑的因素</w:t>
      </w:r>
      <w:r>
        <w:tab/>
      </w:r>
      <w:r>
        <w:fldChar w:fldCharType="begin"/>
      </w:r>
      <w:r>
        <w:instrText xml:space="preserve"> PAGEREF _Toc198042235 \h </w:instrText>
      </w:r>
      <w:r>
        <w:fldChar w:fldCharType="separate"/>
      </w:r>
      <w:r>
        <w:t>4</w:t>
      </w:r>
      <w:r>
        <w:fldChar w:fldCharType="end"/>
      </w:r>
      <w:r>
        <w:fldChar w:fldCharType="end"/>
      </w:r>
    </w:p>
    <w:p w14:paraId="00DF4580">
      <w:pPr>
        <w:pStyle w:val="24"/>
        <w:rPr>
          <w:rFonts w:asciiTheme="minorHAnsi" w:hAnsiTheme="minorHAnsi" w:eastAsiaTheme="minorEastAsia" w:cstheme="minorBidi"/>
          <w:szCs w:val="22"/>
        </w:rPr>
      </w:pPr>
      <w:r>
        <w:fldChar w:fldCharType="begin"/>
      </w:r>
      <w:r>
        <w:instrText xml:space="preserve"> HYPERLINK \l "_Toc198042236" </w:instrText>
      </w:r>
      <w:r>
        <w:fldChar w:fldCharType="separate"/>
      </w:r>
      <w:r>
        <w:rPr>
          <w:rStyle w:val="33"/>
        </w:rPr>
        <w:t>5.1</w:t>
      </w:r>
      <w:r>
        <w:rPr>
          <w:rStyle w:val="33"/>
          <w:rFonts w:hint="eastAsia"/>
        </w:rPr>
        <w:t xml:space="preserve"> 无人机操控员</w:t>
      </w:r>
      <w:r>
        <w:tab/>
      </w:r>
      <w:r>
        <w:fldChar w:fldCharType="begin"/>
      </w:r>
      <w:r>
        <w:instrText xml:space="preserve"> PAGEREF _Toc198042236 \h </w:instrText>
      </w:r>
      <w:r>
        <w:fldChar w:fldCharType="separate"/>
      </w:r>
      <w:r>
        <w:t>4</w:t>
      </w:r>
      <w:r>
        <w:fldChar w:fldCharType="end"/>
      </w:r>
      <w:r>
        <w:fldChar w:fldCharType="end"/>
      </w:r>
    </w:p>
    <w:p w14:paraId="5905E58E">
      <w:pPr>
        <w:pStyle w:val="24"/>
        <w:rPr>
          <w:rFonts w:asciiTheme="minorHAnsi" w:hAnsiTheme="minorHAnsi" w:eastAsiaTheme="minorEastAsia" w:cstheme="minorBidi"/>
          <w:szCs w:val="22"/>
        </w:rPr>
      </w:pPr>
      <w:r>
        <w:fldChar w:fldCharType="begin"/>
      </w:r>
      <w:r>
        <w:instrText xml:space="preserve"> HYPERLINK \l "_Toc198042237" </w:instrText>
      </w:r>
      <w:r>
        <w:fldChar w:fldCharType="separate"/>
      </w:r>
      <w:r>
        <w:rPr>
          <w:rStyle w:val="33"/>
        </w:rPr>
        <w:t>5.2</w:t>
      </w:r>
      <w:r>
        <w:rPr>
          <w:rStyle w:val="33"/>
          <w:rFonts w:hint="eastAsia"/>
        </w:rPr>
        <w:t xml:space="preserve"> 飞行准备</w:t>
      </w:r>
      <w:r>
        <w:tab/>
      </w:r>
      <w:r>
        <w:fldChar w:fldCharType="begin"/>
      </w:r>
      <w:r>
        <w:instrText xml:space="preserve"> PAGEREF _Toc198042237 \h </w:instrText>
      </w:r>
      <w:r>
        <w:fldChar w:fldCharType="separate"/>
      </w:r>
      <w:r>
        <w:t>4</w:t>
      </w:r>
      <w:r>
        <w:fldChar w:fldCharType="end"/>
      </w:r>
      <w:r>
        <w:fldChar w:fldCharType="end"/>
      </w:r>
    </w:p>
    <w:p w14:paraId="22168938">
      <w:pPr>
        <w:pStyle w:val="24"/>
        <w:rPr>
          <w:rFonts w:asciiTheme="minorHAnsi" w:hAnsiTheme="minorHAnsi" w:eastAsiaTheme="minorEastAsia" w:cstheme="minorBidi"/>
          <w:szCs w:val="22"/>
        </w:rPr>
      </w:pPr>
      <w:r>
        <w:fldChar w:fldCharType="begin"/>
      </w:r>
      <w:r>
        <w:instrText xml:space="preserve"> HYPERLINK \l "_Toc198042238" </w:instrText>
      </w:r>
      <w:r>
        <w:fldChar w:fldCharType="separate"/>
      </w:r>
      <w:r>
        <w:rPr>
          <w:rStyle w:val="33"/>
        </w:rPr>
        <w:t>5.3</w:t>
      </w:r>
      <w:r>
        <w:rPr>
          <w:rStyle w:val="33"/>
          <w:rFonts w:hint="eastAsia"/>
        </w:rPr>
        <w:t xml:space="preserve"> 飞行安全</w:t>
      </w:r>
      <w:r>
        <w:tab/>
      </w:r>
      <w:r>
        <w:fldChar w:fldCharType="begin"/>
      </w:r>
      <w:r>
        <w:instrText xml:space="preserve"> PAGEREF _Toc198042238 \h </w:instrText>
      </w:r>
      <w:r>
        <w:fldChar w:fldCharType="separate"/>
      </w:r>
      <w:r>
        <w:t>4</w:t>
      </w:r>
      <w:r>
        <w:fldChar w:fldCharType="end"/>
      </w:r>
      <w:r>
        <w:fldChar w:fldCharType="end"/>
      </w:r>
    </w:p>
    <w:p w14:paraId="743C5432">
      <w:pPr>
        <w:pStyle w:val="24"/>
        <w:rPr>
          <w:rFonts w:asciiTheme="minorHAnsi" w:hAnsiTheme="minorHAnsi" w:eastAsiaTheme="minorEastAsia" w:cstheme="minorBidi"/>
          <w:szCs w:val="22"/>
        </w:rPr>
      </w:pPr>
      <w:r>
        <w:fldChar w:fldCharType="begin"/>
      </w:r>
      <w:r>
        <w:instrText xml:space="preserve"> HYPERLINK \l "_Toc198042239" </w:instrText>
      </w:r>
      <w:r>
        <w:fldChar w:fldCharType="separate"/>
      </w:r>
      <w:r>
        <w:rPr>
          <w:rStyle w:val="33"/>
        </w:rPr>
        <w:t>5.4</w:t>
      </w:r>
      <w:r>
        <w:rPr>
          <w:rStyle w:val="33"/>
          <w:rFonts w:hint="eastAsia"/>
        </w:rPr>
        <w:t xml:space="preserve"> 空域和飞行申报</w:t>
      </w:r>
      <w:r>
        <w:tab/>
      </w:r>
      <w:r>
        <w:fldChar w:fldCharType="begin"/>
      </w:r>
      <w:r>
        <w:instrText xml:space="preserve"> PAGEREF _Toc198042239 \h </w:instrText>
      </w:r>
      <w:r>
        <w:fldChar w:fldCharType="separate"/>
      </w:r>
      <w:r>
        <w:t>4</w:t>
      </w:r>
      <w:r>
        <w:fldChar w:fldCharType="end"/>
      </w:r>
      <w:r>
        <w:fldChar w:fldCharType="end"/>
      </w:r>
    </w:p>
    <w:p w14:paraId="5B380BC4">
      <w:pPr>
        <w:pStyle w:val="24"/>
        <w:rPr>
          <w:rFonts w:asciiTheme="minorHAnsi" w:hAnsiTheme="minorHAnsi" w:eastAsiaTheme="minorEastAsia" w:cstheme="minorBidi"/>
          <w:szCs w:val="22"/>
        </w:rPr>
      </w:pPr>
      <w:r>
        <w:fldChar w:fldCharType="begin"/>
      </w:r>
      <w:r>
        <w:instrText xml:space="preserve"> HYPERLINK \l "_Toc198042240" </w:instrText>
      </w:r>
      <w:r>
        <w:fldChar w:fldCharType="separate"/>
      </w:r>
      <w:r>
        <w:rPr>
          <w:rStyle w:val="33"/>
        </w:rPr>
        <w:t>5.5</w:t>
      </w:r>
      <w:r>
        <w:rPr>
          <w:rStyle w:val="33"/>
          <w:rFonts w:hint="eastAsia"/>
        </w:rPr>
        <w:t xml:space="preserve"> 信息管理与数据安全</w:t>
      </w:r>
      <w:r>
        <w:tab/>
      </w:r>
      <w:r>
        <w:fldChar w:fldCharType="begin"/>
      </w:r>
      <w:r>
        <w:instrText xml:space="preserve"> PAGEREF _Toc198042240 \h </w:instrText>
      </w:r>
      <w:r>
        <w:fldChar w:fldCharType="separate"/>
      </w:r>
      <w:r>
        <w:t>4</w:t>
      </w:r>
      <w:r>
        <w:fldChar w:fldCharType="end"/>
      </w:r>
      <w:r>
        <w:fldChar w:fldCharType="end"/>
      </w:r>
    </w:p>
    <w:p w14:paraId="3706989D">
      <w:pPr>
        <w:pStyle w:val="15"/>
        <w:tabs>
          <w:tab w:val="right" w:leader="dot" w:pos="9344"/>
        </w:tabs>
        <w:rPr>
          <w:rFonts w:asciiTheme="minorHAnsi" w:hAnsiTheme="minorHAnsi" w:eastAsiaTheme="minorEastAsia" w:cstheme="minorBidi"/>
          <w:szCs w:val="22"/>
        </w:rPr>
      </w:pPr>
      <w:r>
        <w:fldChar w:fldCharType="begin"/>
      </w:r>
      <w:r>
        <w:instrText xml:space="preserve"> HYPERLINK \l "_Toc198042241" </w:instrText>
      </w:r>
      <w:r>
        <w:fldChar w:fldCharType="separate"/>
      </w:r>
      <w:r>
        <w:rPr>
          <w:rStyle w:val="33"/>
        </w:rPr>
        <w:t>5.5.1</w:t>
      </w:r>
      <w:r>
        <w:rPr>
          <w:rStyle w:val="33"/>
          <w:rFonts w:hint="eastAsia"/>
        </w:rPr>
        <w:t xml:space="preserve"> 信息管理</w:t>
      </w:r>
      <w:r>
        <w:tab/>
      </w:r>
      <w:r>
        <w:fldChar w:fldCharType="begin"/>
      </w:r>
      <w:r>
        <w:instrText xml:space="preserve"> PAGEREF _Toc198042241 \h </w:instrText>
      </w:r>
      <w:r>
        <w:fldChar w:fldCharType="separate"/>
      </w:r>
      <w:r>
        <w:t>4</w:t>
      </w:r>
      <w:r>
        <w:fldChar w:fldCharType="end"/>
      </w:r>
      <w:r>
        <w:fldChar w:fldCharType="end"/>
      </w:r>
    </w:p>
    <w:p w14:paraId="6331F643">
      <w:pPr>
        <w:pStyle w:val="15"/>
        <w:tabs>
          <w:tab w:val="right" w:leader="dot" w:pos="9344"/>
        </w:tabs>
        <w:rPr>
          <w:rFonts w:asciiTheme="minorHAnsi" w:hAnsiTheme="minorHAnsi" w:eastAsiaTheme="minorEastAsia" w:cstheme="minorBidi"/>
          <w:szCs w:val="22"/>
        </w:rPr>
      </w:pPr>
      <w:r>
        <w:fldChar w:fldCharType="begin"/>
      </w:r>
      <w:r>
        <w:instrText xml:space="preserve"> HYPERLINK \l "_Toc198042242" </w:instrText>
      </w:r>
      <w:r>
        <w:fldChar w:fldCharType="separate"/>
      </w:r>
      <w:r>
        <w:rPr>
          <w:rStyle w:val="33"/>
        </w:rPr>
        <w:t>5.5.2</w:t>
      </w:r>
      <w:r>
        <w:rPr>
          <w:rStyle w:val="33"/>
          <w:rFonts w:hint="eastAsia"/>
        </w:rPr>
        <w:t xml:space="preserve"> 数据安全</w:t>
      </w:r>
      <w:r>
        <w:tab/>
      </w:r>
      <w:r>
        <w:fldChar w:fldCharType="begin"/>
      </w:r>
      <w:r>
        <w:instrText xml:space="preserve"> PAGEREF _Toc198042242 \h </w:instrText>
      </w:r>
      <w:r>
        <w:fldChar w:fldCharType="separate"/>
      </w:r>
      <w:r>
        <w:t>5</w:t>
      </w:r>
      <w:r>
        <w:fldChar w:fldCharType="end"/>
      </w:r>
      <w:r>
        <w:fldChar w:fldCharType="end"/>
      </w:r>
    </w:p>
    <w:p w14:paraId="6599FB8E">
      <w:pPr>
        <w:pStyle w:val="19"/>
        <w:tabs>
          <w:tab w:val="right" w:leader="dot" w:pos="9344"/>
        </w:tabs>
        <w:rPr>
          <w:rFonts w:asciiTheme="minorHAnsi" w:hAnsiTheme="minorHAnsi" w:eastAsiaTheme="minorEastAsia" w:cstheme="minorBidi"/>
          <w:szCs w:val="22"/>
        </w:rPr>
      </w:pPr>
      <w:r>
        <w:fldChar w:fldCharType="begin"/>
      </w:r>
      <w:r>
        <w:instrText xml:space="preserve"> HYPERLINK \l "_Toc198042243" </w:instrText>
      </w:r>
      <w:r>
        <w:fldChar w:fldCharType="separate"/>
      </w:r>
      <w:r>
        <w:rPr>
          <w:rStyle w:val="33"/>
        </w:rPr>
        <w:t>6</w:t>
      </w:r>
      <w:r>
        <w:rPr>
          <w:rStyle w:val="33"/>
          <w:rFonts w:hint="eastAsia"/>
        </w:rPr>
        <w:t xml:space="preserve"> 无人机应用场景</w:t>
      </w:r>
      <w:r>
        <w:tab/>
      </w:r>
      <w:r>
        <w:fldChar w:fldCharType="begin"/>
      </w:r>
      <w:r>
        <w:instrText xml:space="preserve"> PAGEREF _Toc198042243 \h </w:instrText>
      </w:r>
      <w:r>
        <w:fldChar w:fldCharType="separate"/>
      </w:r>
      <w:r>
        <w:t>5</w:t>
      </w:r>
      <w:r>
        <w:fldChar w:fldCharType="end"/>
      </w:r>
      <w:r>
        <w:fldChar w:fldCharType="end"/>
      </w:r>
    </w:p>
    <w:p w14:paraId="3DEFA497">
      <w:pPr>
        <w:pStyle w:val="24"/>
        <w:rPr>
          <w:rFonts w:asciiTheme="minorHAnsi" w:hAnsiTheme="minorHAnsi" w:eastAsiaTheme="minorEastAsia" w:cstheme="minorBidi"/>
          <w:szCs w:val="22"/>
        </w:rPr>
      </w:pPr>
      <w:r>
        <w:fldChar w:fldCharType="begin"/>
      </w:r>
      <w:r>
        <w:instrText xml:space="preserve"> HYPERLINK \l "_Toc198042244" </w:instrText>
      </w:r>
      <w:r>
        <w:fldChar w:fldCharType="separate"/>
      </w:r>
      <w:r>
        <w:rPr>
          <w:rStyle w:val="33"/>
        </w:rPr>
        <w:t>6.1</w:t>
      </w:r>
      <w:r>
        <w:rPr>
          <w:rStyle w:val="33"/>
          <w:rFonts w:hint="eastAsia"/>
        </w:rPr>
        <w:t xml:space="preserve"> 智能巡查与养护</w:t>
      </w:r>
      <w:r>
        <w:tab/>
      </w:r>
      <w:r>
        <w:fldChar w:fldCharType="begin"/>
      </w:r>
      <w:r>
        <w:instrText xml:space="preserve"> PAGEREF _Toc198042244 \h </w:instrText>
      </w:r>
      <w:r>
        <w:fldChar w:fldCharType="separate"/>
      </w:r>
      <w:r>
        <w:t>5</w:t>
      </w:r>
      <w:r>
        <w:fldChar w:fldCharType="end"/>
      </w:r>
      <w:r>
        <w:fldChar w:fldCharType="end"/>
      </w:r>
    </w:p>
    <w:p w14:paraId="1F540F9C">
      <w:pPr>
        <w:pStyle w:val="24"/>
        <w:rPr>
          <w:rFonts w:asciiTheme="minorHAnsi" w:hAnsiTheme="minorHAnsi" w:eastAsiaTheme="minorEastAsia" w:cstheme="minorBidi"/>
          <w:szCs w:val="22"/>
        </w:rPr>
      </w:pPr>
      <w:r>
        <w:fldChar w:fldCharType="begin"/>
      </w:r>
      <w:r>
        <w:instrText xml:space="preserve"> HYPERLINK \l "_Toc198042245" </w:instrText>
      </w:r>
      <w:r>
        <w:fldChar w:fldCharType="separate"/>
      </w:r>
      <w:r>
        <w:rPr>
          <w:rStyle w:val="33"/>
        </w:rPr>
        <w:t>6.2</w:t>
      </w:r>
      <w:r>
        <w:rPr>
          <w:rStyle w:val="33"/>
          <w:rFonts w:hint="eastAsia"/>
        </w:rPr>
        <w:t xml:space="preserve"> 应急救援与事故处理</w:t>
      </w:r>
      <w:r>
        <w:tab/>
      </w:r>
      <w:r>
        <w:fldChar w:fldCharType="begin"/>
      </w:r>
      <w:r>
        <w:instrText xml:space="preserve"> PAGEREF _Toc198042245 \h </w:instrText>
      </w:r>
      <w:r>
        <w:fldChar w:fldCharType="separate"/>
      </w:r>
      <w:r>
        <w:t>5</w:t>
      </w:r>
      <w:r>
        <w:fldChar w:fldCharType="end"/>
      </w:r>
      <w:r>
        <w:fldChar w:fldCharType="end"/>
      </w:r>
    </w:p>
    <w:p w14:paraId="2BB39529">
      <w:pPr>
        <w:pStyle w:val="24"/>
        <w:rPr>
          <w:rFonts w:asciiTheme="minorHAnsi" w:hAnsiTheme="minorHAnsi" w:eastAsiaTheme="minorEastAsia" w:cstheme="minorBidi"/>
          <w:szCs w:val="22"/>
        </w:rPr>
      </w:pPr>
      <w:r>
        <w:fldChar w:fldCharType="begin"/>
      </w:r>
      <w:r>
        <w:instrText xml:space="preserve"> HYPERLINK \l "_Toc198042246" </w:instrText>
      </w:r>
      <w:r>
        <w:fldChar w:fldCharType="separate"/>
      </w:r>
      <w:r>
        <w:rPr>
          <w:rStyle w:val="33"/>
        </w:rPr>
        <w:t>6.3</w:t>
      </w:r>
      <w:r>
        <w:rPr>
          <w:rStyle w:val="33"/>
          <w:rFonts w:hint="eastAsia"/>
        </w:rPr>
        <w:t xml:space="preserve"> 交通管理与信息服务</w:t>
      </w:r>
      <w:r>
        <w:tab/>
      </w:r>
      <w:r>
        <w:fldChar w:fldCharType="begin"/>
      </w:r>
      <w:r>
        <w:instrText xml:space="preserve"> PAGEREF _Toc198042246 \h </w:instrText>
      </w:r>
      <w:r>
        <w:fldChar w:fldCharType="separate"/>
      </w:r>
      <w:r>
        <w:t>5</w:t>
      </w:r>
      <w:r>
        <w:fldChar w:fldCharType="end"/>
      </w:r>
      <w:r>
        <w:fldChar w:fldCharType="end"/>
      </w:r>
    </w:p>
    <w:p w14:paraId="77EA5FE2">
      <w:pPr>
        <w:pStyle w:val="24"/>
        <w:rPr>
          <w:rFonts w:asciiTheme="minorHAnsi" w:hAnsiTheme="minorHAnsi" w:eastAsiaTheme="minorEastAsia" w:cstheme="minorBidi"/>
          <w:szCs w:val="22"/>
        </w:rPr>
      </w:pPr>
      <w:r>
        <w:fldChar w:fldCharType="begin"/>
      </w:r>
      <w:r>
        <w:instrText xml:space="preserve"> HYPERLINK \l "_Toc198042247" </w:instrText>
      </w:r>
      <w:r>
        <w:fldChar w:fldCharType="separate"/>
      </w:r>
      <w:r>
        <w:rPr>
          <w:rStyle w:val="33"/>
        </w:rPr>
        <w:t>6.4</w:t>
      </w:r>
      <w:r>
        <w:rPr>
          <w:rStyle w:val="33"/>
          <w:rFonts w:hint="eastAsia"/>
        </w:rPr>
        <w:t xml:space="preserve"> 物流与设施维护</w:t>
      </w:r>
      <w:r>
        <w:tab/>
      </w:r>
      <w:r>
        <w:fldChar w:fldCharType="begin"/>
      </w:r>
      <w:r>
        <w:instrText xml:space="preserve"> PAGEREF _Toc198042247 \h </w:instrText>
      </w:r>
      <w:r>
        <w:fldChar w:fldCharType="separate"/>
      </w:r>
      <w:r>
        <w:t>6</w:t>
      </w:r>
      <w:r>
        <w:fldChar w:fldCharType="end"/>
      </w:r>
      <w:r>
        <w:fldChar w:fldCharType="end"/>
      </w:r>
    </w:p>
    <w:p w14:paraId="45999AC3">
      <w:pPr>
        <w:pStyle w:val="24"/>
        <w:rPr>
          <w:rFonts w:asciiTheme="minorHAnsi" w:hAnsiTheme="minorHAnsi" w:eastAsiaTheme="minorEastAsia" w:cstheme="minorBidi"/>
          <w:szCs w:val="22"/>
        </w:rPr>
      </w:pPr>
      <w:r>
        <w:fldChar w:fldCharType="begin"/>
      </w:r>
      <w:r>
        <w:instrText xml:space="preserve"> HYPERLINK \l "_Toc198042248" </w:instrText>
      </w:r>
      <w:r>
        <w:fldChar w:fldCharType="separate"/>
      </w:r>
      <w:r>
        <w:rPr>
          <w:rStyle w:val="33"/>
        </w:rPr>
        <w:t>6.5</w:t>
      </w:r>
      <w:r>
        <w:rPr>
          <w:rStyle w:val="33"/>
          <w:rFonts w:hint="eastAsia"/>
        </w:rPr>
        <w:t xml:space="preserve"> 辅助执法与行为监管</w:t>
      </w:r>
      <w:r>
        <w:tab/>
      </w:r>
      <w:r>
        <w:fldChar w:fldCharType="begin"/>
      </w:r>
      <w:r>
        <w:instrText xml:space="preserve"> PAGEREF _Toc198042248 \h </w:instrText>
      </w:r>
      <w:r>
        <w:fldChar w:fldCharType="separate"/>
      </w:r>
      <w:r>
        <w:t>6</w:t>
      </w:r>
      <w:r>
        <w:fldChar w:fldCharType="end"/>
      </w:r>
      <w:r>
        <w:fldChar w:fldCharType="end"/>
      </w:r>
    </w:p>
    <w:p w14:paraId="3D4B33F8">
      <w:pPr>
        <w:pStyle w:val="24"/>
        <w:rPr>
          <w:rFonts w:asciiTheme="minorHAnsi" w:hAnsiTheme="minorHAnsi" w:eastAsiaTheme="minorEastAsia" w:cstheme="minorBidi"/>
          <w:szCs w:val="22"/>
        </w:rPr>
      </w:pPr>
      <w:r>
        <w:fldChar w:fldCharType="begin"/>
      </w:r>
      <w:r>
        <w:instrText xml:space="preserve"> HYPERLINK \l "_Toc198042249" </w:instrText>
      </w:r>
      <w:r>
        <w:fldChar w:fldCharType="separate"/>
      </w:r>
      <w:r>
        <w:rPr>
          <w:rStyle w:val="33"/>
        </w:rPr>
        <w:t>6.6</w:t>
      </w:r>
      <w:r>
        <w:rPr>
          <w:rStyle w:val="33"/>
          <w:rFonts w:hint="eastAsia"/>
        </w:rPr>
        <w:t xml:space="preserve"> 特殊场景应用</w:t>
      </w:r>
      <w:r>
        <w:tab/>
      </w:r>
      <w:r>
        <w:fldChar w:fldCharType="begin"/>
      </w:r>
      <w:r>
        <w:instrText xml:space="preserve"> PAGEREF _Toc198042249 \h </w:instrText>
      </w:r>
      <w:r>
        <w:fldChar w:fldCharType="separate"/>
      </w:r>
      <w:r>
        <w:t>6</w:t>
      </w:r>
      <w:r>
        <w:fldChar w:fldCharType="end"/>
      </w:r>
      <w:r>
        <w:fldChar w:fldCharType="end"/>
      </w:r>
    </w:p>
    <w:p w14:paraId="21B6CFA4">
      <w:pPr>
        <w:pStyle w:val="19"/>
        <w:tabs>
          <w:tab w:val="right" w:leader="dot" w:pos="9344"/>
        </w:tabs>
        <w:rPr>
          <w:rFonts w:asciiTheme="minorHAnsi" w:hAnsiTheme="minorHAnsi" w:eastAsiaTheme="minorEastAsia" w:cstheme="minorBidi"/>
          <w:szCs w:val="22"/>
        </w:rPr>
      </w:pPr>
      <w:r>
        <w:fldChar w:fldCharType="begin"/>
      </w:r>
      <w:r>
        <w:instrText xml:space="preserve"> HYPERLINK \l "_Toc198042250" </w:instrText>
      </w:r>
      <w:r>
        <w:fldChar w:fldCharType="separate"/>
      </w:r>
      <w:r>
        <w:rPr>
          <w:rStyle w:val="33"/>
          <w:rFonts w:hint="eastAsia"/>
          <w:spacing w:val="105"/>
        </w:rPr>
        <w:t>参考文</w:t>
      </w:r>
      <w:r>
        <w:rPr>
          <w:rStyle w:val="33"/>
          <w:rFonts w:hint="eastAsia"/>
        </w:rPr>
        <w:t>献</w:t>
      </w:r>
      <w:r>
        <w:tab/>
      </w:r>
      <w:r>
        <w:fldChar w:fldCharType="begin"/>
      </w:r>
      <w:r>
        <w:instrText xml:space="preserve"> PAGEREF _Toc198042250 \h </w:instrText>
      </w:r>
      <w:r>
        <w:fldChar w:fldCharType="separate"/>
      </w:r>
      <w:r>
        <w:t>7</w:t>
      </w:r>
      <w:r>
        <w:fldChar w:fldCharType="end"/>
      </w:r>
      <w:r>
        <w:fldChar w:fldCharType="end"/>
      </w:r>
    </w:p>
    <w:p w14:paraId="45F82B47">
      <w:pPr>
        <w:pStyle w:val="92"/>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3"/>
    <w:p w14:paraId="6BDD12F1">
      <w:pPr>
        <w:pStyle w:val="90"/>
        <w:spacing w:after="468"/>
      </w:pPr>
      <w:bookmarkStart w:id="24" w:name="_Toc198042226"/>
      <w:bookmarkStart w:id="25" w:name="BookMark2"/>
      <w:r>
        <w:rPr>
          <w:spacing w:val="320"/>
        </w:rPr>
        <w:t>前</w:t>
      </w:r>
      <w:r>
        <w:t>言</w:t>
      </w:r>
      <w:bookmarkEnd w:id="24"/>
    </w:p>
    <w:p w14:paraId="0C7950AD">
      <w:pPr>
        <w:pStyle w:val="57"/>
        <w:ind w:firstLine="420"/>
      </w:pPr>
      <w:r>
        <w:rPr>
          <w:rFonts w:hint="eastAsia"/>
        </w:rPr>
        <w:t>本文件按照GB/T 1.1—2020《标准化工作导则  第1部分：标准化文件的结构和起草规则》的规定起草。</w:t>
      </w:r>
    </w:p>
    <w:p w14:paraId="5A3087B1">
      <w:pPr>
        <w:pStyle w:val="57"/>
        <w:ind w:firstLine="420"/>
      </w:pPr>
      <w:r>
        <w:rPr>
          <w:rFonts w:hint="eastAsia"/>
        </w:rPr>
        <w:t>请注意本文件的某些内容可能涉及专利。本文件的发布机构不承担识别专利的责任。</w:t>
      </w:r>
    </w:p>
    <w:p w14:paraId="37A23624">
      <w:pPr>
        <w:pStyle w:val="57"/>
        <w:ind w:firstLine="420"/>
      </w:pPr>
      <w:r>
        <w:rPr>
          <w:rFonts w:hint="eastAsia"/>
        </w:rPr>
        <w:t>本文件由安徽省交通运输厅提出并归口。</w:t>
      </w:r>
    </w:p>
    <w:p w14:paraId="3C4063DC">
      <w:pPr>
        <w:pStyle w:val="57"/>
        <w:ind w:firstLine="420"/>
      </w:pPr>
      <w:r>
        <w:rPr>
          <w:rFonts w:hint="eastAsia"/>
        </w:rPr>
        <w:t>本文件起草单位：安徽省交通控股集团有限公司、安徽皖通高速公路股份有限公司、安徽省交通规划设计研究总院股份有限公司、安徽交控工程集团有限公司、安徽交控信息产业有限公司。</w:t>
      </w:r>
    </w:p>
    <w:p w14:paraId="2F261084">
      <w:pPr>
        <w:pStyle w:val="57"/>
        <w:ind w:firstLine="420"/>
      </w:pPr>
      <w:r>
        <w:rPr>
          <w:rFonts w:hint="eastAsia"/>
        </w:rPr>
        <w:t>本文件主要起草人：XXX、XXX。</w:t>
      </w:r>
    </w:p>
    <w:p w14:paraId="09ED9643">
      <w:pPr>
        <w:pStyle w:val="57"/>
        <w:ind w:firstLine="420"/>
      </w:pPr>
    </w:p>
    <w:p w14:paraId="66C681D5">
      <w:pPr>
        <w:pStyle w:val="57"/>
        <w:ind w:firstLine="420"/>
        <w:sectPr>
          <w:pgSz w:w="11906" w:h="16838"/>
          <w:pgMar w:top="1928" w:right="1134" w:bottom="1134" w:left="1134" w:header="1418" w:footer="1134" w:gutter="284"/>
          <w:pgNumType w:fmt="upperRoman"/>
          <w:cols w:space="425" w:num="1"/>
          <w:formProt w:val="0"/>
          <w:docGrid w:type="lines" w:linePitch="312" w:charSpace="0"/>
        </w:sectPr>
      </w:pPr>
    </w:p>
    <w:bookmarkEnd w:id="25"/>
    <w:p w14:paraId="04D7B6A6">
      <w:pPr>
        <w:spacing w:line="20" w:lineRule="exact"/>
        <w:jc w:val="center"/>
        <w:rPr>
          <w:rFonts w:ascii="黑体" w:hAnsi="黑体" w:eastAsia="黑体"/>
          <w:sz w:val="32"/>
          <w:szCs w:val="32"/>
        </w:rPr>
      </w:pPr>
      <w:bookmarkStart w:id="26" w:name="BookMark4"/>
    </w:p>
    <w:p w14:paraId="1D45185C">
      <w:pPr>
        <w:spacing w:line="20" w:lineRule="exact"/>
        <w:jc w:val="center"/>
        <w:rPr>
          <w:rFonts w:ascii="黑体" w:hAnsi="黑体" w:eastAsia="黑体"/>
          <w:sz w:val="32"/>
          <w:szCs w:val="32"/>
        </w:rPr>
      </w:pPr>
    </w:p>
    <w:sdt>
      <w:sdtPr>
        <w:tag w:val="NEW_STAND_NAME"/>
        <w:id w:val="595910757"/>
        <w:lock w:val="sdtLocked"/>
        <w:placeholder>
          <w:docPart w:val="D3AD804BCA3743ED95C2ED50766CC358"/>
        </w:placeholder>
      </w:sdtPr>
      <w:sdtContent>
        <w:p w14:paraId="332C1834">
          <w:pPr>
            <w:pStyle w:val="178"/>
            <w:spacing w:beforeLines="100" w:afterLines="220"/>
          </w:pPr>
          <w:bookmarkStart w:id="27" w:name="NEW_STAND_NAME"/>
          <w:r>
            <w:rPr>
              <w:rFonts w:hint="eastAsia"/>
            </w:rPr>
            <w:t>高速公路运营管理无人机场景应用技术指南</w:t>
          </w:r>
        </w:p>
      </w:sdtContent>
    </w:sdt>
    <w:bookmarkEnd w:id="27"/>
    <w:p w14:paraId="26571CA5">
      <w:pPr>
        <w:pStyle w:val="105"/>
        <w:spacing w:before="312" w:after="312"/>
      </w:pPr>
      <w:bookmarkStart w:id="28" w:name="_Toc24884218"/>
      <w:bookmarkStart w:id="29" w:name="_Toc26986530"/>
      <w:bookmarkStart w:id="30" w:name="_Toc97191423"/>
      <w:bookmarkStart w:id="31" w:name="_Toc24884211"/>
      <w:bookmarkStart w:id="32" w:name="_Toc17233325"/>
      <w:bookmarkStart w:id="33" w:name="_Toc26718930"/>
      <w:bookmarkStart w:id="34" w:name="_Toc26648465"/>
      <w:bookmarkStart w:id="35" w:name="_Toc17233333"/>
      <w:bookmarkStart w:id="36" w:name="_Toc26986771"/>
      <w:bookmarkStart w:id="37" w:name="_Toc198042227"/>
      <w:r>
        <w:rPr>
          <w:rFonts w:hint="eastAsia"/>
        </w:rPr>
        <w:t>范围</w:t>
      </w:r>
      <w:bookmarkEnd w:id="28"/>
      <w:bookmarkEnd w:id="29"/>
      <w:bookmarkEnd w:id="30"/>
      <w:bookmarkEnd w:id="31"/>
      <w:bookmarkEnd w:id="32"/>
      <w:bookmarkEnd w:id="33"/>
      <w:bookmarkEnd w:id="34"/>
      <w:bookmarkEnd w:id="35"/>
      <w:bookmarkEnd w:id="36"/>
      <w:bookmarkEnd w:id="37"/>
    </w:p>
    <w:p w14:paraId="4B916E54">
      <w:pPr>
        <w:pStyle w:val="57"/>
        <w:ind w:firstLine="420"/>
      </w:pPr>
      <w:bookmarkStart w:id="38" w:name="OLE_LINK10"/>
      <w:bookmarkStart w:id="39" w:name="_Toc24884219"/>
      <w:bookmarkStart w:id="40" w:name="_Toc17233326"/>
      <w:bookmarkStart w:id="41" w:name="_Toc24884212"/>
      <w:bookmarkStart w:id="42" w:name="_Toc26648466"/>
      <w:bookmarkStart w:id="43" w:name="_Toc17233334"/>
      <w:r>
        <w:rPr>
          <w:rFonts w:hint="eastAsia"/>
        </w:rPr>
        <w:t>本文件给出了无人机在高速公路运营管理中的场景应用总则、应用原则、无人机操控员条件、无人机应用需考虑的因素、无人机应用场景。</w:t>
      </w:r>
    </w:p>
    <w:p w14:paraId="26ACC7D8">
      <w:pPr>
        <w:pStyle w:val="57"/>
        <w:ind w:firstLine="420"/>
      </w:pPr>
      <w:r>
        <w:rPr>
          <w:rFonts w:hint="eastAsia"/>
        </w:rPr>
        <w:t>本文件适用于高速公路运营单位、养护机构等使用无人机开展巡查、监测、应急等场景的工作。</w:t>
      </w:r>
    </w:p>
    <w:bookmarkEnd w:id="38"/>
    <w:p w14:paraId="1B4E1AAC">
      <w:pPr>
        <w:pStyle w:val="105"/>
        <w:spacing w:before="312" w:after="312"/>
      </w:pPr>
      <w:bookmarkStart w:id="44" w:name="_Toc97191424"/>
      <w:bookmarkStart w:id="45" w:name="_Toc26718931"/>
      <w:bookmarkStart w:id="46" w:name="_Toc26986531"/>
      <w:bookmarkStart w:id="47" w:name="_Toc198042228"/>
      <w:bookmarkStart w:id="48" w:name="_Toc26986772"/>
      <w:r>
        <w:rPr>
          <w:rFonts w:hint="eastAsia"/>
        </w:rPr>
        <w:t>规范性引用文件</w:t>
      </w:r>
      <w:bookmarkEnd w:id="39"/>
      <w:bookmarkEnd w:id="40"/>
      <w:bookmarkEnd w:id="41"/>
      <w:bookmarkEnd w:id="42"/>
      <w:bookmarkEnd w:id="43"/>
      <w:bookmarkEnd w:id="44"/>
      <w:bookmarkEnd w:id="45"/>
      <w:bookmarkEnd w:id="46"/>
      <w:bookmarkEnd w:id="47"/>
      <w:bookmarkEnd w:id="48"/>
    </w:p>
    <w:sdt>
      <w:sdtPr>
        <w:rPr>
          <w:rFonts w:hint="eastAsia"/>
        </w:rPr>
        <w:id w:val="715848253"/>
        <w:placeholder>
          <w:docPart w:val="A9D4A6CFEEAD4F678650F9E69EBCFDD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06383E8">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D01EE07">
      <w:pPr>
        <w:pStyle w:val="57"/>
        <w:ind w:firstLine="420"/>
      </w:pPr>
      <w:bookmarkStart w:id="49" w:name="OLE_LINK9"/>
      <w:r>
        <w:rPr>
          <w:rFonts w:hint="eastAsia"/>
        </w:rPr>
        <w:t>GB/T 22239信息安全技术 网络安全等级保护基本要求</w:t>
      </w:r>
    </w:p>
    <w:p w14:paraId="723B944F">
      <w:pPr>
        <w:pStyle w:val="57"/>
        <w:ind w:firstLine="420"/>
      </w:pPr>
      <w:r>
        <w:rPr>
          <w:rFonts w:hint="eastAsia"/>
        </w:rPr>
        <w:t>GB/T 35273信息安全技术个人信息安全规范</w:t>
      </w:r>
    </w:p>
    <w:p w14:paraId="47918444">
      <w:pPr>
        <w:pStyle w:val="57"/>
        <w:ind w:firstLine="420"/>
      </w:pPr>
      <w:r>
        <w:rPr>
          <w:rFonts w:hint="eastAsia"/>
        </w:rPr>
        <w:t>GB/T 37973信息安全技术大数据安全管理指南</w:t>
      </w:r>
    </w:p>
    <w:p w14:paraId="62064AB5">
      <w:pPr>
        <w:pStyle w:val="57"/>
        <w:ind w:firstLine="420"/>
      </w:pPr>
      <w:r>
        <w:rPr>
          <w:rFonts w:hint="eastAsia"/>
        </w:rPr>
        <w:t>GB/T 38152 无人驾驶航空器系统术语</w:t>
      </w:r>
    </w:p>
    <w:p w14:paraId="29ABF127">
      <w:pPr>
        <w:pStyle w:val="57"/>
        <w:ind w:firstLine="420"/>
      </w:pPr>
      <w:r>
        <w:rPr>
          <w:rFonts w:hint="eastAsia"/>
        </w:rPr>
        <w:t>GB 42590 民用无人驾驶航空器系统安全要求</w:t>
      </w:r>
    </w:p>
    <w:p w14:paraId="70366465">
      <w:pPr>
        <w:pStyle w:val="57"/>
        <w:ind w:firstLine="420"/>
      </w:pPr>
      <w:r>
        <w:rPr>
          <w:rFonts w:hint="eastAsia"/>
        </w:rPr>
        <w:t>MH/T 1069 无人机驾驶航空器系统作业飞行技术规范</w:t>
      </w:r>
    </w:p>
    <w:bookmarkEnd w:id="49"/>
    <w:p w14:paraId="4662743D">
      <w:pPr>
        <w:pStyle w:val="57"/>
        <w:ind w:firstLine="420"/>
      </w:pPr>
      <w:r>
        <w:rPr>
          <w:rFonts w:hint="eastAsia"/>
        </w:rPr>
        <w:t>DB34/T 1786-2022 安徽省低空空域协同运行管理规范</w:t>
      </w:r>
    </w:p>
    <w:p w14:paraId="3723A0BD">
      <w:pPr>
        <w:pStyle w:val="105"/>
        <w:spacing w:before="312" w:after="312"/>
      </w:pPr>
      <w:bookmarkStart w:id="50" w:name="_Toc97191425"/>
      <w:bookmarkStart w:id="51" w:name="_Toc198042229"/>
      <w:r>
        <w:rPr>
          <w:rFonts w:hint="eastAsia"/>
          <w:szCs w:val="21"/>
        </w:rPr>
        <w:t>术语和定义</w:t>
      </w:r>
      <w:bookmarkEnd w:id="50"/>
      <w:bookmarkEnd w:id="51"/>
    </w:p>
    <w:sdt>
      <w:sdtPr>
        <w:id w:val="-1909835108"/>
        <w:placeholder>
          <w:docPart w:val="0D29C746067C44F4876B0BA554DC38D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DCBBE6B">
          <w:pPr>
            <w:pStyle w:val="57"/>
            <w:ind w:firstLine="420"/>
          </w:pPr>
          <w:bookmarkStart w:id="52" w:name="_Toc26986532"/>
          <w:bookmarkEnd w:id="52"/>
          <w:r>
            <w:rPr>
              <w:rFonts w:hint="eastAsia"/>
            </w:rPr>
            <w:t>GB/T 38152</w:t>
          </w:r>
          <w:r>
            <w:t>界定的术语和定义适用于本文件。</w:t>
          </w:r>
        </w:p>
      </w:sdtContent>
    </w:sdt>
    <w:p w14:paraId="07CDBA69">
      <w:pPr>
        <w:pStyle w:val="224"/>
        <w:ind w:left="420" w:hanging="420" w:hangingChars="200"/>
        <w:rPr>
          <w:rFonts w:ascii="黑体" w:hAnsi="黑体" w:eastAsia="黑体"/>
        </w:rPr>
      </w:pPr>
      <w:r>
        <w:rPr>
          <w:rFonts w:ascii="黑体" w:hAnsi="黑体" w:eastAsia="黑体"/>
        </w:rPr>
        <w:br w:type="textWrapping"/>
      </w:r>
      <w:r>
        <w:rPr>
          <w:rFonts w:hint="eastAsia" w:ascii="黑体" w:hAnsi="黑体" w:eastAsia="黑体"/>
        </w:rPr>
        <w:t>无人机</w:t>
      </w:r>
    </w:p>
    <w:p w14:paraId="2C207446">
      <w:pPr>
        <w:pStyle w:val="57"/>
        <w:ind w:firstLine="420"/>
      </w:pPr>
      <w:r>
        <w:rPr>
          <w:rFonts w:hint="eastAsia"/>
        </w:rPr>
        <w:t>应用于高速公路营运管理的无人驾驶航空器,包括微型、轻型和小型无人机。</w:t>
      </w:r>
    </w:p>
    <w:p w14:paraId="17A44E24">
      <w:pPr>
        <w:pStyle w:val="105"/>
        <w:spacing w:before="312" w:after="312"/>
      </w:pPr>
      <w:bookmarkStart w:id="53" w:name="_Toc198042230"/>
      <w:bookmarkStart w:id="54" w:name="OLE_LINK12"/>
      <w:bookmarkStart w:id="55" w:name="OLE_LINK11"/>
      <w:r>
        <w:t>应用原则</w:t>
      </w:r>
      <w:bookmarkEnd w:id="53"/>
    </w:p>
    <w:bookmarkEnd w:id="54"/>
    <w:bookmarkEnd w:id="55"/>
    <w:p w14:paraId="2AD7E262">
      <w:pPr>
        <w:pStyle w:val="106"/>
        <w:spacing w:before="156" w:after="156"/>
      </w:pPr>
      <w:bookmarkStart w:id="56" w:name="_Toc198042231"/>
      <w:bookmarkStart w:id="57" w:name="OLE_LINK13"/>
      <w:r>
        <w:rPr>
          <w:rFonts w:hint="eastAsia"/>
        </w:rPr>
        <w:t>安全优先</w:t>
      </w:r>
      <w:bookmarkEnd w:id="56"/>
    </w:p>
    <w:bookmarkEnd w:id="57"/>
    <w:p w14:paraId="1C98E36B">
      <w:pPr>
        <w:pStyle w:val="57"/>
        <w:ind w:firstLine="420"/>
      </w:pPr>
      <w:r>
        <w:rPr>
          <w:rFonts w:hint="eastAsia"/>
        </w:rPr>
        <w:t>符合GB 42590的电子围栏、避障及应急处置要求。</w:t>
      </w:r>
    </w:p>
    <w:p w14:paraId="2074E76B">
      <w:pPr>
        <w:pStyle w:val="106"/>
        <w:spacing w:before="156" w:after="156"/>
      </w:pPr>
      <w:bookmarkStart w:id="58" w:name="_Toc198042232"/>
      <w:bookmarkStart w:id="59" w:name="OLE_LINK14"/>
      <w:r>
        <w:rPr>
          <w:rFonts w:hint="eastAsia"/>
        </w:rPr>
        <w:t>场景适配</w:t>
      </w:r>
      <w:bookmarkEnd w:id="58"/>
    </w:p>
    <w:bookmarkEnd w:id="59"/>
    <w:p w14:paraId="36BB1F04">
      <w:pPr>
        <w:pStyle w:val="57"/>
        <w:ind w:firstLine="420"/>
      </w:pPr>
      <w:r>
        <w:rPr>
          <w:rFonts w:hint="eastAsia"/>
        </w:rPr>
        <w:t>无人机设备需按计划进行调度、维护和检查，并根据地形（山区/平原）、气候（多雨/多雾）选择机型及载荷。</w:t>
      </w:r>
    </w:p>
    <w:p w14:paraId="10B5E6A3">
      <w:pPr>
        <w:pStyle w:val="106"/>
        <w:spacing w:before="156" w:after="156"/>
      </w:pPr>
      <w:bookmarkStart w:id="60" w:name="_Toc198042233"/>
      <w:bookmarkStart w:id="61" w:name="OLE_LINK15"/>
      <w:r>
        <w:rPr>
          <w:rFonts w:hint="eastAsia"/>
        </w:rPr>
        <w:t>数据合规</w:t>
      </w:r>
      <w:bookmarkEnd w:id="60"/>
    </w:p>
    <w:bookmarkEnd w:id="61"/>
    <w:p w14:paraId="27C1E011">
      <w:pPr>
        <w:pStyle w:val="57"/>
        <w:ind w:firstLine="420"/>
      </w:pPr>
      <w:r>
        <w:rPr>
          <w:rFonts w:hint="eastAsia"/>
        </w:rPr>
        <w:t>采集的影像、位置等数据需符合</w:t>
      </w:r>
      <w:bookmarkStart w:id="62" w:name="OLE_LINK2"/>
      <w:bookmarkStart w:id="63" w:name="OLE_LINK1"/>
      <w:r>
        <w:rPr>
          <w:rFonts w:hint="eastAsia"/>
        </w:rPr>
        <w:t>《安徽省数据安全管理办法》</w:t>
      </w:r>
      <w:bookmarkEnd w:id="62"/>
      <w:bookmarkEnd w:id="63"/>
      <w:r>
        <w:rPr>
          <w:rFonts w:hint="eastAsia"/>
        </w:rPr>
        <w:t>。</w:t>
      </w:r>
    </w:p>
    <w:p w14:paraId="435F2A8D">
      <w:pPr>
        <w:pStyle w:val="106"/>
        <w:spacing w:before="156" w:after="156"/>
      </w:pPr>
      <w:bookmarkStart w:id="64" w:name="_Toc198042234"/>
      <w:r>
        <w:rPr>
          <w:rFonts w:hint="eastAsia"/>
        </w:rPr>
        <w:t>协同管理</w:t>
      </w:r>
      <w:bookmarkEnd w:id="64"/>
    </w:p>
    <w:p w14:paraId="155E1FEC">
      <w:pPr>
        <w:pStyle w:val="57"/>
        <w:ind w:firstLine="420"/>
      </w:pPr>
      <w:r>
        <w:rPr>
          <w:rFonts w:hint="eastAsia"/>
        </w:rPr>
        <w:t>与现有视频监控系统、养护系统、应急平台互联互通。</w:t>
      </w:r>
    </w:p>
    <w:p w14:paraId="182A2FA9">
      <w:pPr>
        <w:pStyle w:val="105"/>
        <w:spacing w:before="312" w:after="312"/>
      </w:pPr>
      <w:bookmarkStart w:id="65" w:name="_Toc198042235"/>
      <w:r>
        <w:rPr>
          <w:rFonts w:hint="eastAsia"/>
        </w:rPr>
        <w:t>无人机应用需考虑的因素</w:t>
      </w:r>
      <w:bookmarkEnd w:id="65"/>
    </w:p>
    <w:p w14:paraId="57DFA0C5">
      <w:pPr>
        <w:pStyle w:val="106"/>
        <w:spacing w:before="156" w:after="156"/>
      </w:pPr>
      <w:bookmarkStart w:id="66" w:name="_Toc198042236"/>
      <w:r>
        <w:rPr>
          <w:rFonts w:hint="eastAsia"/>
        </w:rPr>
        <w:t>无人机操控员</w:t>
      </w:r>
      <w:bookmarkEnd w:id="66"/>
    </w:p>
    <w:p w14:paraId="6FB40185">
      <w:pPr>
        <w:pStyle w:val="166"/>
      </w:pPr>
      <w:r>
        <w:rPr>
          <w:rFonts w:hint="eastAsia"/>
        </w:rPr>
        <w:t>取得中国民用航空局颁发的执照，包括</w:t>
      </w:r>
      <w:bookmarkStart w:id="67" w:name="OLE_LINK7"/>
      <w:bookmarkStart w:id="68" w:name="OLE_LINK8"/>
      <w:r>
        <w:rPr>
          <w:rFonts w:hint="eastAsia"/>
        </w:rPr>
        <w:t>民用无人机驾驶航空器操控员执照</w:t>
      </w:r>
      <w:bookmarkEnd w:id="67"/>
      <w:bookmarkEnd w:id="68"/>
      <w:r>
        <w:rPr>
          <w:rFonts w:hint="eastAsia"/>
        </w:rPr>
        <w:t>(</w:t>
      </w:r>
      <w:bookmarkStart w:id="69" w:name="OLE_LINK5"/>
      <w:bookmarkStart w:id="70" w:name="OLE_LINK6"/>
      <w:r>
        <w:rPr>
          <w:rFonts w:hint="eastAsia"/>
        </w:rPr>
        <w:t>Ш、</w:t>
      </w:r>
      <w:r>
        <w:t>IV</w:t>
      </w:r>
      <w:r>
        <w:rPr>
          <w:rFonts w:hint="eastAsia"/>
        </w:rPr>
        <w:t>、Ⅺ类</w:t>
      </w:r>
      <w:bookmarkEnd w:id="69"/>
      <w:bookmarkEnd w:id="70"/>
      <w:r>
        <w:rPr>
          <w:rFonts w:hint="eastAsia"/>
        </w:rPr>
        <w:t>)。</w:t>
      </w:r>
    </w:p>
    <w:p w14:paraId="5F40C1FA">
      <w:pPr>
        <w:pStyle w:val="166"/>
      </w:pPr>
      <w:r>
        <w:rPr>
          <w:rFonts w:hint="eastAsia"/>
        </w:rPr>
        <w:t>熟练掌握无人机飞行技能及相关任务载荷的使用，了解风险警示信息和有关管理制度，了解无人机的特点和实际应用场景</w:t>
      </w:r>
      <w:bookmarkStart w:id="71" w:name="OLE_LINK17"/>
      <w:bookmarkStart w:id="72" w:name="OLE_LINK16"/>
      <w:r>
        <w:rPr>
          <w:rFonts w:hint="eastAsia"/>
        </w:rPr>
        <w:t>。</w:t>
      </w:r>
    </w:p>
    <w:p w14:paraId="471E7C2A">
      <w:pPr>
        <w:pStyle w:val="166"/>
      </w:pPr>
      <w:r>
        <w:rPr>
          <w:rFonts w:hint="eastAsia"/>
        </w:rPr>
        <w:t>无人机操控员作业飞行需遵守MH/T 1069的有关规定。</w:t>
      </w:r>
    </w:p>
    <w:bookmarkEnd w:id="71"/>
    <w:bookmarkEnd w:id="72"/>
    <w:p w14:paraId="5DE20727">
      <w:pPr>
        <w:pStyle w:val="106"/>
        <w:spacing w:before="156" w:after="156"/>
      </w:pPr>
      <w:bookmarkStart w:id="73" w:name="_Toc198042237"/>
      <w:r>
        <w:rPr>
          <w:rFonts w:hint="eastAsia"/>
        </w:rPr>
        <w:t>飞行准备</w:t>
      </w:r>
      <w:bookmarkEnd w:id="73"/>
    </w:p>
    <w:p w14:paraId="66C78324">
      <w:pPr>
        <w:pStyle w:val="166"/>
      </w:pPr>
      <w:r>
        <w:rPr>
          <w:rFonts w:hint="eastAsia"/>
        </w:rPr>
        <w:t>检查无人机结构状态是否正常，包括机臂是否展开、云台卡扣是否取下、螺旋桨是否锁紧、是否有破损等。</w:t>
      </w:r>
    </w:p>
    <w:p w14:paraId="0DB4C054">
      <w:pPr>
        <w:pStyle w:val="166"/>
      </w:pPr>
      <w:r>
        <w:rPr>
          <w:rFonts w:hint="eastAsia"/>
        </w:rPr>
        <w:t>检查无人机待机参数是否正常，包括电池电量、连接状态、操作模式、自检信息、存储信息、解禁证书导入状态、电机转速等。</w:t>
      </w:r>
    </w:p>
    <w:p w14:paraId="6B663024">
      <w:pPr>
        <w:pStyle w:val="166"/>
      </w:pPr>
      <w:r>
        <w:rPr>
          <w:rFonts w:hint="eastAsia"/>
        </w:rPr>
        <w:t>无人机飞行设置失控返航触发条件。</w:t>
      </w:r>
    </w:p>
    <w:p w14:paraId="51383B47">
      <w:pPr>
        <w:pStyle w:val="166"/>
      </w:pPr>
      <w:r>
        <w:rPr>
          <w:rFonts w:hint="eastAsia"/>
        </w:rPr>
        <w:t>无人机进行原地自旋飞行测试，发现异常情况停止飞行。</w:t>
      </w:r>
    </w:p>
    <w:p w14:paraId="25C93505">
      <w:pPr>
        <w:pStyle w:val="106"/>
        <w:spacing w:before="156" w:after="156"/>
      </w:pPr>
      <w:bookmarkStart w:id="74" w:name="_Toc198042238"/>
      <w:r>
        <w:rPr>
          <w:rFonts w:hint="eastAsia"/>
        </w:rPr>
        <w:t>飞行安全</w:t>
      </w:r>
      <w:bookmarkEnd w:id="74"/>
    </w:p>
    <w:p w14:paraId="324C2606">
      <w:pPr>
        <w:pStyle w:val="166"/>
      </w:pPr>
      <w:r>
        <w:rPr>
          <w:rFonts w:hint="eastAsia"/>
        </w:rPr>
        <w:t>在强风天气飞行时，出现异常立即手动返航。</w:t>
      </w:r>
    </w:p>
    <w:p w14:paraId="38AD2D4C">
      <w:pPr>
        <w:pStyle w:val="166"/>
      </w:pPr>
      <w:r>
        <w:rPr>
          <w:rFonts w:hint="eastAsia"/>
        </w:rPr>
        <w:t>在楼宇间飞行时，将无人机全向避障功能打开，与周边障碍物保持相对的安全距离。</w:t>
      </w:r>
    </w:p>
    <w:p w14:paraId="525C6D23">
      <w:pPr>
        <w:pStyle w:val="166"/>
      </w:pPr>
      <w:r>
        <w:rPr>
          <w:rFonts w:hint="eastAsia"/>
        </w:rPr>
        <w:t>在夜间飞行时，打开夜航灯和下视照明灯，通过屏幕菜单调节显示距离、高度、速度等信息。</w:t>
      </w:r>
    </w:p>
    <w:p w14:paraId="63B4904D">
      <w:pPr>
        <w:pStyle w:val="166"/>
      </w:pPr>
      <w:r>
        <w:rPr>
          <w:rFonts w:hint="eastAsia"/>
        </w:rPr>
        <w:t>靠近低空水面或玻璃幕墙等类镜面表面飞行时，注意传感器可能受到光线影响导致自动避障功能失效。</w:t>
      </w:r>
    </w:p>
    <w:p w14:paraId="2E52E57B">
      <w:pPr>
        <w:pStyle w:val="166"/>
      </w:pPr>
      <w:r>
        <w:rPr>
          <w:rFonts w:hint="eastAsia"/>
        </w:rPr>
        <w:t>返航电量过低时，可使用倾斜下降航线返航，无法返回起降点时，优先选择安全位置进行迫降。</w:t>
      </w:r>
    </w:p>
    <w:p w14:paraId="2ADA7910">
      <w:pPr>
        <w:pStyle w:val="166"/>
      </w:pPr>
      <w:r>
        <w:rPr>
          <w:rFonts w:hint="eastAsia"/>
        </w:rPr>
        <w:t>飞行中出现撞击、坠落、失控情况时，操控员立即关机停桨。</w:t>
      </w:r>
    </w:p>
    <w:p w14:paraId="546CD899">
      <w:pPr>
        <w:pStyle w:val="166"/>
      </w:pPr>
      <w:r>
        <w:rPr>
          <w:rFonts w:hint="eastAsia"/>
        </w:rPr>
        <w:t>飞行规避高压输电线、变电所、电气化铁路、信号塔、卫星接收基站等设备场所。</w:t>
      </w:r>
    </w:p>
    <w:p w14:paraId="480871AF">
      <w:pPr>
        <w:pStyle w:val="166"/>
      </w:pPr>
      <w:r>
        <w:rPr>
          <w:rFonts w:hint="eastAsia"/>
        </w:rPr>
        <w:t>起降点优先选择在空旷无人、信号稳定、地势较高的地带。</w:t>
      </w:r>
    </w:p>
    <w:p w14:paraId="4A5E233C">
      <w:pPr>
        <w:pStyle w:val="106"/>
        <w:spacing w:before="156" w:after="156"/>
      </w:pPr>
      <w:bookmarkStart w:id="75" w:name="_Toc198042239"/>
      <w:r>
        <w:rPr>
          <w:rFonts w:hint="eastAsia"/>
        </w:rPr>
        <w:t>空域和飞行申报</w:t>
      </w:r>
      <w:bookmarkEnd w:id="75"/>
    </w:p>
    <w:p w14:paraId="72C2C288">
      <w:pPr>
        <w:pStyle w:val="166"/>
      </w:pPr>
      <w:r>
        <w:rPr>
          <w:rFonts w:hint="eastAsia"/>
        </w:rPr>
        <w:t>无人机在执行各类高速公路运营管理任务时，由高速公路运营单位具体组织和指挥，接受飞行活动管理和空中交通管制。</w:t>
      </w:r>
    </w:p>
    <w:p w14:paraId="42A219B2">
      <w:pPr>
        <w:pStyle w:val="166"/>
      </w:pPr>
      <w:r>
        <w:rPr>
          <w:rFonts w:hint="eastAsia"/>
        </w:rPr>
        <w:t>管制空域包括不限于真高120m以上空域，空中禁区、空中限制区以及周边空域，军用航空超低空飞行空域、机场及周边一定范围区域，以及《无人驾驶航空器飞行管理暂行条例》注明的区域。</w:t>
      </w:r>
    </w:p>
    <w:p w14:paraId="4C5F2772">
      <w:pPr>
        <w:pStyle w:val="166"/>
      </w:pPr>
      <w:r>
        <w:rPr>
          <w:rFonts w:hint="eastAsia"/>
        </w:rPr>
        <w:t>在管制空域飞行时，组织飞行活动的单位主动与属地空中交通管理机构对接，为无人机划设空域，协调空域使用、申报、备案等事项，具体事项要求见《无人驾驶航空器飞行管理暂行条例》。</w:t>
      </w:r>
    </w:p>
    <w:p w14:paraId="53575110">
      <w:pPr>
        <w:pStyle w:val="166"/>
      </w:pPr>
      <w:r>
        <w:rPr>
          <w:rFonts w:hint="eastAsia"/>
        </w:rPr>
        <w:t>微型、轻型、小型无人机在管制空域以外进行飞行活动时，无需向空中交通管理机构提出飞行活动申请。</w:t>
      </w:r>
    </w:p>
    <w:p w14:paraId="426EFA7F">
      <w:pPr>
        <w:pStyle w:val="106"/>
        <w:spacing w:before="156" w:after="156"/>
      </w:pPr>
      <w:bookmarkStart w:id="76" w:name="_Toc198042240"/>
      <w:r>
        <w:rPr>
          <w:rFonts w:hint="eastAsia"/>
        </w:rPr>
        <w:t>信息管理与数据安全</w:t>
      </w:r>
      <w:bookmarkEnd w:id="76"/>
    </w:p>
    <w:p w14:paraId="7B89AFAB">
      <w:pPr>
        <w:pStyle w:val="66"/>
        <w:spacing w:before="156" w:after="156"/>
      </w:pPr>
      <w:bookmarkStart w:id="77" w:name="_Toc198042241"/>
      <w:r>
        <w:rPr>
          <w:rFonts w:hint="eastAsia"/>
        </w:rPr>
        <w:t>信息管理</w:t>
      </w:r>
      <w:bookmarkEnd w:id="77"/>
    </w:p>
    <w:p w14:paraId="653BB41A">
      <w:pPr>
        <w:pStyle w:val="165"/>
      </w:pPr>
      <w:r>
        <w:rPr>
          <w:rFonts w:hint="eastAsia"/>
        </w:rPr>
        <w:t>进行巡检需求分析，明确无人机设备及易损件的种类、数量和使用频率等信息。</w:t>
      </w:r>
    </w:p>
    <w:p w14:paraId="04374A9F">
      <w:pPr>
        <w:pStyle w:val="165"/>
      </w:pPr>
      <w:r>
        <w:rPr>
          <w:rFonts w:hint="eastAsia"/>
        </w:rPr>
        <w:t>为无人机设备配备电子标签，实现物资的快速识别和信息化管理。</w:t>
      </w:r>
    </w:p>
    <w:p w14:paraId="71A6FC82">
      <w:pPr>
        <w:pStyle w:val="165"/>
      </w:pPr>
      <w:r>
        <w:rPr>
          <w:rFonts w:hint="eastAsia"/>
        </w:rPr>
        <w:t>建立全省统一的无人机场景运用数据平台，存储所有无人机设备的详细信息，如物资名称、规格、数量、存储位置、有效期等，支持大量数据的存储和高效的数据检索。</w:t>
      </w:r>
    </w:p>
    <w:p w14:paraId="092B5258">
      <w:pPr>
        <w:pStyle w:val="165"/>
      </w:pPr>
      <w:r>
        <w:rPr>
          <w:rFonts w:hint="eastAsia"/>
        </w:rPr>
        <w:t>建立智能的调度与分配系统，根据实时的需求和无人机设备库存状况，优化设备的调配和分配。</w:t>
      </w:r>
    </w:p>
    <w:p w14:paraId="41B1CE34">
      <w:pPr>
        <w:pStyle w:val="66"/>
        <w:spacing w:before="156" w:after="156"/>
      </w:pPr>
      <w:bookmarkStart w:id="78" w:name="_Toc198042242"/>
      <w:r>
        <w:rPr>
          <w:rFonts w:hint="eastAsia"/>
        </w:rPr>
        <w:t>数据安全</w:t>
      </w:r>
      <w:bookmarkEnd w:id="78"/>
    </w:p>
    <w:p w14:paraId="4FC21895">
      <w:pPr>
        <w:pStyle w:val="165"/>
      </w:pPr>
      <w:r>
        <w:rPr>
          <w:rFonts w:hint="eastAsia"/>
        </w:rPr>
        <w:t>健全数据安全管理制度，保障无人机数据链安全，落实数据安全保护责任。明确数据安全需求开展数据分类分级管理，对数据全生命周期采取相关安全措施，评估数据安全风险并采取应对措施，数据安全管理宜按照GB/T 37973中规定的相关要求执行。</w:t>
      </w:r>
    </w:p>
    <w:p w14:paraId="50E25836">
      <w:pPr>
        <w:pStyle w:val="165"/>
      </w:pPr>
      <w:r>
        <w:rPr>
          <w:rFonts w:hint="eastAsia"/>
        </w:rPr>
        <w:t>加强个人信息等数据的保护，在数据采集、存储、使用等过程中采取安全措施，并对数据的委托处理、共享、转让和公开披露等进行安全管理，</w:t>
      </w:r>
      <w:bookmarkStart w:id="79" w:name="OLE_LINK18"/>
      <w:r>
        <w:rPr>
          <w:rFonts w:hint="eastAsia"/>
        </w:rPr>
        <w:t>个人信息安全按照GB/T 35273中规定的相关要求执行。</w:t>
      </w:r>
    </w:p>
    <w:p w14:paraId="59493870">
      <w:pPr>
        <w:pStyle w:val="165"/>
      </w:pPr>
      <w:r>
        <w:rPr>
          <w:rFonts w:hint="eastAsia"/>
        </w:rPr>
        <w:t>数据安全按照GB/T 22239中网络安全等级保护规定的相关要求执行。</w:t>
      </w:r>
    </w:p>
    <w:bookmarkEnd w:id="79"/>
    <w:p w14:paraId="3992CF9D">
      <w:pPr>
        <w:pStyle w:val="105"/>
        <w:spacing w:before="312" w:after="312"/>
      </w:pPr>
      <w:bookmarkStart w:id="80" w:name="_Toc198042243"/>
      <w:r>
        <w:rPr>
          <w:rFonts w:hint="eastAsia"/>
        </w:rPr>
        <w:t>无人机应用场景</w:t>
      </w:r>
      <w:bookmarkEnd w:id="80"/>
    </w:p>
    <w:p w14:paraId="6273E44D">
      <w:pPr>
        <w:pStyle w:val="106"/>
        <w:spacing w:before="156" w:after="156"/>
      </w:pPr>
      <w:bookmarkStart w:id="81" w:name="_Toc198042244"/>
      <w:r>
        <w:rPr>
          <w:rFonts w:hint="eastAsia"/>
        </w:rPr>
        <w:t>智能巡查与养护</w:t>
      </w:r>
      <w:bookmarkEnd w:id="81"/>
    </w:p>
    <w:p w14:paraId="25C07BFF">
      <w:pPr>
        <w:pStyle w:val="57"/>
        <w:ind w:firstLine="420"/>
      </w:pPr>
      <w:r>
        <w:rPr>
          <w:rFonts w:hint="eastAsia"/>
        </w:rPr>
        <w:t>智能巡查与养护场景应用包括但不限于以下内容：</w:t>
      </w:r>
    </w:p>
    <w:p w14:paraId="5B13950F">
      <w:pPr>
        <w:pStyle w:val="133"/>
      </w:pPr>
      <w:r>
        <w:rPr>
          <w:rFonts w:hint="eastAsia"/>
        </w:rPr>
        <w:t>日常道路巡查；</w:t>
      </w:r>
    </w:p>
    <w:p w14:paraId="2311C895">
      <w:pPr>
        <w:pStyle w:val="133"/>
      </w:pPr>
      <w:r>
        <w:rPr>
          <w:rFonts w:hint="eastAsia"/>
        </w:rPr>
        <w:t>日常养护巡查；</w:t>
      </w:r>
    </w:p>
    <w:p w14:paraId="6682B723">
      <w:pPr>
        <w:pStyle w:val="133"/>
      </w:pPr>
      <w:r>
        <w:rPr>
          <w:rFonts w:hint="eastAsia"/>
        </w:rPr>
        <w:t>高速公路特殊巡检作业，包括但不限于因特殊原因(如重大车祸、人为因素等)造成的道路、护栏、标志牌损坏情况；</w:t>
      </w:r>
    </w:p>
    <w:p w14:paraId="7C695522">
      <w:pPr>
        <w:pStyle w:val="133"/>
      </w:pPr>
      <w:r>
        <w:rPr>
          <w:rFonts w:hint="eastAsia"/>
        </w:rPr>
        <w:t>桥梁底部隐蔽检测，通过无人机对桥梁底部难以触及的区域进行检测，发现潜在问题并及时处理；</w:t>
      </w:r>
    </w:p>
    <w:p w14:paraId="659FDDD0">
      <w:pPr>
        <w:pStyle w:val="133"/>
      </w:pPr>
      <w:r>
        <w:rPr>
          <w:rFonts w:hint="eastAsia"/>
        </w:rPr>
        <w:t>隧道内壁安全检查；</w:t>
      </w:r>
    </w:p>
    <w:p w14:paraId="398CDB99">
      <w:pPr>
        <w:pStyle w:val="133"/>
      </w:pPr>
      <w:r>
        <w:rPr>
          <w:rFonts w:hint="eastAsia"/>
        </w:rPr>
        <w:t>广告牌安全状态及周边环境；</w:t>
      </w:r>
    </w:p>
    <w:p w14:paraId="50D6A4E5">
      <w:pPr>
        <w:pStyle w:val="133"/>
      </w:pPr>
      <w:r>
        <w:rPr>
          <w:rFonts w:hint="eastAsia"/>
        </w:rPr>
        <w:t>夜间标线反光检测。</w:t>
      </w:r>
    </w:p>
    <w:p w14:paraId="117EAFC7">
      <w:pPr>
        <w:pStyle w:val="106"/>
        <w:spacing w:before="156" w:after="156"/>
      </w:pPr>
      <w:bookmarkStart w:id="82" w:name="_Toc198042245"/>
      <w:r>
        <w:rPr>
          <w:rFonts w:hint="eastAsia"/>
        </w:rPr>
        <w:t>应急救援与事故处理</w:t>
      </w:r>
      <w:bookmarkEnd w:id="82"/>
    </w:p>
    <w:p w14:paraId="0F108F4C">
      <w:pPr>
        <w:pStyle w:val="57"/>
        <w:ind w:firstLine="420"/>
      </w:pPr>
      <w:r>
        <w:rPr>
          <w:rFonts w:hint="eastAsia"/>
        </w:rPr>
        <w:t>应急救援与事故处理场景应用包括但不限于以下内容：</w:t>
      </w:r>
    </w:p>
    <w:p w14:paraId="47A402DE">
      <w:pPr>
        <w:pStyle w:val="133"/>
      </w:pPr>
      <w:r>
        <w:rPr>
          <w:rFonts w:hint="eastAsia"/>
        </w:rPr>
        <w:t>交通事故快速建模，辅助责任判定；</w:t>
      </w:r>
    </w:p>
    <w:p w14:paraId="375A3F37">
      <w:pPr>
        <w:pStyle w:val="133"/>
      </w:pPr>
      <w:r>
        <w:rPr>
          <w:rFonts w:hint="eastAsia"/>
        </w:rPr>
        <w:t>在突发事件中，无人机可快速投送救援应急物资，如药品、食品和急救设备；</w:t>
      </w:r>
    </w:p>
    <w:p w14:paraId="6B4B9EF6">
      <w:pPr>
        <w:pStyle w:val="133"/>
      </w:pPr>
      <w:r>
        <w:rPr>
          <w:rFonts w:hint="eastAsia"/>
        </w:rPr>
        <w:t>二次事故预警巡逻，及时发现并处理二次事故隐患；</w:t>
      </w:r>
    </w:p>
    <w:p w14:paraId="0456E394">
      <w:pPr>
        <w:pStyle w:val="133"/>
      </w:pPr>
      <w:r>
        <w:rPr>
          <w:rFonts w:hint="eastAsia"/>
        </w:rPr>
        <w:t>在事故现场的实时勘查和指挥调度，提高应急响应速度。</w:t>
      </w:r>
    </w:p>
    <w:p w14:paraId="08AD1CF3">
      <w:pPr>
        <w:pStyle w:val="106"/>
        <w:spacing w:before="156" w:after="156"/>
      </w:pPr>
      <w:bookmarkStart w:id="83" w:name="_Toc198042246"/>
      <w:bookmarkStart w:id="84" w:name="OLE_LINK19"/>
      <w:r>
        <w:rPr>
          <w:rFonts w:hint="eastAsia"/>
        </w:rPr>
        <w:t>交通管理与信息服务</w:t>
      </w:r>
      <w:bookmarkEnd w:id="83"/>
    </w:p>
    <w:bookmarkEnd w:id="84"/>
    <w:p w14:paraId="0583436A">
      <w:pPr>
        <w:pStyle w:val="57"/>
        <w:ind w:firstLine="420"/>
      </w:pPr>
      <w:r>
        <w:rPr>
          <w:rFonts w:hint="eastAsia"/>
        </w:rPr>
        <w:t>交通管理与信息服务场景应用包括但不限于以下内容：</w:t>
      </w:r>
    </w:p>
    <w:p w14:paraId="26D181AF">
      <w:pPr>
        <w:pStyle w:val="133"/>
      </w:pPr>
      <w:r>
        <w:rPr>
          <w:rFonts w:hint="eastAsia"/>
        </w:rPr>
        <w:t>动态路况监测，实时监测交通流量和路况变化；</w:t>
      </w:r>
    </w:p>
    <w:p w14:paraId="08AA6B81">
      <w:pPr>
        <w:pStyle w:val="133"/>
      </w:pPr>
      <w:r>
        <w:rPr>
          <w:rFonts w:hint="eastAsia"/>
        </w:rPr>
        <w:t>动态路况直播，无人机航拍拥堵路段，视频实时推送到导航APP；</w:t>
      </w:r>
    </w:p>
    <w:p w14:paraId="6F41CAF4">
      <w:pPr>
        <w:pStyle w:val="133"/>
      </w:pPr>
      <w:r>
        <w:rPr>
          <w:rFonts w:hint="eastAsia"/>
        </w:rPr>
        <w:t>通过无人机快速判断道路拥</w:t>
      </w:r>
      <w:bookmarkStart w:id="94" w:name="_GoBack"/>
      <w:bookmarkEnd w:id="94"/>
      <w:r>
        <w:rPr>
          <w:rFonts w:hint="eastAsia"/>
        </w:rPr>
        <w:t>堵情况，并协助疏导交通，减少交通拥堵；</w:t>
      </w:r>
    </w:p>
    <w:p w14:paraId="73A89767">
      <w:pPr>
        <w:pStyle w:val="133"/>
      </w:pPr>
      <w:r>
        <w:t>团雾路段智能引导，无人机通过灯光</w:t>
      </w:r>
      <w:r>
        <w:rPr>
          <w:rFonts w:hint="eastAsia"/>
        </w:rPr>
        <w:t>、</w:t>
      </w:r>
      <w:r>
        <w:t>广播引导车辆安全通行</w:t>
      </w:r>
      <w:r>
        <w:rPr>
          <w:rFonts w:hint="eastAsia"/>
        </w:rPr>
        <w:t>；</w:t>
      </w:r>
    </w:p>
    <w:p w14:paraId="580864AE">
      <w:pPr>
        <w:pStyle w:val="133"/>
      </w:pPr>
      <w:r>
        <w:rPr>
          <w:rFonts w:hint="eastAsia"/>
        </w:rPr>
        <w:t>通过无人机监测服务区车流情况，优化车流分配。</w:t>
      </w:r>
    </w:p>
    <w:p w14:paraId="02589650">
      <w:pPr>
        <w:pStyle w:val="106"/>
        <w:spacing w:before="156" w:after="156"/>
      </w:pPr>
      <w:bookmarkStart w:id="85" w:name="_Toc198042247"/>
      <w:r>
        <w:rPr>
          <w:rFonts w:hint="eastAsia"/>
        </w:rPr>
        <w:t>物流与设施维护</w:t>
      </w:r>
      <w:bookmarkEnd w:id="85"/>
    </w:p>
    <w:p w14:paraId="0FA83EB0">
      <w:pPr>
        <w:pStyle w:val="57"/>
        <w:ind w:firstLine="420"/>
      </w:pPr>
      <w:r>
        <w:rPr>
          <w:rFonts w:hint="eastAsia"/>
        </w:rPr>
        <w:t>物流与设施维护场景应用包括但不限于以下内容：</w:t>
      </w:r>
    </w:p>
    <w:p w14:paraId="562E1BD9">
      <w:pPr>
        <w:pStyle w:val="133"/>
      </w:pPr>
      <w:r>
        <w:rPr>
          <w:rFonts w:hint="eastAsia"/>
        </w:rPr>
        <w:t>可用于高速公路沿线的物流配送任务，提高配送效率；</w:t>
      </w:r>
    </w:p>
    <w:p w14:paraId="12400DC8">
      <w:pPr>
        <w:pStyle w:val="133"/>
      </w:pPr>
      <w:r>
        <w:rPr>
          <w:rFonts w:hint="eastAsia"/>
        </w:rPr>
        <w:t>可对高杆灯、摄像头、LED显示屏等设施进行巡查和维护，提高设施管理效率；</w:t>
      </w:r>
    </w:p>
    <w:p w14:paraId="7939109E">
      <w:pPr>
        <w:pStyle w:val="133"/>
      </w:pPr>
      <w:r>
        <w:rPr>
          <w:rFonts w:hint="eastAsia"/>
        </w:rPr>
        <w:t>通过无人机对绿化带进行精准喷洒和养护，提升绿化效果。</w:t>
      </w:r>
    </w:p>
    <w:p w14:paraId="76B96993">
      <w:pPr>
        <w:pStyle w:val="106"/>
        <w:spacing w:before="156" w:after="156"/>
      </w:pPr>
      <w:bookmarkStart w:id="86" w:name="_Toc198042248"/>
      <w:r>
        <w:rPr>
          <w:rFonts w:hint="eastAsia"/>
        </w:rPr>
        <w:t>辅助执法与行为监管</w:t>
      </w:r>
      <w:bookmarkEnd w:id="86"/>
    </w:p>
    <w:p w14:paraId="2D9DCC2A">
      <w:pPr>
        <w:pStyle w:val="57"/>
        <w:ind w:firstLine="420"/>
      </w:pPr>
      <w:r>
        <w:rPr>
          <w:rFonts w:hint="eastAsia"/>
        </w:rPr>
        <w:t>辅助执法与行为监管场景应用包括但不限于以下内容：</w:t>
      </w:r>
    </w:p>
    <w:p w14:paraId="733B2B85">
      <w:pPr>
        <w:pStyle w:val="133"/>
      </w:pPr>
      <w:bookmarkStart w:id="87" w:name="OLE_LINK25"/>
      <w:bookmarkStart w:id="88" w:name="OLE_LINK20"/>
      <w:r>
        <w:rPr>
          <w:rFonts w:hint="eastAsia"/>
        </w:rPr>
        <w:t>监测并记录高速公路上违停、占用应急车道、行人上路等行为，通过无人机喊话等进行疏导、劝离；</w:t>
      </w:r>
    </w:p>
    <w:bookmarkEnd w:id="87"/>
    <w:bookmarkEnd w:id="88"/>
    <w:p w14:paraId="536CB787">
      <w:pPr>
        <w:pStyle w:val="133"/>
      </w:pPr>
      <w:r>
        <w:rPr>
          <w:rFonts w:hint="eastAsia"/>
        </w:rPr>
        <w:t>通过无人机对车辆超载情况进行实时监控和抓拍。</w:t>
      </w:r>
    </w:p>
    <w:p w14:paraId="58126359">
      <w:pPr>
        <w:pStyle w:val="106"/>
        <w:spacing w:before="156" w:after="156"/>
      </w:pPr>
      <w:bookmarkStart w:id="89" w:name="_Toc198042249"/>
      <w:r>
        <w:rPr>
          <w:rFonts w:hint="eastAsia"/>
        </w:rPr>
        <w:t>特殊场景应用</w:t>
      </w:r>
      <w:bookmarkEnd w:id="89"/>
    </w:p>
    <w:p w14:paraId="2CD4D9F2">
      <w:pPr>
        <w:pStyle w:val="57"/>
        <w:ind w:firstLine="420"/>
      </w:pPr>
      <w:r>
        <w:rPr>
          <w:rFonts w:hint="eastAsia"/>
        </w:rPr>
        <w:t>特殊场景应用包括但不限于以下内容：</w:t>
      </w:r>
    </w:p>
    <w:p w14:paraId="0637500F">
      <w:pPr>
        <w:pStyle w:val="133"/>
      </w:pPr>
      <w:r>
        <w:rPr>
          <w:rFonts w:hint="eastAsia"/>
        </w:rPr>
        <w:t>可用于危化品泄漏现场的监测和应急响应，降低人员风险；</w:t>
      </w:r>
    </w:p>
    <w:p w14:paraId="5FEF4FF5">
      <w:pPr>
        <w:pStyle w:val="133"/>
      </w:pPr>
      <w:r>
        <w:rPr>
          <w:rFonts w:hint="eastAsia"/>
        </w:rPr>
        <w:t>在施工区域部署无人机进行实时监控，确保施工安全；</w:t>
      </w:r>
    </w:p>
    <w:p w14:paraId="5449AAC8">
      <w:pPr>
        <w:pStyle w:val="133"/>
      </w:pPr>
      <w:r>
        <w:rPr>
          <w:rFonts w:hint="eastAsia"/>
        </w:rPr>
        <w:t>可用于大型绿通车辆的查验工作，提高查验效率。</w:t>
      </w:r>
    </w:p>
    <w:p w14:paraId="07F0179A">
      <w:pPr>
        <w:pStyle w:val="133"/>
        <w:sectPr>
          <w:pgSz w:w="11906" w:h="16838"/>
          <w:pgMar w:top="1928" w:right="1134" w:bottom="1134" w:left="1134" w:header="1418" w:footer="1134" w:gutter="284"/>
          <w:cols w:space="425" w:num="1"/>
          <w:formProt w:val="0"/>
          <w:docGrid w:type="lines" w:linePitch="312" w:charSpace="0"/>
        </w:sectPr>
      </w:pPr>
    </w:p>
    <w:bookmarkEnd w:id="26"/>
    <w:p w14:paraId="5D7AF1AD">
      <w:pPr>
        <w:pStyle w:val="199"/>
        <w:rPr>
          <w:vanish w:val="0"/>
        </w:rPr>
      </w:pPr>
      <w:bookmarkStart w:id="90" w:name="BookMark5"/>
    </w:p>
    <w:p w14:paraId="7DADFC9E">
      <w:pPr>
        <w:pStyle w:val="200"/>
        <w:rPr>
          <w:vanish w:val="0"/>
        </w:rPr>
      </w:pPr>
    </w:p>
    <w:p w14:paraId="05C1DA8B">
      <w:pPr>
        <w:pStyle w:val="199"/>
      </w:pPr>
    </w:p>
    <w:p w14:paraId="7C2423BA">
      <w:pPr>
        <w:pStyle w:val="200"/>
      </w:pPr>
    </w:p>
    <w:bookmarkEnd w:id="90"/>
    <w:p w14:paraId="52CE850F">
      <w:pPr>
        <w:pStyle w:val="64"/>
        <w:spacing w:after="156"/>
      </w:pPr>
      <w:bookmarkStart w:id="91" w:name="_Toc198042250"/>
      <w:bookmarkStart w:id="92" w:name="BookMark6"/>
      <w:r>
        <w:rPr>
          <w:rFonts w:hint="eastAsia"/>
          <w:spacing w:val="105"/>
        </w:rPr>
        <w:t>参考文</w:t>
      </w:r>
      <w:r>
        <w:rPr>
          <w:rFonts w:hint="eastAsia"/>
        </w:rPr>
        <w:t>献</w:t>
      </w:r>
      <w:bookmarkEnd w:id="91"/>
    </w:p>
    <w:p w14:paraId="1746C3EE">
      <w:pPr>
        <w:pStyle w:val="57"/>
        <w:ind w:firstLine="420"/>
      </w:pPr>
    </w:p>
    <w:p w14:paraId="5CE986E7">
      <w:pPr>
        <w:pStyle w:val="57"/>
        <w:ind w:firstLine="420"/>
      </w:pPr>
    </w:p>
    <w:p w14:paraId="78272120">
      <w:pPr>
        <w:pStyle w:val="57"/>
        <w:ind w:firstLine="420"/>
      </w:pPr>
      <w:r>
        <w:rPr>
          <w:rFonts w:hint="eastAsia"/>
        </w:rPr>
        <w:t>[1]《安徽省数据安全管理办法》</w:t>
      </w:r>
    </w:p>
    <w:p w14:paraId="472FFFD4">
      <w:pPr>
        <w:pStyle w:val="57"/>
        <w:ind w:firstLine="420"/>
      </w:pPr>
      <w:r>
        <w:rPr>
          <w:rFonts w:hint="eastAsia"/>
        </w:rPr>
        <w:t>[2]《无人驾驶航空器飞行管理暂行条例》</w:t>
      </w:r>
    </w:p>
    <w:p w14:paraId="72C3BDC3">
      <w:pPr>
        <w:pStyle w:val="57"/>
        <w:ind w:firstLine="420"/>
      </w:pPr>
    </w:p>
    <w:bookmarkEnd w:id="92"/>
    <w:p w14:paraId="17467C7B">
      <w:pPr>
        <w:pStyle w:val="57"/>
        <w:ind w:firstLine="0" w:firstLineChars="0"/>
        <w:jc w:val="center"/>
      </w:pPr>
      <w:bookmarkStart w:id="93" w:name="BookMark8"/>
      <w:r>
        <w:drawing>
          <wp:inline distT="0" distB="0" distL="0" distR="0">
            <wp:extent cx="1485900" cy="317500"/>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stretch>
                      <a:fillRect/>
                    </a:stretch>
                  </pic:blipFill>
                  <pic:spPr>
                    <a:xfrm>
                      <a:off x="0" y="0"/>
                      <a:ext cx="1485900" cy="317500"/>
                    </a:xfrm>
                    <a:prstGeom prst="rect">
                      <a:avLst/>
                    </a:prstGeom>
                  </pic:spPr>
                </pic:pic>
              </a:graphicData>
            </a:graphic>
          </wp:inline>
        </w:drawing>
      </w:r>
      <w:bookmarkEnd w:id="93"/>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D35DC4">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55E67">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1A01E">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B89B03">
    <w:pPr>
      <w:pStyle w:val="53"/>
    </w:pPr>
    <w:r>
      <w:fldChar w:fldCharType="begin"/>
    </w:r>
    <w:r>
      <w:instrText xml:space="preserve">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048483">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1DD8DD">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9A100">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7D179">
    <w:pPr>
      <w:pStyle w:val="62"/>
    </w:pPr>
    <w:r>
      <w:fldChar w:fldCharType="begin"/>
    </w:r>
    <w:r>
      <w:instrText xml:space="preserve"> STYLEREF  标准文件_文件编号  \* MERGEFORMAT </w:instrText>
    </w:r>
    <w:r>
      <w:fldChar w:fldCharType="separate"/>
    </w:r>
    <w:r>
      <w:t>DB34/TXXXX—XXXX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EC94B">
    <w:pPr>
      <w:pStyle w:val="18"/>
      <w:jc w:val="right"/>
      <w:rPr>
        <w:lang w:val="fr-FR"/>
      </w:rPr>
    </w:pPr>
    <w:r>
      <w:fldChar w:fldCharType="begin"/>
    </w:r>
    <w:r>
      <w:instrText xml:space="preserve"> STYLEREF  标准文件_文件编号  \* MERGEFORMAT </w:instrText>
    </w:r>
    <w:r>
      <w:fldChar w:fldCharType="separate"/>
    </w:r>
    <w:r>
      <w:t>DB34/TXXXX—XXXX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attachedTemplate r:id="rId1"/>
  <w:documentProtection w:edit="forms"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FC255D"/>
    <w:rsid w:val="0000040A"/>
    <w:rsid w:val="00000A94"/>
    <w:rsid w:val="00001972"/>
    <w:rsid w:val="00001D9A"/>
    <w:rsid w:val="00007B3A"/>
    <w:rsid w:val="000107E0"/>
    <w:rsid w:val="00011FDE"/>
    <w:rsid w:val="00012FFD"/>
    <w:rsid w:val="00014162"/>
    <w:rsid w:val="00014340"/>
    <w:rsid w:val="00016A9C"/>
    <w:rsid w:val="00020486"/>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11BC"/>
    <w:rsid w:val="001321C6"/>
    <w:rsid w:val="001325C4"/>
    <w:rsid w:val="00133010"/>
    <w:rsid w:val="001338EE"/>
    <w:rsid w:val="00133AAE"/>
    <w:rsid w:val="00135323"/>
    <w:rsid w:val="001356C4"/>
    <w:rsid w:val="00141114"/>
    <w:rsid w:val="001413DF"/>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1233"/>
    <w:rsid w:val="0018150D"/>
    <w:rsid w:val="001842C6"/>
    <w:rsid w:val="001852C9"/>
    <w:rsid w:val="00190087"/>
    <w:rsid w:val="001906CA"/>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1B32"/>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50AB"/>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A44"/>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36F4"/>
    <w:rsid w:val="003C5A43"/>
    <w:rsid w:val="003D0519"/>
    <w:rsid w:val="003D0FF6"/>
    <w:rsid w:val="003D262C"/>
    <w:rsid w:val="003D6D61"/>
    <w:rsid w:val="003D79C6"/>
    <w:rsid w:val="003E091D"/>
    <w:rsid w:val="003E1C53"/>
    <w:rsid w:val="003E2A69"/>
    <w:rsid w:val="003E2D49"/>
    <w:rsid w:val="003E2FD4"/>
    <w:rsid w:val="003E3BEE"/>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1B4E"/>
    <w:rsid w:val="00432DAA"/>
    <w:rsid w:val="00434305"/>
    <w:rsid w:val="00435DF7"/>
    <w:rsid w:val="0043640C"/>
    <w:rsid w:val="0044083F"/>
    <w:rsid w:val="00441AE7"/>
    <w:rsid w:val="00445574"/>
    <w:rsid w:val="004467FB"/>
    <w:rsid w:val="00452D6B"/>
    <w:rsid w:val="00454484"/>
    <w:rsid w:val="0045517B"/>
    <w:rsid w:val="00457FB1"/>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71B4"/>
    <w:rsid w:val="004A0144"/>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2966"/>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6B9"/>
    <w:rsid w:val="005B0F3F"/>
    <w:rsid w:val="005B4903"/>
    <w:rsid w:val="005B51CE"/>
    <w:rsid w:val="005B5885"/>
    <w:rsid w:val="005B5CD7"/>
    <w:rsid w:val="005B6CF6"/>
    <w:rsid w:val="005B7422"/>
    <w:rsid w:val="005C29B8"/>
    <w:rsid w:val="005C5F21"/>
    <w:rsid w:val="005C7156"/>
    <w:rsid w:val="005D0C75"/>
    <w:rsid w:val="005D4171"/>
    <w:rsid w:val="005D4B40"/>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1CB2"/>
    <w:rsid w:val="006252D8"/>
    <w:rsid w:val="006259BC"/>
    <w:rsid w:val="0062636B"/>
    <w:rsid w:val="00632182"/>
    <w:rsid w:val="00632AE0"/>
    <w:rsid w:val="00633C17"/>
    <w:rsid w:val="00634D9E"/>
    <w:rsid w:val="006369B3"/>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3A63"/>
    <w:rsid w:val="006770F4"/>
    <w:rsid w:val="00677A84"/>
    <w:rsid w:val="0068026D"/>
    <w:rsid w:val="00680A27"/>
    <w:rsid w:val="006816A4"/>
    <w:rsid w:val="006819B8"/>
    <w:rsid w:val="006840A6"/>
    <w:rsid w:val="006850CD"/>
    <w:rsid w:val="00685AAB"/>
    <w:rsid w:val="006912F0"/>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09D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58CD"/>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688B"/>
    <w:rsid w:val="007671CA"/>
    <w:rsid w:val="00767C61"/>
    <w:rsid w:val="0077008A"/>
    <w:rsid w:val="00773C1F"/>
    <w:rsid w:val="00774DA4"/>
    <w:rsid w:val="00776599"/>
    <w:rsid w:val="007801CA"/>
    <w:rsid w:val="0078114B"/>
    <w:rsid w:val="00781DD2"/>
    <w:rsid w:val="00783ECF"/>
    <w:rsid w:val="0078413A"/>
    <w:rsid w:val="00787BB3"/>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1E57"/>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7A6"/>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100"/>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67C"/>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7D5C"/>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7F9"/>
    <w:rsid w:val="00A31984"/>
    <w:rsid w:val="00A3236A"/>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170"/>
    <w:rsid w:val="00A8446B"/>
    <w:rsid w:val="00A8473F"/>
    <w:rsid w:val="00A862D6"/>
    <w:rsid w:val="00A8715E"/>
    <w:rsid w:val="00A87215"/>
    <w:rsid w:val="00A9295B"/>
    <w:rsid w:val="00A93B09"/>
    <w:rsid w:val="00A94247"/>
    <w:rsid w:val="00A952D7"/>
    <w:rsid w:val="00A963F7"/>
    <w:rsid w:val="00A96AD8"/>
    <w:rsid w:val="00AA052C"/>
    <w:rsid w:val="00AA1E45"/>
    <w:rsid w:val="00AA4286"/>
    <w:rsid w:val="00AA456B"/>
    <w:rsid w:val="00AA57F5"/>
    <w:rsid w:val="00AA672E"/>
    <w:rsid w:val="00AA6EC9"/>
    <w:rsid w:val="00AB305D"/>
    <w:rsid w:val="00AB41D5"/>
    <w:rsid w:val="00AB6309"/>
    <w:rsid w:val="00AB6C5F"/>
    <w:rsid w:val="00AB7129"/>
    <w:rsid w:val="00AC27A6"/>
    <w:rsid w:val="00AC30F7"/>
    <w:rsid w:val="00AC3A5A"/>
    <w:rsid w:val="00AC4D95"/>
    <w:rsid w:val="00AC5DF4"/>
    <w:rsid w:val="00AC6F87"/>
    <w:rsid w:val="00AD0AEF"/>
    <w:rsid w:val="00AD0BC3"/>
    <w:rsid w:val="00AD11B7"/>
    <w:rsid w:val="00AD1A94"/>
    <w:rsid w:val="00AD1C05"/>
    <w:rsid w:val="00AD4126"/>
    <w:rsid w:val="00AD421C"/>
    <w:rsid w:val="00AD44FA"/>
    <w:rsid w:val="00AE070A"/>
    <w:rsid w:val="00AE101C"/>
    <w:rsid w:val="00AE37E5"/>
    <w:rsid w:val="00AE45B5"/>
    <w:rsid w:val="00AE5EB4"/>
    <w:rsid w:val="00AF0C18"/>
    <w:rsid w:val="00AF47C5"/>
    <w:rsid w:val="00AF5398"/>
    <w:rsid w:val="00B00CD2"/>
    <w:rsid w:val="00B049AF"/>
    <w:rsid w:val="00B07242"/>
    <w:rsid w:val="00B10534"/>
    <w:rsid w:val="00B113DB"/>
    <w:rsid w:val="00B11D8A"/>
    <w:rsid w:val="00B12981"/>
    <w:rsid w:val="00B1399A"/>
    <w:rsid w:val="00B147DD"/>
    <w:rsid w:val="00B156FD"/>
    <w:rsid w:val="00B21F61"/>
    <w:rsid w:val="00B261F1"/>
    <w:rsid w:val="00B265BC"/>
    <w:rsid w:val="00B27A54"/>
    <w:rsid w:val="00B31FB1"/>
    <w:rsid w:val="00B33952"/>
    <w:rsid w:val="00B33C5E"/>
    <w:rsid w:val="00B342F4"/>
    <w:rsid w:val="00B34369"/>
    <w:rsid w:val="00B34DC2"/>
    <w:rsid w:val="00B35426"/>
    <w:rsid w:val="00B378E5"/>
    <w:rsid w:val="00B41DA9"/>
    <w:rsid w:val="00B4346D"/>
    <w:rsid w:val="00B440F4"/>
    <w:rsid w:val="00B447A5"/>
    <w:rsid w:val="00B4654C"/>
    <w:rsid w:val="00B46AF0"/>
    <w:rsid w:val="00B47293"/>
    <w:rsid w:val="00B50E50"/>
    <w:rsid w:val="00B51D13"/>
    <w:rsid w:val="00B52120"/>
    <w:rsid w:val="00B54ABC"/>
    <w:rsid w:val="00B54DDE"/>
    <w:rsid w:val="00B56123"/>
    <w:rsid w:val="00B56FBE"/>
    <w:rsid w:val="00B60ACF"/>
    <w:rsid w:val="00B62B58"/>
    <w:rsid w:val="00B65149"/>
    <w:rsid w:val="00B65FF8"/>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4AE"/>
    <w:rsid w:val="00BA58D4"/>
    <w:rsid w:val="00BA5B9E"/>
    <w:rsid w:val="00BA7C9A"/>
    <w:rsid w:val="00BB178F"/>
    <w:rsid w:val="00BB203B"/>
    <w:rsid w:val="00BB5F8F"/>
    <w:rsid w:val="00BB657A"/>
    <w:rsid w:val="00BB7162"/>
    <w:rsid w:val="00BC1A4E"/>
    <w:rsid w:val="00BC4790"/>
    <w:rsid w:val="00BC5DC7"/>
    <w:rsid w:val="00BC6B8B"/>
    <w:rsid w:val="00BC73D8"/>
    <w:rsid w:val="00BD52D7"/>
    <w:rsid w:val="00BD5AD2"/>
    <w:rsid w:val="00BE22F3"/>
    <w:rsid w:val="00BE5393"/>
    <w:rsid w:val="00BE5B52"/>
    <w:rsid w:val="00BE7B8D"/>
    <w:rsid w:val="00BF0993"/>
    <w:rsid w:val="00BF10A9"/>
    <w:rsid w:val="00BF1703"/>
    <w:rsid w:val="00BF231C"/>
    <w:rsid w:val="00BF51E5"/>
    <w:rsid w:val="00BF74A6"/>
    <w:rsid w:val="00C013AD"/>
    <w:rsid w:val="00C04904"/>
    <w:rsid w:val="00C05535"/>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293"/>
    <w:rsid w:val="00CE0C4F"/>
    <w:rsid w:val="00CE30EA"/>
    <w:rsid w:val="00CF048A"/>
    <w:rsid w:val="00CF155A"/>
    <w:rsid w:val="00CF2947"/>
    <w:rsid w:val="00CF686F"/>
    <w:rsid w:val="00CF6E60"/>
    <w:rsid w:val="00CF7BCA"/>
    <w:rsid w:val="00D00108"/>
    <w:rsid w:val="00D008FD"/>
    <w:rsid w:val="00D0321C"/>
    <w:rsid w:val="00D035EC"/>
    <w:rsid w:val="00D06AB1"/>
    <w:rsid w:val="00D072ED"/>
    <w:rsid w:val="00D07A16"/>
    <w:rsid w:val="00D1067E"/>
    <w:rsid w:val="00D10F50"/>
    <w:rsid w:val="00D11272"/>
    <w:rsid w:val="00D126F5"/>
    <w:rsid w:val="00D1489E"/>
    <w:rsid w:val="00D168E6"/>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4311"/>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06EC"/>
    <w:rsid w:val="00E01138"/>
    <w:rsid w:val="00E02DFB"/>
    <w:rsid w:val="00E030F9"/>
    <w:rsid w:val="00E0311A"/>
    <w:rsid w:val="00E03138"/>
    <w:rsid w:val="00E06404"/>
    <w:rsid w:val="00E065D2"/>
    <w:rsid w:val="00E07EC7"/>
    <w:rsid w:val="00E11A85"/>
    <w:rsid w:val="00E12495"/>
    <w:rsid w:val="00E15CCD"/>
    <w:rsid w:val="00E202EF"/>
    <w:rsid w:val="00E210B5"/>
    <w:rsid w:val="00E23D99"/>
    <w:rsid w:val="00E2552F"/>
    <w:rsid w:val="00E3137A"/>
    <w:rsid w:val="00E32CCF"/>
    <w:rsid w:val="00E34A98"/>
    <w:rsid w:val="00E34D8E"/>
    <w:rsid w:val="00E35D1E"/>
    <w:rsid w:val="00E364F9"/>
    <w:rsid w:val="00E365FA"/>
    <w:rsid w:val="00E36789"/>
    <w:rsid w:val="00E44A83"/>
    <w:rsid w:val="00E502C1"/>
    <w:rsid w:val="00E502DD"/>
    <w:rsid w:val="00E50D3A"/>
    <w:rsid w:val="00E51387"/>
    <w:rsid w:val="00E51E68"/>
    <w:rsid w:val="00E528F9"/>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1CC3"/>
    <w:rsid w:val="00ED2B50"/>
    <w:rsid w:val="00ED4039"/>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00A"/>
    <w:rsid w:val="00F86D87"/>
    <w:rsid w:val="00F9108B"/>
    <w:rsid w:val="00F91349"/>
    <w:rsid w:val="00F93A8A"/>
    <w:rsid w:val="00F95248"/>
    <w:rsid w:val="00F956A9"/>
    <w:rsid w:val="00F963ED"/>
    <w:rsid w:val="00F966CF"/>
    <w:rsid w:val="00F96CAE"/>
    <w:rsid w:val="00F97C99"/>
    <w:rsid w:val="00FA226D"/>
    <w:rsid w:val="00FA4DAC"/>
    <w:rsid w:val="00FA662D"/>
    <w:rsid w:val="00FA73B1"/>
    <w:rsid w:val="00FB0CB9"/>
    <w:rsid w:val="00FB231D"/>
    <w:rsid w:val="00FB45F1"/>
    <w:rsid w:val="00FB4A72"/>
    <w:rsid w:val="00FB54E8"/>
    <w:rsid w:val="00FB7054"/>
    <w:rsid w:val="00FB78BB"/>
    <w:rsid w:val="00FC17B7"/>
    <w:rsid w:val="00FC255D"/>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395070"/>
    <w:rsid w:val="018E1521"/>
    <w:rsid w:val="05461491"/>
    <w:rsid w:val="09021A7E"/>
    <w:rsid w:val="0AB06448"/>
    <w:rsid w:val="0CF635B8"/>
    <w:rsid w:val="0D643ADB"/>
    <w:rsid w:val="0E714154"/>
    <w:rsid w:val="10D944B8"/>
    <w:rsid w:val="11BD2474"/>
    <w:rsid w:val="126857B5"/>
    <w:rsid w:val="127A2F70"/>
    <w:rsid w:val="140339C4"/>
    <w:rsid w:val="15A32223"/>
    <w:rsid w:val="16E55624"/>
    <w:rsid w:val="19404698"/>
    <w:rsid w:val="19515DC3"/>
    <w:rsid w:val="1A337E47"/>
    <w:rsid w:val="1D537924"/>
    <w:rsid w:val="1F045F73"/>
    <w:rsid w:val="21DF17AC"/>
    <w:rsid w:val="22290091"/>
    <w:rsid w:val="223A7D52"/>
    <w:rsid w:val="22462FDE"/>
    <w:rsid w:val="28686902"/>
    <w:rsid w:val="2B84177B"/>
    <w:rsid w:val="2CC47572"/>
    <w:rsid w:val="2D4B565F"/>
    <w:rsid w:val="30760C45"/>
    <w:rsid w:val="30BC064A"/>
    <w:rsid w:val="315169EA"/>
    <w:rsid w:val="316422E9"/>
    <w:rsid w:val="31D2331D"/>
    <w:rsid w:val="325E7603"/>
    <w:rsid w:val="33E23283"/>
    <w:rsid w:val="37D93917"/>
    <w:rsid w:val="3C925059"/>
    <w:rsid w:val="41217879"/>
    <w:rsid w:val="420A275E"/>
    <w:rsid w:val="424C5CAA"/>
    <w:rsid w:val="43601C11"/>
    <w:rsid w:val="441A289F"/>
    <w:rsid w:val="448A0E85"/>
    <w:rsid w:val="453F38A4"/>
    <w:rsid w:val="4689732E"/>
    <w:rsid w:val="48F85764"/>
    <w:rsid w:val="4A504281"/>
    <w:rsid w:val="4D581098"/>
    <w:rsid w:val="52E755E5"/>
    <w:rsid w:val="58F36CDD"/>
    <w:rsid w:val="5B6C3949"/>
    <w:rsid w:val="64B64299"/>
    <w:rsid w:val="659E18C2"/>
    <w:rsid w:val="6F190B3E"/>
    <w:rsid w:val="6F321E02"/>
    <w:rsid w:val="708A484C"/>
    <w:rsid w:val="734737A0"/>
    <w:rsid w:val="734913F6"/>
    <w:rsid w:val="74A55E66"/>
    <w:rsid w:val="7D80222B"/>
    <w:rsid w:val="7F1D4A4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Char"/>
    <w:link w:val="2"/>
    <w:qFormat/>
    <w:uiPriority w:val="0"/>
    <w:rPr>
      <w:b/>
      <w:bCs/>
      <w:kern w:val="44"/>
      <w:sz w:val="44"/>
      <w:szCs w:val="44"/>
    </w:rPr>
  </w:style>
  <w:style w:type="character" w:customStyle="1" w:styleId="36">
    <w:name w:val="标题 2 Char"/>
    <w:link w:val="3"/>
    <w:qFormat/>
    <w:uiPriority w:val="0"/>
    <w:rPr>
      <w:rFonts w:ascii="Arial" w:hAnsi="Arial" w:eastAsia="黑体"/>
      <w:b/>
      <w:bCs/>
      <w:kern w:val="2"/>
      <w:sz w:val="32"/>
      <w:szCs w:val="32"/>
    </w:rPr>
  </w:style>
  <w:style w:type="character" w:customStyle="1" w:styleId="37">
    <w:name w:val="标题 3 Char"/>
    <w:link w:val="4"/>
    <w:qFormat/>
    <w:uiPriority w:val="0"/>
    <w:rPr>
      <w:b/>
      <w:bCs/>
      <w:kern w:val="2"/>
      <w:sz w:val="32"/>
      <w:szCs w:val="32"/>
    </w:rPr>
  </w:style>
  <w:style w:type="character" w:customStyle="1" w:styleId="38">
    <w:name w:val="标题 4 Char"/>
    <w:link w:val="5"/>
    <w:qFormat/>
    <w:uiPriority w:val="0"/>
    <w:rPr>
      <w:rFonts w:ascii="Arial" w:hAnsi="Arial" w:eastAsia="黑体"/>
      <w:b/>
      <w:bCs/>
      <w:kern w:val="2"/>
      <w:sz w:val="28"/>
      <w:szCs w:val="28"/>
    </w:rPr>
  </w:style>
  <w:style w:type="character" w:customStyle="1" w:styleId="39">
    <w:name w:val="标题 5 Char"/>
    <w:link w:val="6"/>
    <w:qFormat/>
    <w:uiPriority w:val="0"/>
    <w:rPr>
      <w:b/>
      <w:bCs/>
      <w:kern w:val="2"/>
      <w:sz w:val="28"/>
      <w:szCs w:val="28"/>
    </w:rPr>
  </w:style>
  <w:style w:type="character" w:customStyle="1" w:styleId="40">
    <w:name w:val="标题 6 Char"/>
    <w:link w:val="7"/>
    <w:qFormat/>
    <w:uiPriority w:val="0"/>
    <w:rPr>
      <w:rFonts w:ascii="Arial" w:hAnsi="Arial" w:eastAsia="黑体"/>
      <w:b/>
      <w:bCs/>
      <w:kern w:val="2"/>
      <w:sz w:val="24"/>
      <w:szCs w:val="24"/>
    </w:rPr>
  </w:style>
  <w:style w:type="character" w:customStyle="1" w:styleId="41">
    <w:name w:val="标题 7 Char"/>
    <w:link w:val="8"/>
    <w:qFormat/>
    <w:uiPriority w:val="0"/>
    <w:rPr>
      <w:b/>
      <w:bCs/>
      <w:kern w:val="2"/>
      <w:sz w:val="24"/>
      <w:szCs w:val="24"/>
    </w:rPr>
  </w:style>
  <w:style w:type="character" w:customStyle="1" w:styleId="42">
    <w:name w:val="标题 8 Char"/>
    <w:link w:val="9"/>
    <w:qFormat/>
    <w:uiPriority w:val="0"/>
    <w:rPr>
      <w:rFonts w:ascii="Arial" w:hAnsi="Arial" w:eastAsia="黑体"/>
      <w:kern w:val="2"/>
      <w:sz w:val="24"/>
      <w:szCs w:val="24"/>
    </w:rPr>
  </w:style>
  <w:style w:type="character" w:customStyle="1" w:styleId="43">
    <w:name w:val="标题 9 Char"/>
    <w:link w:val="10"/>
    <w:qFormat/>
    <w:uiPriority w:val="0"/>
    <w:rPr>
      <w:rFonts w:ascii="Arial" w:hAnsi="Arial" w:eastAsia="黑体"/>
      <w:kern w:val="2"/>
      <w:sz w:val="21"/>
      <w:szCs w:val="21"/>
    </w:rPr>
  </w:style>
  <w:style w:type="character" w:customStyle="1" w:styleId="44">
    <w:name w:val="页眉 Char"/>
    <w:link w:val="18"/>
    <w:qFormat/>
    <w:uiPriority w:val="99"/>
    <w:rPr>
      <w:kern w:val="2"/>
      <w:sz w:val="18"/>
      <w:szCs w:val="18"/>
    </w:rPr>
  </w:style>
  <w:style w:type="character" w:customStyle="1" w:styleId="45">
    <w:name w:val="页脚 Char"/>
    <w:link w:val="17"/>
    <w:qFormat/>
    <w:uiPriority w:val="99"/>
    <w:rPr>
      <w:rFonts w:ascii="宋体"/>
      <w:kern w:val="2"/>
      <w:sz w:val="18"/>
      <w:szCs w:val="18"/>
    </w:rPr>
  </w:style>
  <w:style w:type="character" w:customStyle="1" w:styleId="46">
    <w:name w:val="批注框文本 Char"/>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Char"/>
    <w:link w:val="47"/>
    <w:qFormat/>
    <w:uiPriority w:val="29"/>
    <w:rPr>
      <w:i/>
      <w:iCs/>
      <w:color w:val="000000"/>
      <w:kern w:val="2"/>
      <w:sz w:val="21"/>
      <w:szCs w:val="21"/>
    </w:rPr>
  </w:style>
  <w:style w:type="character" w:customStyle="1" w:styleId="49">
    <w:name w:val="标题 Char"/>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Lines="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qFormat/>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正文表标题"/>
    <w:basedOn w:val="1"/>
    <w:next w:val="1"/>
    <w:qFormat/>
    <w:uiPriority w:val="0"/>
    <w:pPr>
      <w:widowControl/>
      <w:tabs>
        <w:tab w:val="left" w:pos="360"/>
      </w:tabs>
      <w:adjustRightInd/>
      <w:spacing w:beforeLines="50" w:afterLines="50" w:line="240" w:lineRule="auto"/>
      <w:jc w:val="center"/>
    </w:pPr>
    <w:rPr>
      <w:rFonts w:ascii="黑体" w:hAnsi="Times New Roman" w:eastAsia="黑体"/>
      <w:kern w:val="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3AD804BCA3743ED95C2ED50766CC358"/>
        <w:style w:val=""/>
        <w:category>
          <w:name w:val="常规"/>
          <w:gallery w:val="placeholder"/>
        </w:category>
        <w:types>
          <w:type w:val="bbPlcHdr"/>
        </w:types>
        <w:behaviors>
          <w:behavior w:val="content"/>
        </w:behaviors>
        <w:description w:val=""/>
        <w:guid w:val="{2EAC3875-57EF-477B-BBC0-2AB5B38FA38D}"/>
      </w:docPartPr>
      <w:docPartBody>
        <w:p w14:paraId="64B4DA4C">
          <w:pPr>
            <w:pStyle w:val="5"/>
          </w:pPr>
          <w:r>
            <w:rPr>
              <w:rStyle w:val="4"/>
              <w:rFonts w:hint="eastAsia"/>
            </w:rPr>
            <w:t>单击或点击此处输入文字。</w:t>
          </w:r>
        </w:p>
      </w:docPartBody>
    </w:docPart>
    <w:docPart>
      <w:docPartPr>
        <w:name w:val="A9D4A6CFEEAD4F678650F9E69EBCFDDB"/>
        <w:style w:val=""/>
        <w:category>
          <w:name w:val="常规"/>
          <w:gallery w:val="placeholder"/>
        </w:category>
        <w:types>
          <w:type w:val="bbPlcHdr"/>
        </w:types>
        <w:behaviors>
          <w:behavior w:val="content"/>
        </w:behaviors>
        <w:description w:val=""/>
        <w:guid w:val="{F35B8A31-C2A6-4289-8AFA-0F81BF094F65}"/>
      </w:docPartPr>
      <w:docPartBody>
        <w:p w14:paraId="2A48B6A2">
          <w:pPr>
            <w:pStyle w:val="6"/>
          </w:pPr>
          <w:r>
            <w:rPr>
              <w:rStyle w:val="4"/>
              <w:rFonts w:hint="eastAsia"/>
            </w:rPr>
            <w:t>选择一项。</w:t>
          </w:r>
        </w:p>
      </w:docPartBody>
    </w:docPart>
    <w:docPart>
      <w:docPartPr>
        <w:name w:val="0D29C746067C44F4876B0BA554DC38DC"/>
        <w:style w:val=""/>
        <w:category>
          <w:name w:val="常规"/>
          <w:gallery w:val="placeholder"/>
        </w:category>
        <w:types>
          <w:type w:val="bbPlcHdr"/>
        </w:types>
        <w:behaviors>
          <w:behavior w:val="content"/>
        </w:behaviors>
        <w:description w:val=""/>
        <w:guid w:val="{30D86499-4005-4468-BB4C-B97B7773B333}"/>
      </w:docPartPr>
      <w:docPartBody>
        <w:p w14:paraId="5D38B656">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66F06"/>
    <w:rsid w:val="001B3694"/>
    <w:rsid w:val="002F47B0"/>
    <w:rsid w:val="00313C0E"/>
    <w:rsid w:val="0036478C"/>
    <w:rsid w:val="003A777B"/>
    <w:rsid w:val="003E4FFE"/>
    <w:rsid w:val="00454C5E"/>
    <w:rsid w:val="00457FB1"/>
    <w:rsid w:val="00466F06"/>
    <w:rsid w:val="007217CB"/>
    <w:rsid w:val="007B02B3"/>
    <w:rsid w:val="008611C7"/>
    <w:rsid w:val="00BC0713"/>
    <w:rsid w:val="00C57298"/>
    <w:rsid w:val="00D33367"/>
    <w:rsid w:val="00DE7D3D"/>
    <w:rsid w:val="00F8448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D3AD804BCA3743ED95C2ED50766CC358"/>
    <w:qFormat/>
    <w:uiPriority w:val="0"/>
    <w:pPr>
      <w:widowControl w:val="0"/>
      <w:spacing w:after="160" w:line="278" w:lineRule="auto"/>
    </w:pPr>
    <w:rPr>
      <w:rFonts w:asciiTheme="minorHAnsi" w:hAnsiTheme="minorHAnsi" w:eastAsiaTheme="minorEastAsia" w:cstheme="minorBidi"/>
      <w:kern w:val="2"/>
      <w:sz w:val="22"/>
      <w:szCs w:val="24"/>
      <w:lang w:val="en-US" w:eastAsia="zh-CN" w:bidi="ar-SA"/>
    </w:rPr>
  </w:style>
  <w:style w:type="paragraph" w:customStyle="1" w:styleId="6">
    <w:name w:val="A9D4A6CFEEAD4F678650F9E69EBCFDDB"/>
    <w:qFormat/>
    <w:uiPriority w:val="0"/>
    <w:pPr>
      <w:widowControl w:val="0"/>
      <w:spacing w:after="160" w:line="278" w:lineRule="auto"/>
    </w:pPr>
    <w:rPr>
      <w:rFonts w:asciiTheme="minorHAnsi" w:hAnsiTheme="minorHAnsi" w:eastAsiaTheme="minorEastAsia" w:cstheme="minorBidi"/>
      <w:kern w:val="2"/>
      <w:sz w:val="22"/>
      <w:szCs w:val="24"/>
      <w:lang w:val="en-US" w:eastAsia="zh-CN" w:bidi="ar-SA"/>
    </w:rPr>
  </w:style>
  <w:style w:type="paragraph" w:customStyle="1" w:styleId="7">
    <w:name w:val="0D29C746067C44F4876B0BA554DC38DC"/>
    <w:qFormat/>
    <w:uiPriority w:val="0"/>
    <w:pPr>
      <w:widowControl w:val="0"/>
      <w:spacing w:after="160" w:line="278" w:lineRule="auto"/>
    </w:pPr>
    <w:rPr>
      <w:rFonts w:asciiTheme="minorHAnsi" w:hAnsiTheme="minorHAnsi" w:eastAsiaTheme="minorEastAsia" w:cstheme="minorBidi"/>
      <w:kern w:val="2"/>
      <w:sz w:val="22"/>
      <w:szCs w:val="24"/>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8</Pages>
  <Words>3070</Words>
  <Characters>3355</Characters>
  <Lines>39</Lines>
  <Paragraphs>11</Paragraphs>
  <TotalTime>3</TotalTime>
  <ScaleCrop>false</ScaleCrop>
  <LinksUpToDate>false</LinksUpToDate>
  <CharactersWithSpaces>3437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2025-04-10T06:12:00Z</dcterms:created>
  <dc:creator>汪代俊（公文收发）</dc:creator>
  <dc:description>&lt;config cover="true" show_menu="true" version="1.0.0" doctype="SDKXY"&gt;_x000d_
&lt;/config&gt;</dc:description>
  <cp:lastModifiedBy>忐忑</cp:lastModifiedBy>
  <cp:lastPrinted>2020-08-30T10:00:00Z</cp:lastPrinted>
  <dcterms:modified xsi:type="dcterms:W3CDTF">2025-06-17T02:27:10Z</dcterms:modified>
  <dc:title>地方标准</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eyJoZGlkIjoiMjE1MGZmOTRhZjllMGExZDlkZTMzYmYzNTljMTkwODUiLCJ1c2VySWQiOiI0MzYwMTU0NjQifQ==</vt:lpwstr>
  </property>
  <property fmtid="{D5CDD505-2E9C-101B-9397-08002B2CF9AE}" pid="15" name="KSOProductBuildVer">
    <vt:lpwstr>2052-12.1.0.21541</vt:lpwstr>
  </property>
  <property fmtid="{D5CDD505-2E9C-101B-9397-08002B2CF9AE}" pid="16" name="ICV">
    <vt:lpwstr>E95C89C8B288465983CE0971D59F45D9_12</vt:lpwstr>
  </property>
</Properties>
</file>