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spacing w:line="560" w:lineRule="exact"/>
        <w:jc w:val="center"/>
        <w:rPr>
          <w:rFonts w:hint="default" w:ascii="Times New Roman" w:hAnsi="Times New Roman" w:eastAsia="方正小标宋简体" w:cs="Times New Roman"/>
          <w:bCs/>
          <w:color w:val="auto"/>
          <w:sz w:val="44"/>
          <w:szCs w:val="44"/>
        </w:rPr>
      </w:pPr>
    </w:p>
    <w:p>
      <w:pPr>
        <w:spacing w:line="7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w:t>
      </w:r>
      <w:r>
        <w:rPr>
          <w:rFonts w:hint="default" w:ascii="Times New Roman" w:hAnsi="Times New Roman" w:eastAsia="方正小标宋简体" w:cs="Times New Roman"/>
          <w:bCs/>
          <w:color w:val="auto"/>
          <w:sz w:val="44"/>
          <w:szCs w:val="44"/>
          <w:lang w:val="en-US"/>
        </w:rPr>
        <w:t>5</w:t>
      </w:r>
      <w:r>
        <w:rPr>
          <w:rFonts w:hint="default" w:ascii="Times New Roman" w:hAnsi="Times New Roman" w:eastAsia="方正小标宋简体" w:cs="Times New Roman"/>
          <w:bCs/>
          <w:color w:val="auto"/>
          <w:sz w:val="44"/>
          <w:szCs w:val="44"/>
        </w:rPr>
        <w:t>年医疗卫生机构传染病防治</w:t>
      </w:r>
    </w:p>
    <w:p>
      <w:pPr>
        <w:spacing w:line="700" w:lineRule="exact"/>
        <w:jc w:val="center"/>
        <w:rPr>
          <w:rFonts w:hint="default" w:ascii="Times New Roman" w:hAnsi="Times New Roman" w:eastAsia="方正小标宋简体" w:cs="Times New Roman"/>
          <w:bCs/>
          <w:color w:val="auto"/>
          <w:sz w:val="44"/>
          <w:szCs w:val="44"/>
        </w:rPr>
      </w:pPr>
      <w:r>
        <w:rPr>
          <w:rFonts w:hint="eastAsia" w:eastAsia="方正小标宋简体" w:cs="Times New Roman"/>
          <w:bCs/>
          <w:color w:val="auto"/>
          <w:sz w:val="44"/>
          <w:szCs w:val="44"/>
          <w:lang w:val="en-US" w:eastAsia="zh-CN"/>
        </w:rPr>
        <w:t>广东省</w:t>
      </w:r>
      <w:r>
        <w:rPr>
          <w:rFonts w:hint="default" w:ascii="Times New Roman" w:hAnsi="Times New Roman" w:eastAsia="方正小标宋简体" w:cs="Times New Roman"/>
          <w:bCs/>
          <w:color w:val="auto"/>
          <w:sz w:val="44"/>
          <w:szCs w:val="44"/>
        </w:rPr>
        <w:t>随机监督抽查计划</w:t>
      </w:r>
    </w:p>
    <w:p>
      <w:pPr>
        <w:spacing w:line="560" w:lineRule="exact"/>
        <w:ind w:firstLine="640" w:firstLineChars="200"/>
        <w:rPr>
          <w:rFonts w:ascii="Times New Roman" w:hAnsi="Times New Roman" w:eastAsia="黑体" w:cs="Times New Roman"/>
          <w:color w:val="auto"/>
          <w:sz w:val="32"/>
          <w:szCs w:val="32"/>
        </w:rPr>
      </w:pPr>
    </w:p>
    <w:p>
      <w:pPr>
        <w:snapToGrid/>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一、监督检查对象</w:t>
      </w:r>
    </w:p>
    <w:p>
      <w:pPr>
        <w:snapToGrid/>
        <w:spacing w:line="560" w:lineRule="exact"/>
        <w:ind w:firstLine="640" w:firstLineChars="20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抽查辖区30%二级以上医院、10%一级医院、5%基层医疗机构（社区卫生服务中心/站、诊所、乡镇卫生院、村卫生室等），40%采供血机构和疾病预防控制机构。其中对传染病医院（公共卫生临床中心）、上一年度传染病防治分类监督综合评价为重点监督单位的100%检查。</w:t>
      </w:r>
    </w:p>
    <w:p>
      <w:pPr>
        <w:snapToGrid/>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二、监督检查内容</w:t>
      </w:r>
    </w:p>
    <w:p>
      <w:pPr>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（一）预防接种管理情况。</w:t>
      </w:r>
      <w:r>
        <w:rPr>
          <w:rFonts w:hint="default" w:ascii="Times New Roman" w:hAnsi="Times New Roman" w:eastAsia="仿宋_GB2312" w:cs="Times New Roman"/>
          <w:color w:val="auto"/>
          <w:sz w:val="32"/>
          <w:szCs w:val="32"/>
        </w:rPr>
        <w:t>接种单位和人员资质情况；接种疫苗公示情况；接种前告知、询问受种者或监护人有关情况；执行</w:t>
      </w:r>
      <w:r>
        <w:rPr>
          <w:rFonts w:hint="eastAsia" w:ascii="仿宋_GB2312" w:hAnsi="仿宋_GB2312" w:eastAsia="仿宋_GB2312" w:cs="仿宋_GB2312"/>
          <w:color w:val="auto"/>
          <w:sz w:val="32"/>
          <w:szCs w:val="32"/>
        </w:rPr>
        <w:t>“三查七对一验证”</w:t>
      </w:r>
      <w:r>
        <w:rPr>
          <w:rFonts w:hint="default" w:ascii="Times New Roman" w:hAnsi="Times New Roman" w:eastAsia="仿宋_GB2312" w:cs="Times New Roman"/>
          <w:color w:val="auto"/>
          <w:sz w:val="32"/>
          <w:szCs w:val="32"/>
        </w:rPr>
        <w:t>情况；疫苗索证及冷链管理</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；疫苗的接收、购进、储存、配送、供应、接种和处置工作记录情况；</w:t>
      </w:r>
      <w:r>
        <w:rPr>
          <w:rFonts w:hint="default" w:ascii="Times New Roman" w:hAnsi="Times New Roman" w:eastAsia="仿宋_GB2312" w:cs="Times New Roman"/>
          <w:color w:val="auto"/>
          <w:sz w:val="32"/>
          <w:szCs w:val="32"/>
          <w:lang w:eastAsia="zh-CN"/>
        </w:rPr>
        <w:t>免疫程序执行情况；</w:t>
      </w:r>
      <w:r>
        <w:rPr>
          <w:rFonts w:hint="default" w:ascii="Times New Roman" w:hAnsi="Times New Roman" w:eastAsia="仿宋_GB2312" w:cs="Times New Roman"/>
          <w:color w:val="auto"/>
          <w:sz w:val="32"/>
          <w:szCs w:val="32"/>
        </w:rPr>
        <w:t>异常反应监测、报告情况等。</w:t>
      </w:r>
      <w:r>
        <w:rPr>
          <w:rFonts w:hint="default" w:ascii="Times New Roman" w:hAnsi="Times New Roman" w:eastAsia="仿宋_GB2312" w:cs="Times New Roman"/>
          <w:color w:val="auto"/>
          <w:sz w:val="32"/>
          <w:szCs w:val="32"/>
          <w:lang w:val="en-US" w:eastAsia="zh-CN"/>
        </w:rPr>
        <w:t>其中承担免疫规划疫苗接种的单位重点检查百白破疫苗、卡介苗、乙肝疫苗、麻腮风疫苗、流脑疫苗相关情况。</w:t>
      </w:r>
      <w:r>
        <w:rPr>
          <w:rFonts w:hint="default" w:ascii="Times New Roman" w:hAnsi="Times New Roman" w:eastAsia="仿宋_GB2312" w:cs="Times New Roman"/>
          <w:color w:val="auto"/>
          <w:sz w:val="32"/>
          <w:szCs w:val="32"/>
          <w:lang w:eastAsia="zh-CN"/>
        </w:rPr>
        <w:t>承担非免疫规划疫苗接种的单位重点检查备案情况以及</w:t>
      </w:r>
      <w:r>
        <w:rPr>
          <w:rFonts w:hint="default" w:ascii="Times New Roman" w:hAnsi="Times New Roman" w:eastAsia="仿宋_GB2312" w:cs="Times New Roman"/>
          <w:color w:val="auto"/>
          <w:sz w:val="32"/>
          <w:szCs w:val="32"/>
        </w:rPr>
        <w:t>流感疫苗</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HPV疫苗</w:t>
      </w:r>
      <w:r>
        <w:rPr>
          <w:rFonts w:hint="default" w:ascii="Times New Roman" w:hAnsi="Times New Roman" w:eastAsia="仿宋_GB2312" w:cs="Times New Roman"/>
          <w:color w:val="auto"/>
          <w:sz w:val="32"/>
          <w:szCs w:val="32"/>
          <w:lang w:eastAsia="zh-CN"/>
        </w:rPr>
        <w:t>、狂犬疫苗等相关情况</w:t>
      </w:r>
      <w:r>
        <w:rPr>
          <w:rFonts w:hint="default" w:ascii="Times New Roman" w:hAnsi="Times New Roman" w:eastAsia="仿宋_GB2312" w:cs="Times New Roman"/>
          <w:color w:val="auto"/>
          <w:sz w:val="32"/>
          <w:szCs w:val="32"/>
        </w:rPr>
        <w:t>。</w:t>
      </w:r>
    </w:p>
    <w:p>
      <w:pPr>
        <w:snapToGrid/>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（二）传染病疫情报告情况。</w:t>
      </w:r>
      <w:r>
        <w:rPr>
          <w:rFonts w:hint="default" w:ascii="Times New Roman" w:hAnsi="Times New Roman" w:eastAsia="仿宋_GB2312" w:cs="Times New Roman"/>
          <w:color w:val="auto"/>
          <w:sz w:val="32"/>
          <w:szCs w:val="32"/>
        </w:rPr>
        <w:t>建立传染病疫情报告工作制度情况；开展疫情报告管理自查情况；传染病疫情登记、报告卡填写情况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传染病相关数据自动采集、传染病报告卡自动生成情况等；是否存在瞒报、缓报、谎报传染病疫情情况。</w:t>
      </w:r>
    </w:p>
    <w:p>
      <w:pPr>
        <w:snapToGrid/>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（三）传染病疫情控制情况。</w:t>
      </w:r>
      <w:r>
        <w:rPr>
          <w:rFonts w:hint="default" w:ascii="Times New Roman" w:hAnsi="Times New Roman" w:eastAsia="仿宋_GB2312" w:cs="Times New Roman"/>
          <w:color w:val="auto"/>
          <w:sz w:val="32"/>
          <w:szCs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napToGrid/>
        <w:spacing w:line="56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（四）消毒隔离措施落实情况。</w:t>
      </w:r>
      <w:r>
        <w:rPr>
          <w:rFonts w:hint="default" w:ascii="Times New Roman" w:hAnsi="Times New Roman" w:eastAsia="仿宋_GB2312" w:cs="Times New Roman"/>
          <w:color w:val="auto"/>
          <w:sz w:val="32"/>
          <w:szCs w:val="32"/>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pPr>
        <w:snapToGrid/>
        <w:spacing w:line="560" w:lineRule="exact"/>
        <w:ind w:firstLine="640"/>
        <w:rPr>
          <w:rFonts w:ascii="Times New Roman" w:hAnsi="Times New Roman" w:eastAsia="仿宋" w:cs="Times New Roman"/>
          <w:color w:val="auto"/>
          <w:sz w:val="32"/>
          <w:szCs w:val="32"/>
        </w:rPr>
      </w:pPr>
      <w:r>
        <w:rPr>
          <w:rFonts w:hint="default" w:ascii="Times New Roman" w:hAnsi="Times New Roman" w:eastAsia="楷体_GB2312" w:cs="Times New Roman"/>
          <w:color w:val="auto"/>
          <w:kern w:val="0"/>
          <w:sz w:val="32"/>
          <w:lang w:val="en-US" w:eastAsia="zh-CN"/>
        </w:rPr>
        <w:t>（五）医疗废物处置情况。</w:t>
      </w:r>
      <w:r>
        <w:rPr>
          <w:rFonts w:hint="default" w:ascii="Times New Roman" w:hAnsi="Times New Roman" w:eastAsia="仿宋_GB2312" w:cs="Times New Roman"/>
          <w:color w:val="auto"/>
          <w:sz w:val="32"/>
          <w:szCs w:val="32"/>
        </w:rPr>
        <w:t>医疗废物分类收集情况；使用专用包装物及容器情况；医疗废物暂时贮存设施建立情况；医疗废物交接、运送、暂存及处置情况。</w:t>
      </w:r>
    </w:p>
    <w:p>
      <w:pPr>
        <w:snapToGrid/>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（六）病原微生物实验室生物安全管理情况。</w:t>
      </w:r>
      <w:r>
        <w:rPr>
          <w:rFonts w:hint="default" w:ascii="Times New Roman" w:hAnsi="Times New Roman" w:eastAsia="仿宋_GB2312" w:cs="Times New Roman"/>
          <w:color w:val="auto"/>
          <w:sz w:val="32"/>
          <w:szCs w:val="32"/>
        </w:rPr>
        <w:t>实验室取得批准或进行备案情况；从事实验活动的人员培训、考核情况；实验档案建立情况；实验结束将菌（毒）种或样本销毁或者送交保藏机构保藏情况。</w:t>
      </w:r>
    </w:p>
    <w:p>
      <w:pPr>
        <w:widowControl/>
        <w:snapToGrid/>
        <w:spacing w:line="560" w:lineRule="exact"/>
        <w:ind w:firstLine="640" w:firstLineChars="200"/>
        <w:rPr>
          <w:rFonts w:hint="default" w:ascii="Times New Roman" w:hAnsi="Times New Roman" w:eastAsia="仿宋_GB2312" w:cs="Times New Roman"/>
          <w:color w:val="auto"/>
          <w:sz w:val="32"/>
          <w:szCs w:val="24"/>
          <w:lang w:val="en-US" w:eastAsia="zh-CN"/>
        </w:rPr>
      </w:pPr>
      <w:r>
        <w:rPr>
          <w:rFonts w:hint="default" w:ascii="Times New Roman" w:hAnsi="Times New Roman" w:eastAsia="楷体_GB2312" w:cs="Times New Roman"/>
          <w:color w:val="auto"/>
          <w:kern w:val="0"/>
          <w:sz w:val="32"/>
          <w:lang w:val="en-US" w:eastAsia="zh-CN"/>
        </w:rPr>
        <w:t>（七）监督抽检情况。</w:t>
      </w:r>
      <w:r>
        <w:rPr>
          <w:rFonts w:hint="default" w:ascii="Times New Roman" w:hAnsi="Times New Roman" w:eastAsia="仿宋_GB2312" w:cs="Times New Roman"/>
          <w:color w:val="auto"/>
          <w:sz w:val="32"/>
          <w:szCs w:val="24"/>
        </w:rPr>
        <w:t>各地医疗机构</w:t>
      </w:r>
      <w:r>
        <w:rPr>
          <w:rFonts w:hint="default" w:ascii="Times New Roman" w:hAnsi="Times New Roman" w:eastAsia="仿宋_GB2312" w:cs="Times New Roman"/>
          <w:color w:val="auto"/>
          <w:sz w:val="32"/>
          <w:szCs w:val="24"/>
          <w:lang w:eastAsia="zh-CN"/>
        </w:rPr>
        <w:t>传染病防治监督</w:t>
      </w:r>
      <w:r>
        <w:rPr>
          <w:rFonts w:hint="default" w:ascii="Times New Roman" w:hAnsi="Times New Roman" w:eastAsia="仿宋_GB2312" w:cs="Times New Roman"/>
          <w:color w:val="auto"/>
          <w:sz w:val="32"/>
          <w:szCs w:val="24"/>
        </w:rPr>
        <w:t>抽检的数量不</w:t>
      </w:r>
      <w:r>
        <w:rPr>
          <w:rFonts w:hint="default" w:ascii="Times New Roman" w:hAnsi="Times New Roman" w:eastAsia="仿宋_GB2312" w:cs="Times New Roman"/>
          <w:color w:val="auto"/>
          <w:sz w:val="32"/>
          <w:szCs w:val="24"/>
          <w:lang w:eastAsia="zh-CN"/>
        </w:rPr>
        <w:t>得</w:t>
      </w:r>
      <w:r>
        <w:rPr>
          <w:rFonts w:hint="default" w:ascii="Times New Roman" w:hAnsi="Times New Roman" w:eastAsia="仿宋_GB2312" w:cs="Times New Roman"/>
          <w:color w:val="auto"/>
          <w:sz w:val="32"/>
          <w:szCs w:val="24"/>
        </w:rPr>
        <w:t>低于</w:t>
      </w:r>
      <w:r>
        <w:rPr>
          <w:rFonts w:hint="default" w:ascii="Times New Roman" w:hAnsi="Times New Roman" w:eastAsia="仿宋_GB2312" w:cs="Times New Roman"/>
          <w:color w:val="auto"/>
          <w:sz w:val="32"/>
          <w:szCs w:val="24"/>
          <w:lang w:eastAsia="zh-CN"/>
        </w:rPr>
        <w:t>年度国家</w:t>
      </w:r>
      <w:r>
        <w:rPr>
          <w:rFonts w:hint="default" w:ascii="Times New Roman" w:hAnsi="Times New Roman" w:eastAsia="仿宋_GB2312" w:cs="Times New Roman"/>
          <w:color w:val="auto"/>
          <w:sz w:val="32"/>
          <w:szCs w:val="24"/>
        </w:rPr>
        <w:t>随机</w:t>
      </w:r>
      <w:r>
        <w:rPr>
          <w:rFonts w:hint="default" w:ascii="Times New Roman" w:hAnsi="Times New Roman" w:eastAsia="仿宋_GB2312" w:cs="Times New Roman"/>
          <w:color w:val="auto"/>
          <w:sz w:val="32"/>
          <w:szCs w:val="24"/>
          <w:lang w:eastAsia="zh-CN"/>
        </w:rPr>
        <w:t>监督</w:t>
      </w:r>
      <w:r>
        <w:rPr>
          <w:rFonts w:hint="default" w:ascii="Times New Roman" w:hAnsi="Times New Roman" w:eastAsia="仿宋_GB2312" w:cs="Times New Roman"/>
          <w:color w:val="auto"/>
          <w:sz w:val="32"/>
          <w:szCs w:val="24"/>
        </w:rPr>
        <w:t>抽查任务</w:t>
      </w:r>
      <w:r>
        <w:rPr>
          <w:rFonts w:hint="default" w:ascii="Times New Roman" w:hAnsi="Times New Roman" w:eastAsia="仿宋_GB2312" w:cs="Times New Roman"/>
          <w:color w:val="auto"/>
          <w:sz w:val="32"/>
          <w:szCs w:val="24"/>
          <w:lang w:eastAsia="zh-CN"/>
        </w:rPr>
        <w:t>量（</w:t>
      </w:r>
      <w:r>
        <w:rPr>
          <w:rFonts w:hint="default" w:ascii="Times New Roman" w:hAnsi="Times New Roman" w:eastAsia="仿宋_GB2312" w:cs="Times New Roman"/>
          <w:color w:val="auto"/>
          <w:sz w:val="32"/>
          <w:szCs w:val="24"/>
          <w:lang w:val="en-US" w:eastAsia="zh-CN"/>
        </w:rPr>
        <w:t>任务清单的医疗机构数</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的</w:t>
      </w:r>
      <w:r>
        <w:rPr>
          <w:rFonts w:hint="default" w:ascii="Times New Roman" w:hAnsi="Times New Roman" w:eastAsia="仿宋_GB2312" w:cs="Times New Roman"/>
          <w:b w:val="0"/>
          <w:bCs w:val="0"/>
          <w:color w:val="auto"/>
          <w:sz w:val="32"/>
          <w:szCs w:val="24"/>
        </w:rPr>
        <w:t>5%</w:t>
      </w:r>
      <w:r>
        <w:rPr>
          <w:rFonts w:hint="eastAsia" w:ascii="Times New Roman" w:hAnsi="Times New Roman" w:eastAsia="仿宋_GB2312" w:cs="Times New Roman"/>
          <w:b w:val="0"/>
          <w:bCs w:val="0"/>
          <w:color w:val="auto"/>
          <w:sz w:val="32"/>
          <w:szCs w:val="24"/>
          <w:lang w:val="en-US" w:eastAsia="zh-CN"/>
        </w:rPr>
        <w:t>（</w:t>
      </w:r>
      <w:r>
        <w:rPr>
          <w:rFonts w:hint="default" w:ascii="Times New Roman" w:hAnsi="Times New Roman" w:eastAsia="仿宋_GB2312" w:cs="Times New Roman"/>
          <w:b w:val="0"/>
          <w:bCs w:val="0"/>
          <w:color w:val="auto"/>
          <w:sz w:val="32"/>
          <w:szCs w:val="24"/>
          <w:lang w:val="en-US" w:eastAsia="zh-CN"/>
        </w:rPr>
        <w:t>不足1的按1个医疗机构抽检</w:t>
      </w:r>
      <w:r>
        <w:rPr>
          <w:rFonts w:hint="eastAsia" w:ascii="Times New Roman" w:hAnsi="Times New Roman" w:eastAsia="仿宋_GB2312" w:cs="Times New Roman"/>
          <w:b w:val="0"/>
          <w:bCs w:val="0"/>
          <w:color w:val="auto"/>
          <w:sz w:val="32"/>
          <w:szCs w:val="24"/>
          <w:lang w:val="en-US" w:eastAsia="zh-CN"/>
        </w:rPr>
        <w:t>）</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抽检项目</w:t>
      </w:r>
      <w:r>
        <w:rPr>
          <w:rFonts w:hint="default" w:ascii="Times New Roman" w:hAnsi="Times New Roman" w:eastAsia="仿宋_GB2312" w:cs="Times New Roman"/>
          <w:color w:val="auto"/>
          <w:sz w:val="32"/>
          <w:szCs w:val="24"/>
          <w:lang w:val="en-US" w:eastAsia="zh-CN"/>
        </w:rPr>
        <w:t>重点监测</w:t>
      </w:r>
      <w:r>
        <w:rPr>
          <w:rFonts w:ascii="Times New Roman" w:hAnsi="Times New Roman" w:eastAsia="仿宋_GB2312" w:cs="Times New Roman"/>
          <w:b w:val="0"/>
          <w:color w:val="auto"/>
          <w:sz w:val="31"/>
          <w:szCs w:val="31"/>
        </w:rPr>
        <w:t>医疗器材、灭菌器、内镜</w:t>
      </w:r>
      <w:r>
        <w:rPr>
          <w:rFonts w:hint="default" w:ascii="Times New Roman" w:hAnsi="Times New Roman" w:eastAsia="仿宋_GB2312" w:cs="Times New Roman"/>
          <w:b w:val="0"/>
          <w:color w:val="auto"/>
          <w:sz w:val="31"/>
          <w:szCs w:val="31"/>
          <w:lang w:eastAsia="zh-CN"/>
        </w:rPr>
        <w:t>、</w:t>
      </w:r>
      <w:r>
        <w:rPr>
          <w:rFonts w:hint="default" w:ascii="Times New Roman" w:hAnsi="Times New Roman" w:eastAsia="仿宋_GB2312" w:cs="Times New Roman"/>
          <w:b w:val="0"/>
          <w:color w:val="auto"/>
          <w:sz w:val="31"/>
          <w:szCs w:val="31"/>
          <w:lang w:val="en-US" w:eastAsia="zh-CN"/>
        </w:rPr>
        <w:t>治</w:t>
      </w:r>
      <w:r>
        <w:rPr>
          <w:rFonts w:ascii="Times New Roman" w:hAnsi="Times New Roman" w:eastAsia="仿宋_GB2312" w:cs="Times New Roman"/>
          <w:b w:val="0"/>
          <w:color w:val="auto"/>
          <w:sz w:val="31"/>
          <w:szCs w:val="31"/>
        </w:rPr>
        <w:t>疗用水</w:t>
      </w:r>
      <w:r>
        <w:rPr>
          <w:rFonts w:hint="default" w:ascii="Times New Roman" w:hAnsi="Times New Roman" w:eastAsia="仿宋_GB2312" w:cs="Times New Roman"/>
          <w:b w:val="0"/>
          <w:color w:val="auto"/>
          <w:sz w:val="31"/>
          <w:szCs w:val="31"/>
          <w:lang w:eastAsia="zh-CN"/>
        </w:rPr>
        <w:t>。</w:t>
      </w:r>
      <w:r>
        <w:rPr>
          <w:rFonts w:hint="default" w:ascii="Times New Roman" w:hAnsi="Times New Roman" w:eastAsia="仿宋_GB2312" w:cs="Times New Roman"/>
          <w:b w:val="0"/>
          <w:color w:val="auto"/>
          <w:sz w:val="31"/>
          <w:szCs w:val="31"/>
          <w:lang w:val="en-US" w:eastAsia="zh-CN"/>
        </w:rPr>
        <w:t>各地</w:t>
      </w:r>
      <w:r>
        <w:rPr>
          <w:rFonts w:hint="default" w:ascii="Times New Roman" w:hAnsi="Times New Roman" w:eastAsia="仿宋_GB2312" w:cs="Times New Roman"/>
          <w:color w:val="auto"/>
          <w:sz w:val="32"/>
          <w:szCs w:val="24"/>
        </w:rPr>
        <w:t>根据</w:t>
      </w:r>
      <w:r>
        <w:rPr>
          <w:rFonts w:hint="default" w:ascii="Times New Roman" w:hAnsi="Times New Roman" w:eastAsia="仿宋_GB2312" w:cs="Times New Roman"/>
          <w:color w:val="auto"/>
          <w:sz w:val="32"/>
          <w:szCs w:val="24"/>
          <w:lang w:eastAsia="zh-CN"/>
        </w:rPr>
        <w:t>《广东省疾病预防控制局关于加强医疗机构传染病防治监督抽检工作的通知》（</w:t>
      </w:r>
      <w:r>
        <w:rPr>
          <w:rFonts w:hint="default" w:ascii="Times New Roman" w:hAnsi="Times New Roman" w:eastAsia="仿宋_GB2312" w:cs="Times New Roman"/>
          <w:color w:val="auto"/>
          <w:sz w:val="32"/>
          <w:szCs w:val="24"/>
          <w:lang w:val="en-US" w:eastAsia="zh-CN"/>
        </w:rPr>
        <w:t>粤</w:t>
      </w:r>
      <w:r>
        <w:rPr>
          <w:rFonts w:hint="default" w:ascii="Times New Roman" w:hAnsi="Times New Roman" w:eastAsia="仿宋_GB2312" w:cs="Times New Roman"/>
          <w:color w:val="auto"/>
          <w:sz w:val="32"/>
          <w:szCs w:val="24"/>
          <w:lang w:eastAsia="zh-CN"/>
        </w:rPr>
        <w:t>疾控局监督一</w:t>
      </w:r>
      <w:r>
        <w:rPr>
          <w:rFonts w:hint="default" w:ascii="Times New Roman" w:hAnsi="Times New Roman" w:eastAsia="仿宋_GB2312" w:cs="Times New Roman"/>
          <w:color w:val="auto"/>
          <w:sz w:val="32"/>
          <w:szCs w:val="24"/>
          <w:lang w:val="en-US" w:eastAsia="zh-CN"/>
        </w:rPr>
        <w:t>函</w:t>
      </w:r>
      <w:r>
        <w:rPr>
          <w:rFonts w:hint="eastAsia" w:ascii="仿宋_GB2312" w:hAnsi="仿宋_GB2312" w:eastAsia="仿宋_GB2312" w:cs="仿宋_GB2312"/>
          <w:color w:val="auto"/>
          <w:spacing w:val="0"/>
          <w:kern w:val="0"/>
          <w:sz w:val="32"/>
          <w:szCs w:val="20"/>
          <w:lang w:val="en-US" w:eastAsia="zh-CN"/>
        </w:rPr>
        <w:t>〔</w:t>
      </w:r>
      <w:r>
        <w:rPr>
          <w:rFonts w:hint="default" w:ascii="Times New Roman" w:hAnsi="Times New Roman" w:eastAsia="仿宋_GB2312" w:cs="Times New Roman"/>
          <w:b w:val="0"/>
          <w:bCs w:val="0"/>
          <w:color w:val="auto"/>
          <w:sz w:val="32"/>
          <w:szCs w:val="24"/>
          <w:lang w:eastAsia="zh-CN"/>
        </w:rPr>
        <w:t>2025</w:t>
      </w:r>
      <w:r>
        <w:rPr>
          <w:rFonts w:hint="eastAsia" w:ascii="仿宋_GB2312" w:hAnsi="仿宋_GB2312" w:eastAsia="仿宋_GB2312" w:cs="仿宋_GB2312"/>
          <w:color w:val="auto"/>
          <w:spacing w:val="0"/>
          <w:kern w:val="0"/>
          <w:sz w:val="32"/>
          <w:szCs w:val="20"/>
          <w:lang w:val="en-US" w:eastAsia="zh-CN"/>
        </w:rPr>
        <w:t>〕</w:t>
      </w:r>
      <w:r>
        <w:rPr>
          <w:rFonts w:hint="default" w:ascii="Times New Roman" w:hAnsi="Times New Roman" w:eastAsia="仿宋_GB2312" w:cs="Times New Roman"/>
          <w:color w:val="auto"/>
          <w:sz w:val="32"/>
          <w:szCs w:val="24"/>
          <w:lang w:eastAsia="zh-CN"/>
        </w:rPr>
        <w:t>15号）</w:t>
      </w:r>
      <w:r>
        <w:rPr>
          <w:rFonts w:hint="default" w:ascii="Times New Roman" w:hAnsi="Times New Roman" w:eastAsia="仿宋_GB2312" w:cs="Times New Roman"/>
          <w:color w:val="auto"/>
          <w:sz w:val="32"/>
          <w:szCs w:val="24"/>
          <w:lang w:val="en-US" w:eastAsia="zh-CN"/>
        </w:rPr>
        <w:t>和</w:t>
      </w:r>
      <w:r>
        <w:rPr>
          <w:rFonts w:hint="default" w:ascii="Times New Roman" w:hAnsi="Times New Roman" w:eastAsia="仿宋_GB2312" w:cs="Times New Roman"/>
          <w:color w:val="auto"/>
          <w:sz w:val="32"/>
          <w:szCs w:val="24"/>
        </w:rPr>
        <w:t>上年度医疗机构消毒效果监测</w:t>
      </w:r>
      <w:r>
        <w:rPr>
          <w:rFonts w:hint="default" w:ascii="Times New Roman" w:hAnsi="Times New Roman" w:eastAsia="仿宋_GB2312" w:cs="Times New Roman"/>
          <w:color w:val="auto"/>
          <w:sz w:val="32"/>
          <w:szCs w:val="24"/>
          <w:lang w:eastAsia="zh-CN"/>
        </w:rPr>
        <w:t>结果、</w:t>
      </w:r>
      <w:r>
        <w:rPr>
          <w:rFonts w:hint="default" w:ascii="Times New Roman" w:hAnsi="Times New Roman" w:eastAsia="仿宋_GB2312" w:cs="Times New Roman"/>
          <w:color w:val="auto"/>
          <w:sz w:val="32"/>
          <w:szCs w:val="24"/>
        </w:rPr>
        <w:t>医疗机构传染病防治分类监督综合评价结果</w:t>
      </w:r>
      <w:r>
        <w:rPr>
          <w:rFonts w:hint="default" w:ascii="Times New Roman" w:hAnsi="Times New Roman" w:eastAsia="仿宋_GB2312" w:cs="Times New Roman"/>
          <w:color w:val="auto"/>
          <w:sz w:val="32"/>
          <w:szCs w:val="24"/>
          <w:lang w:val="en-US" w:eastAsia="zh-CN"/>
        </w:rPr>
        <w:t>可扩大监督抽检项目</w:t>
      </w:r>
      <w:r>
        <w:rPr>
          <w:rFonts w:hint="default" w:ascii="Times New Roman" w:hAnsi="Times New Roman" w:eastAsia="仿宋_GB2312" w:cs="Times New Roman"/>
          <w:color w:val="auto"/>
          <w:sz w:val="32"/>
          <w:szCs w:val="24"/>
        </w:rPr>
        <w:t>，包括但不限于环境空气、物体表面、医务人员手、消毒剂、污水以及生物安全柜等</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lang w:val="en-US" w:eastAsia="zh-CN"/>
        </w:rPr>
        <w:t>可以结合《广东省消毒与感染控制监测工作方案》开展监督抽检。</w:t>
      </w:r>
    </w:p>
    <w:p>
      <w:pPr>
        <w:snapToGrid/>
        <w:spacing w:line="560" w:lineRule="exact"/>
        <w:ind w:firstLine="640" w:firstLineChars="200"/>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三、工作要求</w:t>
      </w:r>
    </w:p>
    <w:p>
      <w:pPr>
        <w:widowControl w:val="0"/>
        <w:spacing w:line="560" w:lineRule="exact"/>
        <w:ind w:firstLine="640" w:firstLineChars="200"/>
        <w:rPr>
          <w:rFonts w:hint="default" w:ascii="Times New Roman" w:hAnsi="Times New Roman" w:eastAsia="仿宋_GB2312" w:cs="Times New Roman"/>
          <w:color w:val="auto"/>
          <w:sz w:val="32"/>
          <w:szCs w:val="24"/>
          <w:highlight w:val="yellow"/>
          <w:lang w:val="en-US" w:eastAsia="zh-CN"/>
        </w:rPr>
      </w:pPr>
      <w:r>
        <w:rPr>
          <w:rFonts w:hint="default" w:ascii="Times New Roman" w:hAnsi="Times New Roman" w:eastAsia="仿宋_GB2312" w:cs="Times New Roman"/>
          <w:color w:val="auto"/>
          <w:sz w:val="32"/>
          <w:szCs w:val="24"/>
        </w:rPr>
        <w:t>（一）各地</w:t>
      </w:r>
      <w:r>
        <w:rPr>
          <w:rFonts w:hint="default" w:ascii="Times New Roman" w:hAnsi="Times New Roman" w:eastAsia="仿宋_GB2312" w:cs="Times New Roman"/>
          <w:color w:val="auto"/>
          <w:sz w:val="32"/>
          <w:szCs w:val="24"/>
          <w:lang w:val="en-US" w:eastAsia="zh-CN"/>
        </w:rPr>
        <w:t>疾控局</w:t>
      </w:r>
      <w:r>
        <w:rPr>
          <w:rFonts w:hint="default" w:ascii="Times New Roman" w:hAnsi="Times New Roman" w:eastAsia="仿宋_GB2312" w:cs="Times New Roman"/>
          <w:color w:val="auto"/>
          <w:sz w:val="32"/>
          <w:szCs w:val="24"/>
        </w:rPr>
        <w:t>要高度重视医疗卫生机构传染病防治</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rPr>
        <w:t>随机监督抽查工作，健全完善监督抽查底档数据，结合当地实际制定本辖区工作实施方案并组织实施。医疗卫生机构传染病防治随机监督抽查工作要与医疗卫生机构传染病防治分类监督综合评价工作相结合，抽到的单位采取分类监督综合评价方式进行检查。</w:t>
      </w:r>
      <w:r>
        <w:rPr>
          <w:rFonts w:hint="default" w:ascii="Times New Roman" w:hAnsi="Times New Roman" w:eastAsia="仿宋_GB2312" w:cs="Times New Roman"/>
          <w:color w:val="auto"/>
          <w:sz w:val="32"/>
          <w:szCs w:val="24"/>
          <w:lang w:eastAsia="zh-CN"/>
        </w:rPr>
        <w:t>要将综合评价结果纳入日常管理措施中，与医疗机构不良行为记分、等级评审、校验等相衔接。</w:t>
      </w:r>
    </w:p>
    <w:p>
      <w:pPr>
        <w:widowControl w:val="0"/>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（二）对疾病预防控制机构的</w:t>
      </w:r>
      <w:r>
        <w:rPr>
          <w:rFonts w:hint="default" w:ascii="Times New Roman" w:hAnsi="Times New Roman" w:eastAsia="仿宋_GB2312" w:cs="Times New Roman"/>
          <w:color w:val="auto"/>
          <w:sz w:val="32"/>
          <w:szCs w:val="24"/>
          <w:lang w:eastAsia="zh-CN"/>
        </w:rPr>
        <w:t>随机</w:t>
      </w:r>
      <w:r>
        <w:rPr>
          <w:rFonts w:hint="default" w:ascii="Times New Roman" w:hAnsi="Times New Roman" w:eastAsia="仿宋_GB2312" w:cs="Times New Roman"/>
          <w:color w:val="auto"/>
          <w:sz w:val="32"/>
          <w:szCs w:val="24"/>
        </w:rPr>
        <w:t>监督</w:t>
      </w:r>
      <w:r>
        <w:rPr>
          <w:rFonts w:hint="default" w:ascii="Times New Roman" w:hAnsi="Times New Roman" w:eastAsia="仿宋_GB2312" w:cs="Times New Roman"/>
          <w:color w:val="auto"/>
          <w:sz w:val="32"/>
          <w:szCs w:val="24"/>
          <w:lang w:eastAsia="zh-CN"/>
        </w:rPr>
        <w:t>抽取由市级卫生监督所承担，</w:t>
      </w:r>
      <w:r>
        <w:rPr>
          <w:rFonts w:hint="default" w:ascii="Times New Roman" w:hAnsi="Times New Roman" w:eastAsia="仿宋_GB2312" w:cs="Times New Roman"/>
          <w:color w:val="auto"/>
          <w:sz w:val="32"/>
          <w:szCs w:val="24"/>
        </w:rPr>
        <w:t>对抽查中发现存在违法违规行为的单位或个人，依法依规严肃查处。</w:t>
      </w:r>
    </w:p>
    <w:p>
      <w:pPr>
        <w:snapToGrid/>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val="en-US" w:eastAsia="zh-CN"/>
        </w:rPr>
        <w:t>三</w:t>
      </w:r>
      <w:r>
        <w:rPr>
          <w:rFonts w:hint="default" w:ascii="Times New Roman" w:hAnsi="Times New Roman" w:eastAsia="仿宋_GB2312" w:cs="Times New Roman"/>
          <w:color w:val="auto"/>
          <w:sz w:val="32"/>
          <w:szCs w:val="24"/>
        </w:rPr>
        <w:t>）各</w:t>
      </w:r>
      <w:r>
        <w:rPr>
          <w:rFonts w:hint="default" w:ascii="Times New Roman" w:hAnsi="Times New Roman" w:eastAsia="仿宋_GB2312" w:cs="Times New Roman"/>
          <w:color w:val="auto"/>
          <w:sz w:val="32"/>
          <w:szCs w:val="24"/>
          <w:lang w:val="en-US" w:eastAsia="zh-CN"/>
        </w:rPr>
        <w:t>地疾控局</w:t>
      </w:r>
      <w:r>
        <w:rPr>
          <w:rFonts w:hint="default" w:ascii="Times New Roman" w:hAnsi="Times New Roman" w:eastAsia="仿宋_GB2312" w:cs="Times New Roman"/>
          <w:color w:val="auto"/>
          <w:sz w:val="32"/>
          <w:szCs w:val="24"/>
        </w:rPr>
        <w:t>要切实加强上报数据信息的审核，保证数据信息项目齐全、质量可靠，请于2025年11月</w:t>
      </w:r>
      <w:r>
        <w:rPr>
          <w:rFonts w:hint="default" w:ascii="Times New Roman" w:hAnsi="Times New Roman" w:eastAsia="仿宋_GB2312" w:cs="Times New Roman"/>
          <w:color w:val="auto"/>
          <w:sz w:val="32"/>
          <w:szCs w:val="24"/>
          <w:lang w:val="en-US" w:eastAsia="zh-CN"/>
        </w:rPr>
        <w:t>1</w:t>
      </w:r>
      <w:r>
        <w:rPr>
          <w:rFonts w:hint="default" w:ascii="Times New Roman" w:hAnsi="Times New Roman" w:eastAsia="仿宋_GB2312" w:cs="Times New Roman"/>
          <w:color w:val="auto"/>
          <w:sz w:val="32"/>
          <w:szCs w:val="24"/>
        </w:rPr>
        <w:t>0日前完成医疗卫生机构传染病防治</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rPr>
        <w:t>随机监督抽查工作任务和数据填报工作。</w:t>
      </w:r>
      <w:r>
        <w:rPr>
          <w:rFonts w:hint="default" w:ascii="Times New Roman" w:hAnsi="Times New Roman" w:eastAsia="仿宋_GB2312" w:cs="Times New Roman"/>
          <w:color w:val="auto"/>
          <w:sz w:val="32"/>
          <w:szCs w:val="24"/>
          <w:lang w:eastAsia="zh-CN"/>
        </w:rPr>
        <w:t>各</w:t>
      </w:r>
      <w:r>
        <w:rPr>
          <w:rFonts w:hint="default" w:ascii="Times New Roman" w:hAnsi="Times New Roman" w:eastAsia="仿宋_GB2312" w:cs="Times New Roman"/>
          <w:color w:val="auto"/>
          <w:sz w:val="32"/>
          <w:szCs w:val="24"/>
          <w:lang w:val="en-US" w:eastAsia="zh-CN"/>
        </w:rPr>
        <w:t>地级市</w:t>
      </w:r>
      <w:r>
        <w:rPr>
          <w:rFonts w:hint="default" w:ascii="Times New Roman" w:hAnsi="Times New Roman" w:eastAsia="仿宋_GB2312" w:cs="Times New Roman"/>
          <w:color w:val="auto"/>
          <w:sz w:val="32"/>
          <w:szCs w:val="24"/>
        </w:rPr>
        <w:t>疾控局</w:t>
      </w:r>
      <w:r>
        <w:rPr>
          <w:rFonts w:hint="default" w:ascii="Times New Roman" w:hAnsi="Times New Roman" w:eastAsia="仿宋_GB2312" w:cs="Times New Roman"/>
          <w:color w:val="auto"/>
          <w:sz w:val="32"/>
          <w:szCs w:val="24"/>
          <w:lang w:eastAsia="zh-CN"/>
        </w:rPr>
        <w:t>请</w:t>
      </w:r>
      <w:r>
        <w:rPr>
          <w:rFonts w:hint="default" w:ascii="Times New Roman" w:hAnsi="Times New Roman" w:eastAsia="仿宋_GB2312" w:cs="Times New Roman"/>
          <w:color w:val="auto"/>
          <w:sz w:val="32"/>
          <w:szCs w:val="24"/>
        </w:rPr>
        <w:t>于2025年</w:t>
      </w:r>
      <w:r>
        <w:rPr>
          <w:rFonts w:hint="default" w:ascii="Times New Roman" w:hAnsi="Times New Roman" w:eastAsia="仿宋_GB2312" w:cs="Times New Roman"/>
          <w:color w:val="auto"/>
          <w:sz w:val="32"/>
          <w:szCs w:val="24"/>
          <w:lang w:val="en-US" w:eastAsia="zh-CN"/>
        </w:rPr>
        <w:t>6</w:t>
      </w:r>
      <w:r>
        <w:rPr>
          <w:rFonts w:hint="default" w:ascii="Times New Roman" w:hAnsi="Times New Roman" w:eastAsia="仿宋_GB2312" w:cs="Times New Roman"/>
          <w:color w:val="auto"/>
          <w:sz w:val="32"/>
          <w:szCs w:val="24"/>
        </w:rPr>
        <w:t>月</w:t>
      </w:r>
      <w:r>
        <w:rPr>
          <w:rFonts w:hint="default" w:ascii="Times New Roman" w:hAnsi="Times New Roman" w:eastAsia="仿宋_GB2312" w:cs="Times New Roman"/>
          <w:color w:val="auto"/>
          <w:sz w:val="32"/>
          <w:szCs w:val="24"/>
          <w:lang w:val="en-US" w:eastAsia="zh-CN"/>
        </w:rPr>
        <w:t>20</w:t>
      </w:r>
      <w:r>
        <w:rPr>
          <w:rFonts w:hint="default" w:ascii="Times New Roman" w:hAnsi="Times New Roman" w:eastAsia="仿宋_GB2312" w:cs="Times New Roman"/>
          <w:color w:val="auto"/>
          <w:sz w:val="32"/>
          <w:szCs w:val="24"/>
        </w:rPr>
        <w:t>日、11月</w:t>
      </w:r>
      <w:r>
        <w:rPr>
          <w:rFonts w:hint="default" w:ascii="Times New Roman" w:hAnsi="Times New Roman" w:eastAsia="仿宋_GB2312" w:cs="Times New Roman"/>
          <w:color w:val="auto"/>
          <w:sz w:val="32"/>
          <w:szCs w:val="24"/>
          <w:lang w:val="en-US" w:eastAsia="zh-CN"/>
        </w:rPr>
        <w:t>1</w:t>
      </w:r>
      <w:r>
        <w:rPr>
          <w:rFonts w:hint="default" w:ascii="Times New Roman" w:hAnsi="Times New Roman" w:eastAsia="仿宋_GB2312" w:cs="Times New Roman"/>
          <w:color w:val="auto"/>
          <w:sz w:val="32"/>
          <w:szCs w:val="24"/>
        </w:rPr>
        <w:t>0日前</w:t>
      </w:r>
      <w:r>
        <w:rPr>
          <w:rFonts w:hint="default" w:ascii="Times New Roman" w:hAnsi="Times New Roman" w:eastAsia="仿宋_GB2312" w:cs="Times New Roman"/>
          <w:color w:val="auto"/>
          <w:sz w:val="32"/>
          <w:szCs w:val="24"/>
          <w:lang w:val="en-US" w:eastAsia="zh-CN"/>
        </w:rPr>
        <w:t>分别</w:t>
      </w:r>
      <w:r>
        <w:rPr>
          <w:rFonts w:hint="default" w:ascii="Times New Roman" w:hAnsi="Times New Roman" w:eastAsia="仿宋_GB2312" w:cs="Times New Roman"/>
          <w:color w:val="auto"/>
          <w:sz w:val="32"/>
          <w:szCs w:val="24"/>
        </w:rPr>
        <w:t>将本</w:t>
      </w:r>
      <w:r>
        <w:rPr>
          <w:rFonts w:hint="default" w:ascii="Times New Roman" w:hAnsi="Times New Roman" w:eastAsia="仿宋_GB2312" w:cs="Times New Roman"/>
          <w:color w:val="auto"/>
          <w:sz w:val="32"/>
          <w:szCs w:val="24"/>
          <w:lang w:val="en-US" w:eastAsia="zh-CN"/>
        </w:rPr>
        <w:t>市</w:t>
      </w:r>
      <w:r>
        <w:rPr>
          <w:rFonts w:hint="default" w:ascii="Times New Roman" w:hAnsi="Times New Roman" w:eastAsia="仿宋_GB2312" w:cs="Times New Roman"/>
          <w:color w:val="auto"/>
          <w:sz w:val="32"/>
          <w:szCs w:val="24"/>
        </w:rPr>
        <w:t>医疗卫生机构传染病防治国家随机监督抽查工作阶段性工作总结</w:t>
      </w:r>
      <w:r>
        <w:rPr>
          <w:rFonts w:hint="default"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全年工作总结报送</w:t>
      </w:r>
      <w:r>
        <w:rPr>
          <w:rFonts w:hint="default" w:ascii="Times New Roman" w:hAnsi="Times New Roman" w:eastAsia="仿宋_GB2312" w:cs="Times New Roman"/>
          <w:color w:val="auto"/>
          <w:sz w:val="32"/>
          <w:szCs w:val="24"/>
          <w:lang w:val="en-US" w:eastAsia="zh-CN"/>
        </w:rPr>
        <w:t>省</w:t>
      </w:r>
      <w:r>
        <w:rPr>
          <w:rFonts w:hint="default" w:ascii="Times New Roman" w:hAnsi="Times New Roman" w:eastAsia="仿宋_GB2312" w:cs="Times New Roman"/>
          <w:color w:val="auto"/>
          <w:sz w:val="32"/>
          <w:szCs w:val="24"/>
        </w:rPr>
        <w:t>疾控局。</w:t>
      </w:r>
    </w:p>
    <w:p>
      <w:pPr>
        <w:snapToGrid/>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联系人：</w:t>
      </w:r>
      <w:r>
        <w:rPr>
          <w:rFonts w:hint="default" w:ascii="Times New Roman" w:hAnsi="Times New Roman" w:eastAsia="仿宋_GB2312" w:cs="Times New Roman"/>
          <w:color w:val="auto"/>
          <w:sz w:val="32"/>
          <w:szCs w:val="24"/>
          <w:lang w:val="en-US" w:eastAsia="zh-CN"/>
        </w:rPr>
        <w:t>省</w:t>
      </w:r>
      <w:r>
        <w:rPr>
          <w:rFonts w:hint="default" w:ascii="Times New Roman" w:hAnsi="Times New Roman" w:eastAsia="仿宋_GB2312" w:cs="Times New Roman"/>
          <w:color w:val="auto"/>
          <w:sz w:val="32"/>
          <w:szCs w:val="24"/>
        </w:rPr>
        <w:t>疾控局</w:t>
      </w:r>
      <w:r>
        <w:rPr>
          <w:rFonts w:hint="default" w:ascii="Times New Roman" w:hAnsi="Times New Roman" w:eastAsia="仿宋_GB2312" w:cs="Times New Roman"/>
          <w:color w:val="auto"/>
          <w:sz w:val="32"/>
          <w:szCs w:val="24"/>
          <w:lang w:val="en-US" w:eastAsia="zh-CN"/>
        </w:rPr>
        <w:t>综合</w:t>
      </w:r>
      <w:r>
        <w:rPr>
          <w:rFonts w:hint="default" w:ascii="Times New Roman" w:hAnsi="Times New Roman" w:eastAsia="仿宋_GB2312" w:cs="Times New Roman"/>
          <w:color w:val="auto"/>
          <w:sz w:val="32"/>
          <w:szCs w:val="24"/>
        </w:rPr>
        <w:t>监督一</w:t>
      </w:r>
      <w:r>
        <w:rPr>
          <w:rFonts w:hint="default" w:ascii="Times New Roman" w:hAnsi="Times New Roman" w:eastAsia="仿宋_GB2312" w:cs="Times New Roman"/>
          <w:color w:val="auto"/>
          <w:sz w:val="32"/>
          <w:szCs w:val="24"/>
          <w:lang w:val="en-US" w:eastAsia="zh-CN"/>
        </w:rPr>
        <w:t>处黄志坚、陈璐</w:t>
      </w:r>
      <w:r>
        <w:rPr>
          <w:rFonts w:hint="eastAsia" w:ascii="Times New Roman" w:hAnsi="Times New Roman" w:eastAsia="仿宋_GB2312" w:cs="Times New Roman"/>
          <w:color w:val="auto"/>
          <w:sz w:val="32"/>
          <w:szCs w:val="24"/>
          <w:lang w:val="en-US" w:eastAsia="zh-CN"/>
        </w:rPr>
        <w:t>。</w:t>
      </w:r>
    </w:p>
    <w:p>
      <w:pPr>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24"/>
        </w:rPr>
        <w:t>电 话：</w:t>
      </w:r>
      <w:r>
        <w:rPr>
          <w:rFonts w:hint="default" w:ascii="Times New Roman" w:hAnsi="Times New Roman" w:eastAsia="仿宋_GB2312" w:cs="Times New Roman"/>
          <w:color w:val="auto"/>
          <w:sz w:val="32"/>
          <w:szCs w:val="24"/>
          <w:lang w:val="en-US" w:eastAsia="zh-CN"/>
        </w:rPr>
        <w:t>020-31958335、</w:t>
      </w:r>
      <w:r>
        <w:rPr>
          <w:rFonts w:hint="eastAsia" w:ascii="Times New Roman" w:hAnsi="Times New Roman" w:eastAsia="仿宋_GB2312" w:cs="Times New Roman"/>
          <w:color w:val="auto"/>
          <w:sz w:val="32"/>
          <w:szCs w:val="24"/>
          <w:lang w:val="en-US" w:eastAsia="zh-CN"/>
        </w:rPr>
        <w:t>31957052</w:t>
      </w:r>
    </w:p>
    <w:p>
      <w:pPr>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邮 箱：gdsjkj_jdyc@gd.gov.cn</w:t>
      </w:r>
    </w:p>
    <w:p>
      <w:pPr>
        <w:spacing w:line="560" w:lineRule="exact"/>
        <w:ind w:left="0" w:leftChars="0" w:firstLine="640" w:firstLineChars="200"/>
        <w:rPr>
          <w:rFonts w:hint="default" w:ascii="Times New Roman" w:hAnsi="Times New Roman" w:eastAsia="仿宋_GB2312" w:cs="Times New Roman"/>
          <w:color w:val="auto"/>
          <w:sz w:val="32"/>
          <w:szCs w:val="24"/>
        </w:rPr>
      </w:pPr>
    </w:p>
    <w:p>
      <w:pPr>
        <w:spacing w:line="560" w:lineRule="exact"/>
        <w:ind w:left="0" w:leftChars="0" w:firstLine="640" w:firstLineChars="200"/>
        <w:rPr>
          <w:rFonts w:hint="default" w:ascii="Times New Roman" w:hAnsi="Times New Roman" w:eastAsia="仿宋_GB2312" w:cs="Times New Roman"/>
          <w:color w:val="auto"/>
          <w:sz w:val="32"/>
          <w:szCs w:val="24"/>
          <w:lang w:val="en"/>
        </w:rPr>
      </w:pPr>
      <w:r>
        <w:rPr>
          <w:rFonts w:hint="default" w:ascii="Times New Roman" w:hAnsi="Times New Roman" w:eastAsia="仿宋_GB2312" w:cs="Times New Roman"/>
          <w:color w:val="auto"/>
          <w:sz w:val="32"/>
          <w:szCs w:val="24"/>
        </w:rPr>
        <w:t>附表：</w:t>
      </w:r>
      <w:r>
        <w:rPr>
          <w:rFonts w:hint="default" w:ascii="Times New Roman" w:hAnsi="Times New Roman" w:eastAsia="仿宋_GB2312" w:cs="Times New Roman"/>
          <w:color w:val="auto"/>
          <w:sz w:val="32"/>
          <w:szCs w:val="32"/>
        </w:rPr>
        <w:t>1.2025</w:t>
      </w:r>
      <w:r>
        <w:rPr>
          <w:rFonts w:hint="default" w:ascii="Times New Roman" w:hAnsi="Times New Roman" w:eastAsia="仿宋_GB2312" w:cs="Times New Roman"/>
          <w:color w:val="auto"/>
          <w:sz w:val="32"/>
          <w:szCs w:val="24"/>
        </w:rPr>
        <w:t>年医疗卫生机构传染病防治随机监督抽查</w:t>
      </w:r>
    </w:p>
    <w:p>
      <w:pPr>
        <w:spacing w:line="560" w:lineRule="exact"/>
        <w:ind w:left="0" w:leftChars="0" w:firstLine="1760" w:firstLineChars="55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汇总表</w:t>
      </w:r>
    </w:p>
    <w:p>
      <w:pPr>
        <w:widowControl/>
        <w:spacing w:line="560" w:lineRule="exact"/>
        <w:ind w:firstLine="640" w:firstLineChars="200"/>
        <w:jc w:val="left"/>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2.2025年医疗卫生机构传染病防治随机</w:t>
      </w:r>
      <w:r>
        <w:rPr>
          <w:rFonts w:hint="default" w:ascii="Times New Roman" w:hAnsi="Times New Roman" w:eastAsia="仿宋_GB2312" w:cs="Times New Roman"/>
          <w:color w:val="auto"/>
          <w:sz w:val="32"/>
          <w:szCs w:val="24"/>
        </w:rPr>
        <w:t>监督</w:t>
      </w:r>
      <w:r>
        <w:rPr>
          <w:rFonts w:hint="default" w:ascii="Times New Roman" w:hAnsi="Times New Roman" w:eastAsia="仿宋_GB2312" w:cs="Times New Roman"/>
          <w:color w:val="auto"/>
          <w:sz w:val="32"/>
          <w:szCs w:val="24"/>
          <w:highlight w:val="none"/>
          <w:lang w:eastAsia="zh-CN"/>
        </w:rPr>
        <w:t>抽检</w:t>
      </w:r>
    </w:p>
    <w:p>
      <w:pPr>
        <w:widowControl/>
        <w:spacing w:line="560" w:lineRule="exact"/>
        <w:ind w:firstLine="1760" w:firstLineChars="55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4"/>
          <w:highlight w:val="none"/>
        </w:rPr>
        <w:t>汇总表</w:t>
      </w:r>
    </w:p>
    <w:p>
      <w:pPr>
        <w:widowControl/>
        <w:spacing w:line="560" w:lineRule="exact"/>
        <w:ind w:firstLine="640" w:firstLineChars="200"/>
        <w:jc w:val="left"/>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2025</w:t>
      </w:r>
      <w:r>
        <w:rPr>
          <w:rFonts w:hint="default" w:ascii="Times New Roman" w:hAnsi="Times New Roman" w:eastAsia="仿宋_GB2312" w:cs="Times New Roman"/>
          <w:color w:val="auto"/>
          <w:sz w:val="32"/>
          <w:szCs w:val="24"/>
        </w:rPr>
        <w:t>年医疗卫生机构传染病防治随机监督抽查</w:t>
      </w:r>
    </w:p>
    <w:p>
      <w:pPr>
        <w:widowControl/>
        <w:spacing w:line="560" w:lineRule="exact"/>
        <w:ind w:firstLine="1760" w:firstLineChars="550"/>
        <w:jc w:val="left"/>
        <w:rPr>
          <w:rFonts w:hint="default" w:ascii="Times New Roman" w:hAnsi="Times New Roman" w:eastAsia="黑体" w:cs="Times New Roman"/>
          <w:color w:val="auto"/>
          <w:kern w:val="0"/>
          <w:sz w:val="32"/>
          <w:szCs w:val="32"/>
        </w:rPr>
      </w:pPr>
      <w:r>
        <w:rPr>
          <w:rFonts w:hint="default" w:ascii="Times New Roman" w:hAnsi="Times New Roman" w:eastAsia="仿宋_GB2312" w:cs="Times New Roman"/>
          <w:color w:val="auto"/>
          <w:sz w:val="32"/>
          <w:szCs w:val="24"/>
        </w:rPr>
        <w:t>案件查处汇总表</w:t>
      </w:r>
    </w:p>
    <w:p>
      <w:pPr>
        <w:spacing w:line="560" w:lineRule="exact"/>
        <w:jc w:val="left"/>
        <w:rPr>
          <w:rFonts w:hint="default" w:ascii="Times New Roman" w:hAnsi="Times New Roman" w:eastAsia="黑体" w:cs="Times New Roman"/>
          <w:color w:val="auto"/>
          <w:kern w:val="0"/>
          <w:sz w:val="32"/>
          <w:szCs w:val="32"/>
        </w:rPr>
        <w:sectPr>
          <w:headerReference r:id="rId3" w:type="default"/>
          <w:footerReference r:id="rId4" w:type="default"/>
          <w:pgSz w:w="11906" w:h="16838"/>
          <w:pgMar w:top="2041" w:right="1531" w:bottom="2041" w:left="1531" w:header="992" w:footer="1332" w:gutter="0"/>
          <w:pgNumType w:fmt="numberInDash"/>
          <w:cols w:space="720" w:num="1"/>
          <w:rtlGutter w:val="0"/>
          <w:docGrid w:type="lines" w:linePitch="319" w:charSpace="0"/>
        </w:sectPr>
      </w:pPr>
    </w:p>
    <w:p>
      <w:pPr>
        <w:spacing w:line="590" w:lineRule="exact"/>
        <w:rPr>
          <w:rFonts w:hint="eastAsia" w:ascii="黑体" w:hAnsi="黑体" w:eastAsia="黑体" w:cs="黑体"/>
          <w:color w:val="auto"/>
          <w:sz w:val="32"/>
          <w:szCs w:val="32"/>
        </w:rPr>
      </w:pPr>
      <w:r>
        <w:rPr>
          <w:rFonts w:hint="eastAsia" w:ascii="黑体" w:hAnsi="黑体" w:eastAsia="黑体" w:cs="黑体"/>
          <w:color w:val="auto"/>
          <w:sz w:val="32"/>
          <w:szCs w:val="32"/>
        </w:rPr>
        <w:t>附表1</w:t>
      </w:r>
    </w:p>
    <w:p>
      <w:pPr>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2025年医疗卫生机构传染病防治随机监督抽查汇总表</w:t>
      </w:r>
    </w:p>
    <w:tbl>
      <w:tblPr>
        <w:tblStyle w:val="5"/>
        <w:tblW w:w="15600" w:type="dxa"/>
        <w:jc w:val="center"/>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bidi="ar"/>
              </w:rPr>
              <w:t>监督类别</w:t>
            </w:r>
          </w:p>
        </w:tc>
        <w:tc>
          <w:tcPr>
            <w:tcW w:w="13875"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监督评价结果</w:t>
            </w:r>
          </w:p>
        </w:tc>
      </w:tr>
      <w:tr>
        <w:tblPrEx>
          <w:tblCellMar>
            <w:top w:w="0" w:type="dxa"/>
            <w:left w:w="0" w:type="dxa"/>
            <w:bottom w:w="0" w:type="dxa"/>
            <w:right w:w="0" w:type="dxa"/>
          </w:tblCellMar>
        </w:tblPrEx>
        <w:trPr>
          <w:trHeight w:val="368" w:hRule="atLeast"/>
          <w:jc w:val="center"/>
        </w:trPr>
        <w:tc>
          <w:tcPr>
            <w:tcW w:w="1725"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sz w:val="18"/>
                <w:szCs w:val="18"/>
              </w:rPr>
            </w:pPr>
          </w:p>
        </w:tc>
        <w:tc>
          <w:tcPr>
            <w:tcW w:w="340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w:t>
            </w:r>
          </w:p>
        </w:tc>
        <w:tc>
          <w:tcPr>
            <w:tcW w:w="331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综合管理</w:t>
            </w:r>
          </w:p>
        </w:tc>
        <w:tc>
          <w:tcPr>
            <w:tcW w:w="334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法定传染病报告管理</w:t>
            </w:r>
          </w:p>
        </w:tc>
      </w:tr>
      <w:tr>
        <w:tblPrEx>
          <w:tblCellMar>
            <w:top w:w="0" w:type="dxa"/>
            <w:left w:w="0" w:type="dxa"/>
            <w:bottom w:w="0" w:type="dxa"/>
            <w:right w:w="0" w:type="dxa"/>
          </w:tblCellMar>
        </w:tblPrEx>
        <w:trPr>
          <w:trHeight w:val="90" w:hRule="atLeast"/>
          <w:jc w:val="center"/>
        </w:trPr>
        <w:tc>
          <w:tcPr>
            <w:tcW w:w="1725" w:type="dxa"/>
            <w:gridSpan w:val="2"/>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9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优秀</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合格</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6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优秀</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5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优秀</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优秀</w:t>
            </w:r>
          </w:p>
        </w:tc>
        <w:tc>
          <w:tcPr>
            <w:tcW w:w="93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合格</w:t>
            </w:r>
          </w:p>
        </w:tc>
        <w:tc>
          <w:tcPr>
            <w:tcW w:w="1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w:t>
            </w:r>
          </w:p>
        </w:tc>
      </w:tr>
      <w:tr>
        <w:tblPrEx>
          <w:tblCellMar>
            <w:top w:w="0" w:type="dxa"/>
            <w:left w:w="0" w:type="dxa"/>
            <w:bottom w:w="0" w:type="dxa"/>
            <w:right w:w="0" w:type="dxa"/>
          </w:tblCellMar>
        </w:tblPrEx>
        <w:trPr>
          <w:trHeight w:val="452" w:hRule="atLeast"/>
          <w:jc w:val="center"/>
        </w:trPr>
        <w:tc>
          <w:tcPr>
            <w:tcW w:w="1725" w:type="dxa"/>
            <w:gridSpan w:val="2"/>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r>
      <w:tr>
        <w:tblPrEx>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总计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医疗机构</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小计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三级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二级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一级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基层</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（其中诊所）</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687"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23" w:type="dxa"/>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传染病医院（公共卫生临床中心）</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疾控机构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r>
      <w:tr>
        <w:tblPrEx>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采供血机构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bl>
    <w:p>
      <w:pPr>
        <w:spacing w:line="590" w:lineRule="exact"/>
        <w:rPr>
          <w:rFonts w:ascii="黑体" w:hAnsi="宋体" w:eastAsia="黑体" w:cs="宋体"/>
          <w:color w:val="auto"/>
          <w:kern w:val="0"/>
          <w:sz w:val="32"/>
          <w:szCs w:val="32"/>
        </w:rPr>
      </w:pPr>
      <w:r>
        <w:rPr>
          <w:rFonts w:hint="eastAsia" w:ascii="黑体" w:hAnsi="黑体" w:eastAsia="黑体" w:cs="黑体"/>
          <w:color w:val="auto"/>
          <w:sz w:val="32"/>
          <w:szCs w:val="32"/>
        </w:rPr>
        <w:t>附表1</w:t>
      </w:r>
      <w:r>
        <w:rPr>
          <w:rFonts w:ascii="黑体" w:hAnsi="宋体" w:eastAsia="黑体" w:cs="宋体"/>
          <w:color w:val="auto"/>
          <w:kern w:val="0"/>
          <w:sz w:val="32"/>
          <w:szCs w:val="32"/>
        </w:rPr>
        <w:t xml:space="preserve"> </w:t>
      </w:r>
      <w:r>
        <w:rPr>
          <w:rFonts w:hint="eastAsia" w:ascii="黑体" w:hAnsi="宋体" w:eastAsia="黑体" w:cs="宋体"/>
          <w:color w:val="auto"/>
          <w:kern w:val="0"/>
          <w:sz w:val="32"/>
          <w:szCs w:val="32"/>
        </w:rPr>
        <w:t>续</w:t>
      </w:r>
    </w:p>
    <w:p>
      <w:pPr>
        <w:spacing w:line="560" w:lineRule="exact"/>
        <w:jc w:val="center"/>
        <w:rPr>
          <w:rFonts w:ascii="宋体" w:hAnsi="宋体" w:eastAsia="仿宋_GB2312" w:cs="宋体"/>
          <w:b/>
          <w:color w:val="auto"/>
          <w:kern w:val="0"/>
          <w:sz w:val="44"/>
          <w:szCs w:val="44"/>
        </w:rPr>
      </w:pPr>
      <w:r>
        <w:rPr>
          <w:rFonts w:hint="eastAsia" w:ascii="方正小标宋简体" w:hAnsi="方正小标宋简体" w:eastAsia="方正小标宋简体" w:cs="方正小标宋简体"/>
          <w:bCs/>
          <w:color w:val="auto"/>
          <w:kern w:val="0"/>
          <w:sz w:val="44"/>
          <w:szCs w:val="44"/>
        </w:rPr>
        <w:t>2025年医疗卫生机构传染病防治随机监督抽查汇总表</w:t>
      </w:r>
    </w:p>
    <w:tbl>
      <w:tblPr>
        <w:tblStyle w:val="5"/>
        <w:tblW w:w="15375" w:type="dxa"/>
        <w:jc w:val="center"/>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监督类别</w:t>
            </w:r>
          </w:p>
        </w:tc>
        <w:tc>
          <w:tcPr>
            <w:tcW w:w="13886"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监督评价结果</w:t>
            </w:r>
          </w:p>
        </w:tc>
      </w:tr>
      <w:tr>
        <w:tblPrEx>
          <w:tblCellMar>
            <w:top w:w="0" w:type="dxa"/>
            <w:left w:w="0" w:type="dxa"/>
            <w:bottom w:w="0" w:type="dxa"/>
            <w:right w:w="0" w:type="dxa"/>
          </w:tblCellMar>
        </w:tblPrEx>
        <w:trPr>
          <w:trHeight w:val="402"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59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病原微生物实验室生物安全</w:t>
            </w:r>
          </w:p>
        </w:tc>
      </w:tr>
      <w:tr>
        <w:tblPrEx>
          <w:tblCellMar>
            <w:top w:w="0" w:type="dxa"/>
            <w:left w:w="0" w:type="dxa"/>
            <w:bottom w:w="0" w:type="dxa"/>
            <w:right w:w="0" w:type="dxa"/>
          </w:tblCellMar>
        </w:tblPrEx>
        <w:trPr>
          <w:trHeight w:val="587"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118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该项合格</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重点监督</w:t>
            </w:r>
          </w:p>
        </w:tc>
      </w:tr>
      <w:tr>
        <w:tblPrEx>
          <w:tblCellMar>
            <w:top w:w="0" w:type="dxa"/>
            <w:left w:w="0" w:type="dxa"/>
            <w:bottom w:w="0" w:type="dxa"/>
            <w:right w:w="0" w:type="dxa"/>
          </w:tblCellMar>
        </w:tblPrEx>
        <w:trPr>
          <w:trHeight w:val="1086"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单位数（家）</w:t>
            </w: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百分率(%)</w:t>
            </w:r>
          </w:p>
        </w:tc>
      </w:tr>
      <w:tr>
        <w:tblPrEx>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总计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医疗机构</w:t>
            </w: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小计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三级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二级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一级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88"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基层</w:t>
            </w:r>
          </w:p>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（其中诊所）</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4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43" w:hRule="atLeast"/>
          <w:jc w:val="center"/>
        </w:trPr>
        <w:tc>
          <w:tcPr>
            <w:tcW w:w="44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1046" w:type="dxa"/>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2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传染病医院（公共卫生临床中心）</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疾控机构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r>
        <w:tblPrEx>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采供血机构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lang w:bidi="ar"/>
              </w:rPr>
            </w:pPr>
          </w:p>
        </w:tc>
      </w:tr>
    </w:tbl>
    <w:p>
      <w:pPr>
        <w:rPr>
          <w:rFonts w:hint="eastAsia" w:ascii="仿宋" w:hAnsi="仿宋" w:eastAsia="仿宋" w:cs="仿宋"/>
          <w:bCs/>
          <w:color w:val="auto"/>
          <w:szCs w:val="21"/>
        </w:rPr>
      </w:pPr>
      <w:r>
        <w:rPr>
          <w:rFonts w:hint="eastAsia" w:ascii="仿宋" w:hAnsi="仿宋" w:eastAsia="仿宋" w:cs="仿宋"/>
          <w:bCs/>
          <w:color w:val="auto"/>
          <w:szCs w:val="21"/>
        </w:rPr>
        <w:t>填表人：　      　　　　 联系电话：                   填表日期：              审核人：</w:t>
      </w:r>
    </w:p>
    <w:p>
      <w:pPr>
        <w:widowControl/>
        <w:spacing w:line="600" w:lineRule="exact"/>
        <w:ind w:firstLine="640" w:firstLineChars="200"/>
        <w:jc w:val="left"/>
        <w:rPr>
          <w:rFonts w:hint="eastAsia" w:ascii="仿宋_GB2312" w:hAnsi="仿宋_GB2312" w:eastAsia="仿宋_GB2312" w:cs="仿宋_GB2312"/>
          <w:color w:val="auto"/>
          <w:sz w:val="32"/>
          <w:szCs w:val="24"/>
        </w:rPr>
        <w:sectPr>
          <w:pgSz w:w="16838" w:h="11906" w:orient="landscape"/>
          <w:pgMar w:top="1803" w:right="1440" w:bottom="1803" w:left="1723" w:header="992" w:footer="1332" w:gutter="0"/>
          <w:pgNumType w:fmt="numberInDash"/>
          <w:cols w:space="720" w:num="1"/>
          <w:rtlGutter w:val="0"/>
          <w:docGrid w:type="lines" w:linePitch="319" w:charSpace="0"/>
        </w:sectPr>
      </w:pPr>
    </w:p>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2025年医疗卫生机构传染病防治随机监督</w:t>
      </w:r>
      <w:r>
        <w:rPr>
          <w:rFonts w:hint="eastAsia" w:ascii="方正小标宋简体" w:hAnsi="方正小标宋简体" w:eastAsia="方正小标宋简体" w:cs="方正小标宋简体"/>
          <w:color w:val="auto"/>
          <w:sz w:val="44"/>
          <w:szCs w:val="44"/>
          <w:lang w:eastAsia="zh-CN"/>
        </w:rPr>
        <w:t>抽检</w:t>
      </w:r>
      <w:r>
        <w:rPr>
          <w:rFonts w:hint="eastAsia" w:ascii="方正小标宋简体" w:hAnsi="方正小标宋简体" w:eastAsia="方正小标宋简体" w:cs="方正小标宋简体"/>
          <w:color w:val="auto"/>
          <w:sz w:val="44"/>
          <w:szCs w:val="44"/>
        </w:rPr>
        <w:t>汇总表</w:t>
      </w:r>
    </w:p>
    <w:tbl>
      <w:tblPr>
        <w:tblStyle w:val="5"/>
        <w:tblW w:w="11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671"/>
        <w:gridCol w:w="111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监督对象</w:t>
            </w:r>
          </w:p>
        </w:tc>
        <w:tc>
          <w:tcPr>
            <w:tcW w:w="1312"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辖区</w:t>
            </w:r>
          </w:p>
          <w:p>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机构数</w:t>
            </w:r>
            <w:r>
              <w:rPr>
                <w:rFonts w:hint="eastAsia" w:ascii="仿宋_GB2312" w:hAnsi="仿宋_GB2312" w:eastAsia="仿宋_GB2312" w:cs="仿宋_GB2312"/>
                <w:color w:val="auto"/>
                <w:szCs w:val="21"/>
                <w:lang w:eastAsia="zh-CN"/>
              </w:rPr>
              <w:t>（家）</w:t>
            </w:r>
          </w:p>
        </w:tc>
        <w:tc>
          <w:tcPr>
            <w:tcW w:w="1225" w:type="dxa"/>
            <w:vMerge w:val="restart"/>
            <w:noWrap w:val="0"/>
            <w:vAlign w:val="center"/>
          </w:tcPr>
          <w:p>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抽检任务机构数（家）</w:t>
            </w:r>
          </w:p>
        </w:tc>
        <w:tc>
          <w:tcPr>
            <w:tcW w:w="1671" w:type="dxa"/>
            <w:vMerge w:val="restart"/>
            <w:noWrap w:val="0"/>
            <w:vAlign w:val="center"/>
          </w:tcPr>
          <w:p>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完成抽检机构数（家）</w:t>
            </w:r>
          </w:p>
        </w:tc>
        <w:tc>
          <w:tcPr>
            <w:tcW w:w="1114" w:type="dxa"/>
            <w:vMerge w:val="restart"/>
            <w:noWrap w:val="0"/>
            <w:vAlign w:val="center"/>
          </w:tcPr>
          <w:p>
            <w:pPr>
              <w:spacing w:line="320" w:lineRule="exact"/>
              <w:jc w:val="both"/>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抽检件数</w:t>
            </w:r>
          </w:p>
        </w:tc>
        <w:tc>
          <w:tcPr>
            <w:tcW w:w="1178" w:type="dxa"/>
            <w:vMerge w:val="restart"/>
            <w:noWrap w:val="0"/>
            <w:vAlign w:val="center"/>
          </w:tcPr>
          <w:p>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合格件数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312"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225"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671"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114"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178"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基层医疗机构</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（其中诊所）</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传染病医院（公共卫生临床中心）</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疾控机构</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采供血机构</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671" w:type="dxa"/>
            <w:noWrap w:val="0"/>
            <w:vAlign w:val="top"/>
          </w:tcPr>
          <w:p>
            <w:pPr>
              <w:spacing w:line="320" w:lineRule="exact"/>
              <w:rPr>
                <w:rFonts w:hint="eastAsia" w:ascii="仿宋_GB2312" w:hAnsi="仿宋_GB2312" w:eastAsia="仿宋_GB2312" w:cs="仿宋_GB2312"/>
                <w:color w:val="auto"/>
                <w:szCs w:val="21"/>
              </w:rPr>
            </w:pPr>
          </w:p>
        </w:tc>
        <w:tc>
          <w:tcPr>
            <w:tcW w:w="1114" w:type="dxa"/>
            <w:noWrap w:val="0"/>
            <w:vAlign w:val="top"/>
          </w:tcPr>
          <w:p>
            <w:pPr>
              <w:spacing w:line="320" w:lineRule="exact"/>
              <w:rPr>
                <w:rFonts w:hint="eastAsia" w:ascii="仿宋_GB2312" w:hAnsi="仿宋_GB2312" w:eastAsia="仿宋_GB2312" w:cs="仿宋_GB2312"/>
                <w:color w:val="auto"/>
                <w:szCs w:val="21"/>
              </w:rPr>
            </w:pPr>
          </w:p>
        </w:tc>
        <w:tc>
          <w:tcPr>
            <w:tcW w:w="1178" w:type="dxa"/>
            <w:noWrap w:val="0"/>
            <w:vAlign w:val="top"/>
          </w:tcPr>
          <w:p>
            <w:pPr>
              <w:spacing w:line="320" w:lineRule="exact"/>
              <w:rPr>
                <w:rFonts w:hint="eastAsia" w:ascii="仿宋_GB2312" w:hAnsi="仿宋_GB2312" w:eastAsia="仿宋_GB2312" w:cs="仿宋_GB2312"/>
                <w:color w:val="auto"/>
                <w:szCs w:val="21"/>
              </w:rPr>
            </w:pPr>
          </w:p>
        </w:tc>
      </w:tr>
    </w:tbl>
    <w:p>
      <w:pPr>
        <w:ind w:firstLine="1050" w:firstLineChars="500"/>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填表单位（盖章）：                     填表人：　      　　　　 联系电话：                   填表日期：  </w:t>
      </w:r>
    </w:p>
    <w:p>
      <w:pPr>
        <w:jc w:val="center"/>
        <w:rPr>
          <w:rFonts w:hint="eastAsia" w:ascii="方正小标宋简体" w:hAnsi="方正小标宋简体" w:eastAsia="方正小标宋简体" w:cs="方正小标宋简体"/>
          <w:color w:val="auto"/>
          <w:sz w:val="44"/>
          <w:szCs w:val="44"/>
        </w:rPr>
      </w:pPr>
    </w:p>
    <w:p>
      <w:pPr>
        <w:pStyle w:val="3"/>
        <w:rPr>
          <w:rFonts w:hint="eastAsia"/>
          <w:color w:val="auto"/>
        </w:rPr>
      </w:pPr>
    </w:p>
    <w:p>
      <w:pPr>
        <w:spacing w:line="590" w:lineRule="exact"/>
        <w:rPr>
          <w:rFonts w:hint="eastAsia" w:ascii="黑体" w:hAnsi="黑体" w:eastAsia="黑体" w:cs="黑体"/>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3</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2025年医疗卫生机构传染病防治随机监督抽查案件查处汇总表</w:t>
      </w:r>
    </w:p>
    <w:tbl>
      <w:tblPr>
        <w:tblStyle w:val="5"/>
        <w:tblW w:w="1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1312"/>
        <w:gridCol w:w="1225"/>
        <w:gridCol w:w="1027"/>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21"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监督对象</w:t>
            </w:r>
          </w:p>
        </w:tc>
        <w:tc>
          <w:tcPr>
            <w:tcW w:w="1312"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辖区</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机构数</w:t>
            </w:r>
          </w:p>
        </w:tc>
        <w:tc>
          <w:tcPr>
            <w:tcW w:w="1225"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检查</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机构数</w:t>
            </w:r>
          </w:p>
        </w:tc>
        <w:tc>
          <w:tcPr>
            <w:tcW w:w="1027" w:type="dxa"/>
            <w:vMerge w:val="restart"/>
            <w:noWrap w:val="0"/>
            <w:vAlign w:val="center"/>
          </w:tcPr>
          <w:p>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抽检机构数</w:t>
            </w:r>
          </w:p>
        </w:tc>
        <w:tc>
          <w:tcPr>
            <w:tcW w:w="1027"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发现违法行为机构数</w:t>
            </w:r>
          </w:p>
        </w:tc>
        <w:tc>
          <w:tcPr>
            <w:tcW w:w="606"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案件数</w:t>
            </w:r>
          </w:p>
        </w:tc>
        <w:tc>
          <w:tcPr>
            <w:tcW w:w="1052"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行政</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处分</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人员数</w:t>
            </w:r>
          </w:p>
        </w:tc>
        <w:tc>
          <w:tcPr>
            <w:tcW w:w="4098" w:type="dxa"/>
            <w:gridSpan w:val="5"/>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321"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312"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225"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027"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027"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606"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052"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750"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吊证</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（家）</w:t>
            </w:r>
          </w:p>
        </w:tc>
        <w:tc>
          <w:tcPr>
            <w:tcW w:w="750"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警告（家）</w:t>
            </w:r>
          </w:p>
        </w:tc>
        <w:tc>
          <w:tcPr>
            <w:tcW w:w="767"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罚款（家）</w:t>
            </w:r>
          </w:p>
        </w:tc>
        <w:tc>
          <w:tcPr>
            <w:tcW w:w="1027"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罚款金额</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804"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一级医院</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21"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基层医疗机构</w:t>
            </w:r>
          </w:p>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（其中诊所）</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21" w:type="dxa"/>
            <w:vMerge w:val="continue"/>
            <w:noWrap w:val="0"/>
            <w:vAlign w:val="center"/>
          </w:tcPr>
          <w:p>
            <w:pPr>
              <w:spacing w:line="320" w:lineRule="exact"/>
              <w:jc w:val="center"/>
              <w:rPr>
                <w:rFonts w:hint="eastAsia" w:ascii="仿宋_GB2312" w:hAnsi="仿宋_GB2312" w:eastAsia="仿宋_GB2312" w:cs="仿宋_GB2312"/>
                <w:color w:val="auto"/>
                <w:szCs w:val="21"/>
              </w:rPr>
            </w:pP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传染病医院（公共卫生临床中心）</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疾控机构</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采供血机构</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1" w:type="dxa"/>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12" w:type="dxa"/>
            <w:noWrap w:val="0"/>
            <w:vAlign w:val="top"/>
          </w:tcPr>
          <w:p>
            <w:pPr>
              <w:spacing w:line="320" w:lineRule="exact"/>
              <w:rPr>
                <w:rFonts w:hint="eastAsia" w:ascii="仿宋_GB2312" w:hAnsi="仿宋_GB2312" w:eastAsia="仿宋_GB2312" w:cs="仿宋_GB2312"/>
                <w:color w:val="auto"/>
                <w:szCs w:val="21"/>
              </w:rPr>
            </w:pPr>
          </w:p>
        </w:tc>
        <w:tc>
          <w:tcPr>
            <w:tcW w:w="1225"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606" w:type="dxa"/>
            <w:noWrap w:val="0"/>
            <w:vAlign w:val="top"/>
          </w:tcPr>
          <w:p>
            <w:pPr>
              <w:spacing w:line="320" w:lineRule="exact"/>
              <w:rPr>
                <w:rFonts w:hint="eastAsia" w:ascii="仿宋_GB2312" w:hAnsi="仿宋_GB2312" w:eastAsia="仿宋_GB2312" w:cs="仿宋_GB2312"/>
                <w:color w:val="auto"/>
                <w:szCs w:val="21"/>
              </w:rPr>
            </w:pPr>
          </w:p>
        </w:tc>
        <w:tc>
          <w:tcPr>
            <w:tcW w:w="1052"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50" w:type="dxa"/>
            <w:noWrap w:val="0"/>
            <w:vAlign w:val="top"/>
          </w:tcPr>
          <w:p>
            <w:pPr>
              <w:spacing w:line="320" w:lineRule="exact"/>
              <w:rPr>
                <w:rFonts w:hint="eastAsia" w:ascii="仿宋_GB2312" w:hAnsi="仿宋_GB2312" w:eastAsia="仿宋_GB2312" w:cs="仿宋_GB2312"/>
                <w:color w:val="auto"/>
                <w:szCs w:val="21"/>
              </w:rPr>
            </w:pPr>
          </w:p>
        </w:tc>
        <w:tc>
          <w:tcPr>
            <w:tcW w:w="767" w:type="dxa"/>
            <w:noWrap w:val="0"/>
            <w:vAlign w:val="top"/>
          </w:tcPr>
          <w:p>
            <w:pPr>
              <w:spacing w:line="320" w:lineRule="exact"/>
              <w:rPr>
                <w:rFonts w:hint="eastAsia" w:ascii="仿宋_GB2312" w:hAnsi="仿宋_GB2312" w:eastAsia="仿宋_GB2312" w:cs="仿宋_GB2312"/>
                <w:color w:val="auto"/>
                <w:szCs w:val="21"/>
              </w:rPr>
            </w:pPr>
          </w:p>
        </w:tc>
        <w:tc>
          <w:tcPr>
            <w:tcW w:w="1027" w:type="dxa"/>
            <w:noWrap w:val="0"/>
            <w:vAlign w:val="top"/>
          </w:tcPr>
          <w:p>
            <w:pPr>
              <w:spacing w:line="320" w:lineRule="exact"/>
              <w:rPr>
                <w:rFonts w:hint="eastAsia" w:ascii="仿宋_GB2312" w:hAnsi="仿宋_GB2312" w:eastAsia="仿宋_GB2312" w:cs="仿宋_GB2312"/>
                <w:color w:val="auto"/>
                <w:szCs w:val="21"/>
              </w:rPr>
            </w:pPr>
          </w:p>
        </w:tc>
        <w:tc>
          <w:tcPr>
            <w:tcW w:w="804" w:type="dxa"/>
            <w:noWrap w:val="0"/>
            <w:vAlign w:val="top"/>
          </w:tcPr>
          <w:p>
            <w:pPr>
              <w:spacing w:line="320" w:lineRule="exact"/>
              <w:rPr>
                <w:rFonts w:hint="eastAsia" w:ascii="仿宋_GB2312" w:hAnsi="仿宋_GB2312" w:eastAsia="仿宋_GB2312" w:cs="仿宋_GB2312"/>
                <w:color w:val="auto"/>
                <w:szCs w:val="21"/>
              </w:rPr>
            </w:pPr>
          </w:p>
        </w:tc>
      </w:tr>
    </w:tbl>
    <w:p>
      <w:pP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填表单位（盖章）：                     填表人：　      　　　　 联系电话：                  </w:t>
      </w:r>
      <w:r>
        <w:rPr>
          <w:rFonts w:hint="default" w:ascii="仿宋_GB2312" w:hAnsi="仿宋_GB2312" w:eastAsia="仿宋_GB2312" w:cs="仿宋_GB2312"/>
          <w:bCs/>
          <w:color w:val="auto"/>
          <w:szCs w:val="21"/>
          <w:lang w:val="en"/>
        </w:rPr>
        <w:t xml:space="preserve">  </w:t>
      </w:r>
      <w:r>
        <w:rPr>
          <w:rFonts w:hint="eastAsia" w:ascii="仿宋_GB2312" w:hAnsi="仿宋_GB2312" w:eastAsia="仿宋_GB2312" w:cs="仿宋_GB2312"/>
          <w:bCs/>
          <w:color w:val="auto"/>
          <w:szCs w:val="21"/>
        </w:rPr>
        <w:t xml:space="preserve"> 填表日期：  </w:t>
      </w:r>
    </w:p>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h2mescBAAB+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6F5E"/>
    <w:rsid w:val="5F3C6FCD"/>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