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0" w:name="_Toc3266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海南省药品上市许可持有人</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1" w:name="_Toc18023"/>
      <w:r>
        <w:rPr>
          <w:rFonts w:hint="eastAsia" w:ascii="方正仿宋_GBK" w:hAnsi="方正仿宋_GBK" w:eastAsia="方正仿宋_GBK" w:cs="方正仿宋_GBK"/>
          <w:sz w:val="44"/>
          <w:szCs w:val="44"/>
        </w:rPr>
        <w:t>委托生产</w:t>
      </w:r>
      <w:r>
        <w:rPr>
          <w:rFonts w:hint="eastAsia" w:ascii="方正仿宋_GBK" w:hAnsi="方正仿宋_GBK" w:eastAsia="方正仿宋_GBK" w:cs="方正仿宋_GBK"/>
          <w:strike w:val="0"/>
          <w:sz w:val="44"/>
          <w:szCs w:val="44"/>
          <w:lang w:val="en-US" w:eastAsia="zh-CN"/>
        </w:rPr>
        <w:t>管理</w:t>
      </w:r>
      <w:r>
        <w:rPr>
          <w:rFonts w:hint="eastAsia" w:ascii="方正仿宋_GBK" w:hAnsi="方正仿宋_GBK" w:eastAsia="方正仿宋_GBK" w:cs="方正仿宋_GBK"/>
          <w:sz w:val="44"/>
          <w:szCs w:val="44"/>
        </w:rPr>
        <w:t>指南</w:t>
      </w:r>
      <w:bookmarkEnd w:id="1"/>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outlineLvl w:val="9"/>
        <w:rPr>
          <w:rFonts w:hint="eastAsia" w:ascii="方正仿宋_GBK" w:hAnsi="方正仿宋_GBK" w:eastAsia="方正仿宋_GBK" w:cs="方正仿宋_GBK"/>
          <w:sz w:val="32"/>
          <w:szCs w:val="32"/>
          <w:lang w:val="en-US" w:eastAsia="zh-CN"/>
        </w:rPr>
      </w:pPr>
      <w:bookmarkStart w:id="2" w:name="_Toc15329"/>
      <w:r>
        <w:rPr>
          <w:rFonts w:hint="eastAsia" w:ascii="方正仿宋_GBK" w:hAnsi="方正仿宋_GBK" w:eastAsia="方正仿宋_GBK" w:cs="方正仿宋_GBK"/>
          <w:sz w:val="32"/>
          <w:szCs w:val="32"/>
          <w:lang w:val="en-US" w:eastAsia="zh-CN"/>
        </w:rPr>
        <w:t>海南省药品监督管理局</w:t>
      </w:r>
      <w:bookmarkEnd w:id="2"/>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kern w:val="2"/>
          <w:sz w:val="32"/>
          <w:szCs w:val="32"/>
          <w:lang w:val="en-US" w:eastAsia="zh-CN" w:bidi="ar-SA"/>
        </w:rPr>
        <w:sectPr>
          <w:footerReference r:id="rId9" w:type="first"/>
          <w:headerReference r:id="rId5" w:type="default"/>
          <w:footerReference r:id="rId7" w:type="default"/>
          <w:headerReference r:id="rId6" w:type="even"/>
          <w:footerReference r:id="rId8" w:type="even"/>
          <w:pgSz w:w="11906" w:h="16838"/>
          <w:pgMar w:top="1440" w:right="1417" w:bottom="1247" w:left="1417" w:header="851" w:footer="992" w:gutter="0"/>
          <w:pgNumType w:fmt="decimal"/>
          <w:cols w:space="425" w:num="1"/>
          <w:titlePg/>
          <w:docGrid w:type="lines" w:linePitch="312" w:charSpace="0"/>
        </w:sectPr>
      </w:pPr>
    </w:p>
    <w:sdt>
      <w:sdtPr>
        <w:rPr>
          <w:rFonts w:hint="eastAsia" w:ascii="方正仿宋_GBK" w:hAnsi="方正仿宋_GBK" w:eastAsia="方正仿宋_GBK" w:cs="方正仿宋_GBK"/>
          <w:kern w:val="2"/>
          <w:sz w:val="32"/>
          <w:szCs w:val="32"/>
          <w:lang w:val="en-US" w:eastAsia="zh-CN" w:bidi="ar-SA"/>
        </w:rPr>
        <w:id w:val="147475388"/>
        <w15:color w:val="DBDBDB"/>
        <w:docPartObj>
          <w:docPartGallery w:val="Table of Contents"/>
          <w:docPartUnique/>
        </w:docPartObj>
      </w:sdtPr>
      <w:sdtEndPr>
        <w:rPr>
          <w:rFonts w:hint="eastAsia" w:ascii="方正仿宋_GBK" w:hAnsi="方正仿宋_GBK" w:eastAsia="方正仿宋_GBK" w:cs="方正仿宋_GBK"/>
          <w:b/>
          <w:kern w:val="2"/>
          <w:sz w:val="28"/>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目录</w:t>
          </w:r>
        </w:p>
        <w:p>
          <w:pPr>
            <w:pStyle w:val="9"/>
            <w:tabs>
              <w:tab w:val="right" w:leader="dot" w:pos="8400"/>
            </w:tabs>
            <w:spacing w:beforeLines="0" w:afterLines="0"/>
            <w:ind w:left="0" w:leftChars="0" w:firstLine="556" w:firstLineChars="139"/>
            <w:rPr>
              <w:rFonts w:hint="eastAsia" w:ascii="方正仿宋_GBK" w:hAnsi="方正仿宋_GBK" w:eastAsia="方正仿宋_GBK" w:cs="方正仿宋_GBK"/>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"1-2" \h \u </w:instrText>
          </w:r>
          <w:r>
            <w:rPr>
              <w:rFonts w:hint="eastAsia" w:ascii="方正仿宋_GBK" w:hAnsi="方正仿宋_GBK" w:eastAsia="方正仿宋_GBK" w:cs="方正仿宋_GBK"/>
              <w:sz w:val="40"/>
              <w:szCs w:val="40"/>
            </w:rPr>
            <w:fldChar w:fldCharType="separate"/>
          </w: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_Toc31297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 总则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_Toc31297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_Toc4541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lang w:val="en-US" w:eastAsia="zh-CN"/>
            </w:rPr>
            <w:t xml:space="preserve">1.1 </w:t>
          </w:r>
          <w:r>
            <w:rPr>
              <w:rFonts w:hint="eastAsia" w:ascii="方正仿宋_GBK" w:hAnsi="方正仿宋_GBK" w:eastAsia="方正仿宋_GBK" w:cs="方正仿宋_GBK"/>
              <w:szCs w:val="32"/>
              <w:lang w:val="en-US" w:eastAsia="zh-CN"/>
            </w:rPr>
            <w:t>目的</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_Toc15879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1.2 </w:t>
          </w:r>
          <w:r>
            <w:rPr>
              <w:rFonts w:hint="eastAsia" w:ascii="方正仿宋_GBK" w:hAnsi="方正仿宋_GBK" w:eastAsia="方正仿宋_GBK" w:cs="方正仿宋_GBK"/>
              <w:bCs/>
              <w:szCs w:val="32"/>
              <w:lang w:val="en-US" w:eastAsia="zh-CN"/>
            </w:rPr>
            <w:t>原则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_Toc15879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_Toc13406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kern w:val="2"/>
              <w:szCs w:val="32"/>
              <w:lang w:val="en-US" w:eastAsia="zh-CN"/>
            </w:rPr>
            <w:t>1.3 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_Toc13406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_Toc9575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2 质量管理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_Toc9575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_Toc17679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2.1 </w:t>
          </w:r>
          <w:r>
            <w:rPr>
              <w:rFonts w:hint="eastAsia" w:ascii="方正仿宋_GBK" w:hAnsi="方正仿宋_GBK" w:eastAsia="方正仿宋_GBK" w:cs="方正仿宋_GBK"/>
              <w:bCs/>
              <w:szCs w:val="32"/>
            </w:rPr>
            <w:t>质量</w:t>
          </w:r>
          <w:r>
            <w:rPr>
              <w:rFonts w:hint="eastAsia" w:ascii="方正仿宋_GBK" w:hAnsi="方正仿宋_GBK" w:eastAsia="方正仿宋_GBK" w:cs="方正仿宋_GBK"/>
              <w:bCs/>
            </w:rPr>
            <w:t>管理体系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_Toc17679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2.2 </w:t>
          </w:r>
          <w:r>
            <w:rPr>
              <w:rFonts w:hint="eastAsia" w:ascii="方正仿宋_GBK" w:hAnsi="方正仿宋_GBK" w:eastAsia="方正仿宋_GBK" w:cs="方正仿宋_GBK"/>
            </w:rPr>
            <w:t>委托生产管理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_Toc25328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2.3 </w:t>
          </w:r>
          <w:r>
            <w:rPr>
              <w:rFonts w:hint="eastAsia" w:ascii="方正仿宋_GBK" w:hAnsi="方正仿宋_GBK" w:eastAsia="方正仿宋_GBK" w:cs="方正仿宋_GBK"/>
            </w:rPr>
            <w:t>风险管理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_Toc25328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3 机构与人员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3.1 </w:t>
          </w:r>
          <w:r>
            <w:rPr>
              <w:rFonts w:hint="eastAsia" w:ascii="方正仿宋_GBK" w:hAnsi="方正仿宋_GBK" w:eastAsia="方正仿宋_GBK" w:cs="方正仿宋_GBK"/>
            </w:rPr>
            <w:t>机构</w:t>
          </w:r>
          <w:r>
            <w:rPr>
              <w:rFonts w:hint="eastAsia" w:ascii="方正仿宋_GBK" w:hAnsi="方正仿宋_GBK" w:eastAsia="方正仿宋_GBK" w:cs="方正仿宋_GBK"/>
              <w:szCs w:val="32"/>
            </w:rPr>
            <w:t>设置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_Toc18257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3.2 </w:t>
          </w:r>
          <w:r>
            <w:rPr>
              <w:rFonts w:hint="eastAsia" w:ascii="方正仿宋_GBK" w:hAnsi="方正仿宋_GBK" w:eastAsia="方正仿宋_GBK" w:cs="方正仿宋_GBK"/>
            </w:rPr>
            <w:t>部门职责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_Toc18257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_Toc25794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3.3 </w:t>
          </w:r>
          <w:r>
            <w:rPr>
              <w:rFonts w:hint="eastAsia" w:ascii="方正仿宋_GBK" w:hAnsi="方正仿宋_GBK" w:eastAsia="方正仿宋_GBK" w:cs="方正仿宋_GBK"/>
            </w:rPr>
            <w:t>关键人员资质</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_Toc25794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_Toc32246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3.4 </w:t>
          </w:r>
          <w:r>
            <w:rPr>
              <w:rFonts w:hint="eastAsia" w:ascii="方正仿宋_GBK" w:hAnsi="方正仿宋_GBK" w:eastAsia="方正仿宋_GBK" w:cs="方正仿宋_GBK"/>
            </w:rPr>
            <w:t>关键人员职责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_Toc32246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_Toc4784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3.5 </w:t>
          </w:r>
          <w:r>
            <w:rPr>
              <w:rFonts w:hint="eastAsia" w:ascii="方正仿宋_GBK" w:hAnsi="方正仿宋_GBK" w:eastAsia="方正仿宋_GBK" w:cs="方正仿宋_GBK"/>
            </w:rPr>
            <w:t>培训要求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_Toc4784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_Toc21678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3.6 </w:t>
          </w:r>
          <w:r>
            <w:rPr>
              <w:rFonts w:hint="eastAsia" w:ascii="方正仿宋_GBK" w:hAnsi="方正仿宋_GBK" w:eastAsia="方正仿宋_GBK" w:cs="方正仿宋_GBK"/>
            </w:rPr>
            <w:t>人员健康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_Toc21678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_Toc27295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4 厂房、设施与设备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_Toc27295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_Toc16318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4.1 </w:t>
          </w:r>
          <w:r>
            <w:rPr>
              <w:rFonts w:hint="eastAsia" w:ascii="方正仿宋_GBK" w:hAnsi="方正仿宋_GBK" w:eastAsia="方正仿宋_GBK" w:cs="方正仿宋_GBK"/>
              <w:szCs w:val="32"/>
            </w:rPr>
            <w:t>厂房</w:t>
          </w:r>
          <w:r>
            <w:rPr>
              <w:rFonts w:hint="eastAsia" w:ascii="方正仿宋_GBK" w:hAnsi="方正仿宋_GBK" w:eastAsia="方正仿宋_GBK" w:cs="方正仿宋_GBK"/>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_Toc16318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_Toc15235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4.2 </w:t>
          </w:r>
          <w:r>
            <w:rPr>
              <w:rFonts w:hint="eastAsia" w:ascii="方正仿宋_GBK" w:hAnsi="方正仿宋_GBK" w:eastAsia="方正仿宋_GBK" w:cs="方正仿宋_GBK"/>
            </w:rPr>
            <w:t>设备管理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_Toc22268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4.3 </w:t>
          </w:r>
          <w:r>
            <w:rPr>
              <w:rFonts w:hint="eastAsia" w:ascii="方正仿宋_GBK" w:hAnsi="方正仿宋_GBK" w:eastAsia="方正仿宋_GBK" w:cs="方正仿宋_GBK"/>
              <w:szCs w:val="32"/>
            </w:rPr>
            <w:t>公用</w:t>
          </w:r>
          <w:r>
            <w:rPr>
              <w:rFonts w:hint="eastAsia" w:ascii="方正仿宋_GBK" w:hAnsi="方正仿宋_GBK" w:eastAsia="方正仿宋_GBK" w:cs="方正仿宋_GBK"/>
            </w:rPr>
            <w:t>系统管理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_Toc22268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_Toc6055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5 物料与产品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_Toc6055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_Toc7703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5.1 </w:t>
          </w:r>
          <w:r>
            <w:rPr>
              <w:rFonts w:hint="eastAsia" w:ascii="方正仿宋_GBK" w:hAnsi="方正仿宋_GBK" w:eastAsia="方正仿宋_GBK" w:cs="方正仿宋_GBK"/>
            </w:rPr>
            <w:t>供应商</w:t>
          </w:r>
          <w:r>
            <w:rPr>
              <w:rFonts w:hint="eastAsia" w:ascii="方正仿宋_GBK" w:hAnsi="方正仿宋_GBK" w:eastAsia="方正仿宋_GBK" w:cs="方正仿宋_GBK"/>
              <w:szCs w:val="32"/>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_Toc7703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_Toc27743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5.2 </w:t>
          </w:r>
          <w:r>
            <w:rPr>
              <w:rFonts w:hint="eastAsia" w:ascii="方正仿宋_GBK" w:hAnsi="方正仿宋_GBK" w:eastAsia="方正仿宋_GBK" w:cs="方正仿宋_GBK"/>
            </w:rPr>
            <w:t>入厂检验（取样、储存）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_Toc27743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_Toc27625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5.3 </w:t>
          </w:r>
          <w:r>
            <w:rPr>
              <w:rFonts w:hint="eastAsia" w:ascii="方正仿宋_GBK" w:hAnsi="方正仿宋_GBK" w:eastAsia="方正仿宋_GBK" w:cs="方正仿宋_GBK"/>
            </w:rPr>
            <w:t>上市放行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_Toc27625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_Toc16535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5.4 </w:t>
          </w:r>
          <w:r>
            <w:rPr>
              <w:rFonts w:hint="eastAsia" w:ascii="方正仿宋_GBK" w:hAnsi="方正仿宋_GBK" w:eastAsia="方正仿宋_GBK" w:cs="方正仿宋_GBK"/>
            </w:rPr>
            <w:t>药品追溯</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_Toc16535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5.5 </w:t>
          </w:r>
          <w:r>
            <w:rPr>
              <w:rFonts w:hint="eastAsia" w:ascii="方正仿宋_GBK" w:hAnsi="方正仿宋_GBK" w:eastAsia="方正仿宋_GBK" w:cs="方正仿宋_GBK"/>
            </w:rPr>
            <w:t>发运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_Toc6277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5.6 </w:t>
          </w:r>
          <w:r>
            <w:rPr>
              <w:rFonts w:hint="eastAsia" w:ascii="方正仿宋_GBK" w:hAnsi="方正仿宋_GBK" w:eastAsia="方正仿宋_GBK" w:cs="方正仿宋_GBK"/>
            </w:rPr>
            <w:t>销售（含委托销售）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_Toc6277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_Toc9416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5.7 </w:t>
          </w:r>
          <w:r>
            <w:rPr>
              <w:rFonts w:hint="eastAsia" w:ascii="方正仿宋_GBK" w:hAnsi="方正仿宋_GBK" w:eastAsia="方正仿宋_GBK" w:cs="方正仿宋_GBK"/>
            </w:rPr>
            <w:t>召回</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_Toc9416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_Toc12362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6 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_Toc12362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6.1 </w:t>
          </w:r>
          <w:r>
            <w:rPr>
              <w:rFonts w:hint="eastAsia" w:ascii="方正仿宋_GBK" w:hAnsi="方正仿宋_GBK" w:eastAsia="方正仿宋_GBK" w:cs="方正仿宋_GBK"/>
              <w:szCs w:val="32"/>
            </w:rPr>
            <w:t>技术</w:t>
          </w:r>
          <w:r>
            <w:rPr>
              <w:rFonts w:hint="eastAsia" w:ascii="方正仿宋_GBK" w:hAnsi="方正仿宋_GBK" w:eastAsia="方正仿宋_GBK" w:cs="方正仿宋_GBK"/>
            </w:rPr>
            <w:t>转移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_Toc3148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6.2 </w:t>
          </w:r>
          <w:r>
            <w:rPr>
              <w:rFonts w:hint="eastAsia" w:ascii="方正仿宋_GBK" w:hAnsi="方正仿宋_GBK" w:eastAsia="方正仿宋_GBK" w:cs="方正仿宋_GBK"/>
            </w:rPr>
            <w:t>派驻</w:t>
          </w:r>
          <w:r>
            <w:rPr>
              <w:rFonts w:hint="eastAsia" w:ascii="方正仿宋_GBK" w:hAnsi="方正仿宋_GBK" w:eastAsia="方正仿宋_GBK" w:cs="方正仿宋_GBK"/>
              <w:szCs w:val="32"/>
            </w:rPr>
            <w:t>检查</w:t>
          </w:r>
          <w:r>
            <w:rPr>
              <w:rFonts w:hint="eastAsia" w:ascii="方正仿宋_GBK" w:hAnsi="方正仿宋_GBK" w:eastAsia="方正仿宋_GBK" w:cs="方正仿宋_GBK"/>
            </w:rPr>
            <w:t>、指导</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_Toc3148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_Toc31903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6.3 </w:t>
          </w:r>
          <w:r>
            <w:rPr>
              <w:rFonts w:hint="eastAsia" w:ascii="方正仿宋_GBK" w:hAnsi="方正仿宋_GBK" w:eastAsia="方正仿宋_GBK" w:cs="方正仿宋_GBK"/>
            </w:rPr>
            <w:t>生产操作（含包装操作）</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_Toc31903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6.4 </w:t>
          </w:r>
          <w:r>
            <w:rPr>
              <w:rFonts w:hint="eastAsia" w:ascii="方正仿宋_GBK" w:hAnsi="方正仿宋_GBK" w:eastAsia="方正仿宋_GBK" w:cs="方正仿宋_GBK"/>
              <w:szCs w:val="32"/>
            </w:rPr>
            <w:t>污染</w:t>
          </w:r>
          <w:r>
            <w:rPr>
              <w:rFonts w:hint="eastAsia" w:ascii="方正仿宋_GBK" w:hAnsi="方正仿宋_GBK" w:eastAsia="方正仿宋_GBK" w:cs="方正仿宋_GBK"/>
            </w:rPr>
            <w:t>与交叉污染</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_Toc13311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7 质量控制</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_Toc13311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_Toc26891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7.1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_Toc26891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_Toc29819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7.2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能力</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_Toc29819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_Toc32223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7.3 </w:t>
          </w:r>
          <w:r>
            <w:rPr>
              <w:rFonts w:hint="eastAsia" w:ascii="方正仿宋_GBK" w:hAnsi="方正仿宋_GBK" w:eastAsia="方正仿宋_GBK" w:cs="方正仿宋_GBK"/>
            </w:rPr>
            <w:t>留样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_Toc32223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_Toc7242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7.4 </w:t>
          </w:r>
          <w:r>
            <w:rPr>
              <w:rFonts w:hint="eastAsia" w:ascii="方正仿宋_GBK" w:hAnsi="方正仿宋_GBK" w:eastAsia="方正仿宋_GBK" w:cs="方正仿宋_GBK"/>
              <w:szCs w:val="32"/>
            </w:rPr>
            <w:t>稳定性</w:t>
          </w:r>
          <w:r>
            <w:rPr>
              <w:rFonts w:hint="eastAsia" w:ascii="方正仿宋_GBK" w:hAnsi="方正仿宋_GBK" w:eastAsia="方正仿宋_GBK" w:cs="方正仿宋_GBK"/>
            </w:rPr>
            <w:t>考察</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_Toc7242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_Toc6201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7.5 </w:t>
          </w:r>
          <w:r>
            <w:rPr>
              <w:rFonts w:hint="eastAsia" w:ascii="方正仿宋_GBK" w:hAnsi="方正仿宋_GBK" w:eastAsia="方正仿宋_GBK" w:cs="方正仿宋_GBK"/>
            </w:rPr>
            <w:t>委托检验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_Toc6201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_Toc18951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8 质量保证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_Toc18951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_Toc567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8.1 </w:t>
          </w:r>
          <w:r>
            <w:rPr>
              <w:rFonts w:hint="eastAsia" w:ascii="方正仿宋_GBK" w:hAnsi="方正仿宋_GBK" w:eastAsia="方正仿宋_GBK" w:cs="方正仿宋_GBK"/>
            </w:rPr>
            <w:t>定期</w:t>
          </w:r>
          <w:r>
            <w:rPr>
              <w:rFonts w:hint="eastAsia" w:ascii="方正仿宋_GBK" w:hAnsi="方正仿宋_GBK" w:eastAsia="方正仿宋_GBK" w:cs="方正仿宋_GBK"/>
              <w:szCs w:val="32"/>
            </w:rPr>
            <w:t>审核</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_Toc567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_Toc30091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8.2 </w:t>
          </w:r>
          <w:r>
            <w:rPr>
              <w:rFonts w:hint="eastAsia" w:ascii="方正仿宋_GBK" w:hAnsi="方正仿宋_GBK" w:eastAsia="方正仿宋_GBK" w:cs="方正仿宋_GBK"/>
            </w:rPr>
            <w:t>变更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_Toc30091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_Toc31187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8.3 </w:t>
          </w:r>
          <w:r>
            <w:rPr>
              <w:rFonts w:hint="eastAsia" w:ascii="方正仿宋_GBK" w:hAnsi="方正仿宋_GBK" w:eastAsia="方正仿宋_GBK" w:cs="方正仿宋_GBK"/>
            </w:rPr>
            <w:t>偏差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_Toc31187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_Toc31837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8.4 </w:t>
          </w:r>
          <w:r>
            <w:rPr>
              <w:rFonts w:hint="eastAsia" w:ascii="方正仿宋_GBK" w:hAnsi="方正仿宋_GBK" w:eastAsia="方正仿宋_GBK" w:cs="方正仿宋_GBK"/>
            </w:rPr>
            <w:t>产品质量回顾分析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_Toc31837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_Toc2058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8.5 </w:t>
          </w:r>
          <w:r>
            <w:rPr>
              <w:rFonts w:hint="eastAsia" w:ascii="方正仿宋_GBK" w:hAnsi="方正仿宋_GBK" w:eastAsia="方正仿宋_GBK" w:cs="方正仿宋_GBK"/>
            </w:rPr>
            <w:t>纠正预防措施</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_Toc2058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_Toc9938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8.6 </w:t>
          </w:r>
          <w:r>
            <w:rPr>
              <w:rFonts w:hint="eastAsia" w:ascii="方正仿宋_GBK" w:hAnsi="方正仿宋_GBK" w:eastAsia="方正仿宋_GBK" w:cs="方正仿宋_GBK"/>
            </w:rPr>
            <w:t>投诉</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_Toc9938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_Toc20990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9 文件管理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_Toc20990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_Toc4892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10 质量协议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_Toc4892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_Toc15436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10.1 </w:t>
          </w:r>
          <w:r>
            <w:rPr>
              <w:rFonts w:hint="eastAsia" w:ascii="方正仿宋_GBK" w:hAnsi="方正仿宋_GBK" w:eastAsia="方正仿宋_GBK" w:cs="方正仿宋_GBK"/>
            </w:rPr>
            <w:t>协议管理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_Toc15436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_Toc7635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10.2 </w:t>
          </w:r>
          <w:r>
            <w:rPr>
              <w:rFonts w:hint="eastAsia" w:ascii="方正仿宋_GBK" w:hAnsi="方正仿宋_GBK" w:eastAsia="方正仿宋_GBK" w:cs="方正仿宋_GBK"/>
            </w:rPr>
            <w:t>职责约定</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_Toc7635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_Toc14830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10.3 </w:t>
          </w:r>
          <w:r>
            <w:rPr>
              <w:rFonts w:hint="eastAsia" w:ascii="方正仿宋_GBK" w:hAnsi="方正仿宋_GBK" w:eastAsia="方正仿宋_GBK" w:cs="方正仿宋_GBK"/>
            </w:rPr>
            <w:t>协议履行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szCs w:val="40"/>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_Toc23483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pacing w:val="-23"/>
              <w:szCs w:val="32"/>
            </w:rPr>
            <w:t>11 生物制品、多组分生化药、中药注射剂等特殊要求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_Toc23483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Cs w:val="40"/>
              <w:lang w:val="en-US" w:eastAsia="zh-CN"/>
            </w:rPr>
            <w:t>12.核减、注销要求...............................................................34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_Toc11111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术语</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_Toc11111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_Toc5851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参考法规、指南和文献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_Toc5851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6</w:t>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_Toc6150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40"/>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r>
            <w:rPr>
              <w:rFonts w:hint="eastAsia" w:ascii="方正仿宋_GBK" w:hAnsi="方正仿宋_GBK" w:eastAsia="方正仿宋_GBK" w:cs="方正仿宋_GBK"/>
              <w:sz w:val="24"/>
              <w:szCs w:val="40"/>
            </w:rPr>
            <w:fldChar w:fldCharType="end"/>
          </w:r>
        </w:p>
      </w:sdtContent>
    </w:sdt>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pStyle w:val="2"/>
        <w:keepNext w:val="0"/>
        <w:keepLines w:val="0"/>
        <w:pageBreakBefore w:val="0"/>
        <w:widowControl w:val="0"/>
        <w:kinsoku/>
        <w:wordWrap/>
        <w:overflowPunct/>
        <w:topLinePunct w:val="0"/>
        <w:autoSpaceDE/>
        <w:autoSpaceDN/>
        <w:bidi w:val="0"/>
        <w:adjustRightInd/>
        <w:snapToGrid/>
        <w:ind w:firstLineChars="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lang w:val="en-US" w:eastAsia="zh-CN"/>
        </w:rPr>
      </w:pP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3" w:name="_Toc26990"/>
      <w:bookmarkStart w:id="4" w:name="_Toc31297"/>
      <w:bookmarkStart w:id="5" w:name="_Toc1267"/>
      <w:bookmarkStart w:id="6" w:name="_Toc20278"/>
      <w:r>
        <w:rPr>
          <w:rFonts w:hint="eastAsia" w:ascii="方正仿宋_GBK" w:hAnsi="方正仿宋_GBK" w:eastAsia="方正仿宋_GBK" w:cs="方正仿宋_GBK"/>
          <w:sz w:val="32"/>
          <w:szCs w:val="32"/>
        </w:rPr>
        <w:t>总  则</w:t>
      </w:r>
      <w:bookmarkEnd w:id="3"/>
      <w:bookmarkEnd w:id="4"/>
      <w:bookmarkEnd w:id="5"/>
      <w:bookmarkEnd w:id="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7" w:name="_Toc4541"/>
      <w:bookmarkStart w:id="8" w:name="_Toc6083"/>
      <w:r>
        <w:rPr>
          <w:rFonts w:hint="eastAsia" w:ascii="方正仿宋_GBK" w:hAnsi="方正仿宋_GBK" w:eastAsia="方正仿宋_GBK" w:cs="方正仿宋_GBK"/>
          <w:sz w:val="32"/>
          <w:szCs w:val="32"/>
          <w:lang w:val="en-US" w:eastAsia="zh-CN"/>
        </w:rPr>
        <w:t xml:space="preserve">  目的</w:t>
      </w:r>
      <w:bookmarkEnd w:id="7"/>
      <w:bookmarkEnd w:id="8"/>
    </w:p>
    <w:p>
      <w:pPr>
        <w:spacing w:beforeLines="0" w:afterLines="0"/>
        <w:outlineLvl w:val="9"/>
        <w:rPr>
          <w:rFonts w:hint="eastAsia" w:ascii="方正仿宋_GBK" w:hAnsi="方正仿宋_GBK" w:eastAsia="方正仿宋_GBK" w:cs="方正仿宋_GBK"/>
          <w:sz w:val="32"/>
          <w:szCs w:val="32"/>
        </w:rPr>
      </w:pPr>
      <w:bookmarkStart w:id="9" w:name="_Toc4931"/>
      <w:r>
        <w:rPr>
          <w:rFonts w:hint="eastAsia" w:ascii="方正仿宋_GBK" w:hAnsi="方正仿宋_GBK" w:eastAsia="方正仿宋_GBK" w:cs="方正仿宋_GBK"/>
          <w:b w:val="0"/>
          <w:bCs w:val="0"/>
          <w:color w:val="auto"/>
          <w:kern w:val="2"/>
          <w:sz w:val="32"/>
          <w:szCs w:val="32"/>
        </w:rPr>
        <w:t>药品上市许可持有人（以下简称“持有人”）依法对药品研制、生产、经营、使用全过程中药品的安全性、有效性和质量可控性负责。为进一步加强海南省持有人</w:t>
      </w:r>
      <w:r>
        <w:rPr>
          <w:rFonts w:hint="eastAsia" w:ascii="方正仿宋_GBK" w:hAnsi="方正仿宋_GBK" w:eastAsia="方正仿宋_GBK" w:cs="方正仿宋_GBK"/>
          <w:b w:val="0"/>
          <w:bCs w:val="0"/>
          <w:color w:val="auto"/>
          <w:kern w:val="2"/>
          <w:sz w:val="32"/>
          <w:szCs w:val="32"/>
          <w:lang w:val="en-US" w:eastAsia="zh-CN"/>
        </w:rPr>
        <w:t>委托生产管理水平</w:t>
      </w:r>
      <w:r>
        <w:rPr>
          <w:rFonts w:hint="eastAsia" w:ascii="方正仿宋_GBK" w:hAnsi="方正仿宋_GBK" w:eastAsia="方正仿宋_GBK" w:cs="方正仿宋_GBK"/>
          <w:b w:val="0"/>
          <w:bCs w:val="0"/>
          <w:color w:val="auto"/>
          <w:kern w:val="2"/>
          <w:sz w:val="32"/>
          <w:szCs w:val="32"/>
        </w:rPr>
        <w:t>，指导</w:t>
      </w:r>
      <w:r>
        <w:rPr>
          <w:rFonts w:hint="eastAsia" w:ascii="方正仿宋_GBK" w:hAnsi="方正仿宋_GBK" w:eastAsia="方正仿宋_GBK" w:cs="方正仿宋_GBK"/>
          <w:b w:val="0"/>
          <w:bCs w:val="0"/>
          <w:color w:val="auto"/>
          <w:kern w:val="2"/>
          <w:sz w:val="32"/>
          <w:szCs w:val="32"/>
          <w:lang w:val="en-US" w:eastAsia="zh-CN"/>
        </w:rPr>
        <w:t>和</w:t>
      </w:r>
      <w:r>
        <w:rPr>
          <w:rFonts w:hint="eastAsia" w:ascii="方正仿宋_GBK" w:hAnsi="方正仿宋_GBK" w:eastAsia="方正仿宋_GBK" w:cs="方正仿宋_GBK"/>
          <w:b w:val="0"/>
          <w:bCs w:val="0"/>
          <w:color w:val="auto"/>
          <w:kern w:val="2"/>
          <w:sz w:val="32"/>
          <w:szCs w:val="32"/>
        </w:rPr>
        <w:t>规范持有人对委托生产药品及受托生产企业管理，依据《药品生产质量管理规范（2010</w:t>
      </w:r>
      <w:r>
        <w:rPr>
          <w:rFonts w:hint="eastAsia" w:ascii="方正仿宋_GBK" w:hAnsi="方正仿宋_GBK" w:eastAsia="方正仿宋_GBK" w:cs="方正仿宋_GBK"/>
          <w:b w:val="0"/>
          <w:bCs w:val="0"/>
          <w:color w:val="auto"/>
          <w:kern w:val="2"/>
          <w:sz w:val="32"/>
          <w:szCs w:val="32"/>
          <w:lang w:val="en-US" w:eastAsia="zh-CN"/>
        </w:rPr>
        <w:t>年修订</w:t>
      </w:r>
      <w:r>
        <w:rPr>
          <w:rFonts w:hint="eastAsia" w:ascii="方正仿宋_GBK" w:hAnsi="方正仿宋_GBK" w:eastAsia="方正仿宋_GBK" w:cs="方正仿宋_GBK"/>
          <w:b w:val="0"/>
          <w:bCs w:val="0"/>
          <w:color w:val="auto"/>
          <w:kern w:val="2"/>
          <w:sz w:val="32"/>
          <w:szCs w:val="32"/>
        </w:rPr>
        <w:t>）》</w:t>
      </w:r>
      <w:r>
        <w:rPr>
          <w:rFonts w:hint="eastAsia" w:ascii="方正仿宋_GBK" w:hAnsi="方正仿宋_GBK" w:eastAsia="方正仿宋_GBK" w:cs="方正仿宋_GBK"/>
          <w:b w:val="0"/>
          <w:bCs w:val="0"/>
          <w:color w:val="auto"/>
          <w:kern w:val="2"/>
          <w:sz w:val="32"/>
          <w:szCs w:val="32"/>
          <w:lang w:val="en-US" w:eastAsia="zh-CN"/>
        </w:rPr>
        <w:t>（GMP）</w:t>
      </w:r>
      <w:r>
        <w:rPr>
          <w:rFonts w:hint="eastAsia" w:ascii="方正仿宋_GBK" w:hAnsi="方正仿宋_GBK" w:eastAsia="方正仿宋_GBK" w:cs="方正仿宋_GBK"/>
          <w:b w:val="0"/>
          <w:bCs w:val="0"/>
          <w:color w:val="auto"/>
          <w:kern w:val="2"/>
          <w:sz w:val="32"/>
          <w:szCs w:val="32"/>
        </w:rPr>
        <w:t>等</w:t>
      </w:r>
      <w:r>
        <w:rPr>
          <w:rFonts w:hint="eastAsia" w:ascii="方正仿宋_GBK" w:hAnsi="方正仿宋_GBK" w:eastAsia="方正仿宋_GBK" w:cs="方正仿宋_GBK"/>
          <w:b w:val="0"/>
          <w:bCs w:val="0"/>
          <w:color w:val="auto"/>
          <w:kern w:val="2"/>
          <w:sz w:val="32"/>
          <w:szCs w:val="32"/>
          <w:lang w:eastAsia="zh-CN"/>
        </w:rPr>
        <w:t>规范，</w:t>
      </w:r>
      <w:r>
        <w:rPr>
          <w:rFonts w:hint="eastAsia" w:ascii="方正仿宋_GBK" w:hAnsi="方正仿宋_GBK" w:eastAsia="方正仿宋_GBK" w:cs="方正仿宋_GBK"/>
          <w:b w:val="0"/>
          <w:bCs w:val="0"/>
          <w:color w:val="auto"/>
          <w:kern w:val="2"/>
          <w:sz w:val="32"/>
          <w:szCs w:val="32"/>
          <w:lang w:val="en-US" w:eastAsia="zh-CN"/>
        </w:rPr>
        <w:t>结合现阶段我国持有人委托生产监管要求</w:t>
      </w:r>
      <w:r>
        <w:rPr>
          <w:rFonts w:hint="eastAsia" w:ascii="方正仿宋_GBK" w:hAnsi="方正仿宋_GBK" w:eastAsia="方正仿宋_GBK" w:cs="方正仿宋_GBK"/>
          <w:b w:val="0"/>
          <w:bCs w:val="0"/>
          <w:color w:val="auto"/>
          <w:kern w:val="2"/>
          <w:sz w:val="32"/>
          <w:szCs w:val="32"/>
          <w:lang w:eastAsia="zh-CN"/>
        </w:rPr>
        <w:t>，</w:t>
      </w:r>
      <w:r>
        <w:rPr>
          <w:rFonts w:hint="eastAsia" w:ascii="方正仿宋_GBK" w:hAnsi="方正仿宋_GBK" w:eastAsia="方正仿宋_GBK" w:cs="方正仿宋_GBK"/>
          <w:b w:val="0"/>
          <w:bCs w:val="0"/>
          <w:color w:val="auto"/>
          <w:kern w:val="2"/>
          <w:sz w:val="32"/>
          <w:szCs w:val="32"/>
        </w:rPr>
        <w:t>制定本指南</w:t>
      </w:r>
      <w:r>
        <w:rPr>
          <w:rFonts w:hint="eastAsia" w:ascii="方正仿宋_GBK" w:hAnsi="方正仿宋_GBK" w:eastAsia="方正仿宋_GBK" w:cs="方正仿宋_GBK"/>
          <w:b w:val="0"/>
          <w:bCs w:val="0"/>
          <w:kern w:val="2"/>
          <w:sz w:val="32"/>
          <w:szCs w:val="32"/>
        </w:rPr>
        <w:t>。</w:t>
      </w:r>
      <w:bookmarkEnd w:id="9"/>
    </w:p>
    <w:p>
      <w:pPr>
        <w:pStyle w:val="21"/>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40" w:firstLineChars="200"/>
        <w:textAlignment w:val="auto"/>
        <w:rPr>
          <w:rFonts w:hint="eastAsia" w:ascii="方正仿宋_GBK" w:hAnsi="方正仿宋_GBK" w:eastAsia="方正仿宋_GBK" w:cs="方正仿宋_GBK"/>
          <w:strike/>
          <w:dstrike w:val="0"/>
          <w:sz w:val="32"/>
          <w:szCs w:val="32"/>
        </w:rPr>
      </w:pPr>
      <w:r>
        <w:rPr>
          <w:rFonts w:hint="eastAsia" w:ascii="方正仿宋_GBK" w:hAnsi="方正仿宋_GBK" w:eastAsia="方正仿宋_GBK" w:cs="方正仿宋_GBK"/>
          <w:sz w:val="32"/>
          <w:szCs w:val="32"/>
        </w:rPr>
        <w:t>本指南</w:t>
      </w:r>
      <w:r>
        <w:rPr>
          <w:rFonts w:hint="eastAsia" w:ascii="方正仿宋_GBK" w:hAnsi="方正仿宋_GBK" w:eastAsia="方正仿宋_GBK" w:cs="方正仿宋_GBK"/>
          <w:sz w:val="32"/>
          <w:szCs w:val="32"/>
          <w:lang w:val="en-US" w:eastAsia="zh-CN"/>
        </w:rPr>
        <w:t>旨在为持有人在药品全生命周期内的委托管理活动提供指导，明确持有人及受托方各自主体责任，以质量风险管理为基本原则，指导企业持续完善持有人委托生产管理机制。</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rPr>
      </w:pPr>
      <w:bookmarkStart w:id="10" w:name="_Toc15879"/>
      <w:bookmarkStart w:id="11" w:name="_Toc7356"/>
      <w:r>
        <w:rPr>
          <w:rFonts w:hint="eastAsia" w:ascii="方正仿宋_GBK" w:hAnsi="方正仿宋_GBK" w:eastAsia="方正仿宋_GBK" w:cs="方正仿宋_GBK"/>
          <w:sz w:val="32"/>
          <w:szCs w:val="32"/>
          <w:lang w:val="en-US" w:eastAsia="zh-CN"/>
        </w:rPr>
        <w:t xml:space="preserve">  </w:t>
      </w:r>
      <w:bookmarkEnd w:id="10"/>
      <w:bookmarkEnd w:id="11"/>
      <w:r>
        <w:rPr>
          <w:rFonts w:hint="eastAsia" w:ascii="方正仿宋_GBK" w:hAnsi="方正仿宋_GBK" w:eastAsia="方正仿宋_GBK" w:cs="方正仿宋_GBK"/>
          <w:b/>
          <w:bCs/>
          <w:kern w:val="44"/>
          <w:sz w:val="32"/>
          <w:szCs w:val="32"/>
          <w:lang w:val="en-US" w:eastAsia="zh-CN"/>
        </w:rPr>
        <w:t>原则</w:t>
      </w:r>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我国《药品上市许可持有人落实药品质量安全主体责任监督管理规定》（2022年第126号）中明确规定了持有人的主体责任，即遵守《中华人民共和国药品管理法》等相关法律法规，依据《药品生产质量管理规范（2010年修订）》等规范，建立健全药品质量管理体系，依法对药品全生命周期的安全性、有效性、质量可控性负责。本指南所述持有人委托生产管理要求均与国家相关法规、规范保持一致。</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2" w:name="_Toc13406"/>
      <w:bookmarkStart w:id="13" w:name="_Toc23064"/>
      <w:r>
        <w:rPr>
          <w:rFonts w:hint="eastAsia" w:ascii="方正仿宋_GBK" w:hAnsi="方正仿宋_GBK" w:eastAsia="方正仿宋_GBK" w:cs="方正仿宋_GBK"/>
          <w:sz w:val="32"/>
          <w:szCs w:val="32"/>
          <w:lang w:val="en-US" w:eastAsia="zh-CN"/>
        </w:rPr>
        <w:t xml:space="preserve">  范围</w:t>
      </w:r>
      <w:bookmarkEnd w:id="12"/>
      <w:bookmarkEnd w:id="13"/>
    </w:p>
    <w:p>
      <w:pPr>
        <w:keepNext w:val="0"/>
        <w:keepLines w:val="0"/>
        <w:widowControl/>
        <w:suppressLineNumbers w:val="0"/>
        <w:spacing w:beforeLines="0" w:afterLines="0"/>
        <w:jc w:val="left"/>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auto"/>
          <w:kern w:val="2"/>
          <w:sz w:val="32"/>
          <w:szCs w:val="32"/>
          <w:lang w:val="en-US" w:eastAsia="zh-CN"/>
        </w:rPr>
        <w:t>本指南适用于海南省持有人对委托生产的全过程管理</w:t>
      </w:r>
      <w:r>
        <w:rPr>
          <w:rFonts w:hint="eastAsia" w:ascii="方正仿宋_GBK" w:hAnsi="方正仿宋_GBK" w:eastAsia="方正仿宋_GBK" w:cs="方正仿宋_GBK"/>
          <w:kern w:val="2"/>
          <w:sz w:val="32"/>
          <w:szCs w:val="32"/>
          <w:lang w:val="en-US" w:eastAsia="zh-CN" w:bidi="ar-SA"/>
        </w:rPr>
        <w:t>。</w:t>
      </w: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14" w:name="_Toc13256"/>
      <w:bookmarkStart w:id="15" w:name="_Toc9575"/>
      <w:bookmarkStart w:id="16" w:name="_Toc27544"/>
      <w:bookmarkStart w:id="17" w:name="_Toc25903"/>
      <w:r>
        <w:rPr>
          <w:rFonts w:hint="eastAsia" w:ascii="方正仿宋_GBK" w:hAnsi="方正仿宋_GBK" w:eastAsia="方正仿宋_GBK" w:cs="方正仿宋_GBK"/>
          <w:sz w:val="32"/>
          <w:szCs w:val="32"/>
        </w:rPr>
        <w:t>质量管理</w:t>
      </w:r>
      <w:bookmarkEnd w:id="14"/>
      <w:bookmarkEnd w:id="15"/>
      <w:bookmarkEnd w:id="16"/>
      <w:bookmarkEnd w:id="17"/>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8" w:name="_Toc5514"/>
      <w:bookmarkStart w:id="19" w:name="_Toc30451"/>
      <w:bookmarkStart w:id="20" w:name="_Toc17679"/>
      <w:bookmarkStart w:id="21" w:name="_Toc9448"/>
      <w:r>
        <w:rPr>
          <w:rFonts w:hint="eastAsia" w:ascii="方正仿宋_GBK" w:hAnsi="方正仿宋_GBK" w:eastAsia="方正仿宋_GBK" w:cs="方正仿宋_GBK"/>
          <w:sz w:val="32"/>
          <w:szCs w:val="32"/>
          <w:lang w:val="en-US" w:eastAsia="zh-CN"/>
        </w:rPr>
        <w:t xml:space="preserve">  质量管理体系</w:t>
      </w:r>
      <w:bookmarkEnd w:id="18"/>
      <w:bookmarkEnd w:id="19"/>
      <w:bookmarkEnd w:id="20"/>
      <w:bookmarkEnd w:id="21"/>
      <w:bookmarkStart w:id="22" w:name="_Toc2771"/>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持有人应按照药品管理相关法律、法规等要求，结合企业实际，建立健全药品研制、生产、经营、使用全过程质量管理体系，质量管理体系应涵盖委托生产行为和相应品种。</w:t>
      </w:r>
    </w:p>
    <w:bookmarkEnd w:id="22"/>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560" w:firstLineChars="175"/>
        <w:jc w:val="both"/>
        <w:textAlignment w:val="auto"/>
        <w:outlineLvl w:val="9"/>
        <w:rPr>
          <w:rFonts w:hint="eastAsia" w:ascii="方正仿宋_GBK" w:hAnsi="方正仿宋_GBK" w:eastAsia="方正仿宋_GBK" w:cs="方正仿宋_GBK"/>
          <w:b w:val="0"/>
          <w:bCs w:val="0"/>
          <w:color w:val="auto"/>
          <w:sz w:val="32"/>
          <w:szCs w:val="32"/>
        </w:rPr>
      </w:pPr>
      <w:bookmarkStart w:id="23" w:name="_Toc26191"/>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auto"/>
          <w:sz w:val="32"/>
          <w:szCs w:val="32"/>
        </w:rPr>
        <w:t>持有人</w:t>
      </w:r>
      <w:r>
        <w:rPr>
          <w:rFonts w:hint="eastAsia" w:ascii="方正仿宋_GBK" w:hAnsi="方正仿宋_GBK" w:eastAsia="方正仿宋_GBK" w:cs="方正仿宋_GBK"/>
          <w:b w:val="0"/>
          <w:bCs w:val="0"/>
          <w:color w:val="auto"/>
          <w:sz w:val="32"/>
          <w:szCs w:val="32"/>
          <w:lang w:val="en-US" w:eastAsia="zh-CN"/>
        </w:rPr>
        <w:t>应</w:t>
      </w:r>
      <w:r>
        <w:rPr>
          <w:rFonts w:hint="eastAsia" w:ascii="方正仿宋_GBK" w:hAnsi="方正仿宋_GBK" w:eastAsia="方正仿宋_GBK" w:cs="方正仿宋_GBK"/>
          <w:b w:val="0"/>
          <w:bCs w:val="0"/>
          <w:color w:val="auto"/>
          <w:sz w:val="32"/>
          <w:szCs w:val="32"/>
        </w:rPr>
        <w:t>建立符合委托生产药品质量管理要求的质量目标</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并结合相应</w:t>
      </w:r>
      <w:r>
        <w:rPr>
          <w:rFonts w:hint="eastAsia" w:ascii="方正仿宋_GBK" w:hAnsi="方正仿宋_GBK" w:eastAsia="方正仿宋_GBK" w:cs="方正仿宋_GBK"/>
          <w:b w:val="0"/>
          <w:bCs w:val="0"/>
          <w:color w:val="auto"/>
          <w:sz w:val="32"/>
          <w:szCs w:val="32"/>
        </w:rPr>
        <w:t>指标</w:t>
      </w:r>
      <w:r>
        <w:rPr>
          <w:rFonts w:hint="eastAsia" w:ascii="方正仿宋_GBK" w:hAnsi="方正仿宋_GBK" w:eastAsia="方正仿宋_GBK" w:cs="方正仿宋_GBK"/>
          <w:b w:val="0"/>
          <w:bCs w:val="0"/>
          <w:strike w:val="0"/>
          <w:color w:val="auto"/>
          <w:sz w:val="32"/>
          <w:szCs w:val="32"/>
          <w:lang w:val="en-US" w:eastAsia="zh-CN"/>
        </w:rPr>
        <w:t>对质量体系运行情况</w:t>
      </w:r>
      <w:r>
        <w:rPr>
          <w:rFonts w:hint="eastAsia" w:ascii="方正仿宋_GBK" w:hAnsi="方正仿宋_GBK" w:eastAsia="方正仿宋_GBK" w:cs="方正仿宋_GBK"/>
          <w:b w:val="0"/>
          <w:bCs w:val="0"/>
          <w:color w:val="auto"/>
          <w:sz w:val="32"/>
          <w:szCs w:val="32"/>
        </w:rPr>
        <w:t>进行监测、评价，持续改进质量管理体系。如：来料合格率、成品合格率、稳定性考察及时率、成品和长期稳定性无效OOS率、产品质量投诉率、CAPA及时完成率、药品不良反应自主上报率等。</w:t>
      </w:r>
      <w:bookmarkEnd w:id="23"/>
      <w:bookmarkStart w:id="24" w:name="_Toc9155"/>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履行对受托生产企业确认和终止的职责。</w:t>
      </w:r>
      <w:r>
        <w:rPr>
          <w:rFonts w:hint="eastAsia" w:ascii="方正仿宋_GBK" w:hAnsi="方正仿宋_GBK" w:eastAsia="方正仿宋_GBK" w:cs="方正仿宋_GBK"/>
          <w:b w:val="0"/>
          <w:bCs w:val="0"/>
          <w:sz w:val="32"/>
          <w:szCs w:val="32"/>
          <w:lang w:val="en-US" w:eastAsia="zh-CN"/>
        </w:rPr>
        <w:t>依据职责</w:t>
      </w:r>
      <w:r>
        <w:rPr>
          <w:rFonts w:hint="eastAsia" w:ascii="方正仿宋_GBK" w:hAnsi="方正仿宋_GBK" w:eastAsia="方正仿宋_GBK" w:cs="方正仿宋_GBK"/>
          <w:b w:val="0"/>
          <w:bCs w:val="0"/>
          <w:sz w:val="32"/>
          <w:szCs w:val="32"/>
        </w:rPr>
        <w:t>建立受托生产企业审核批准流程</w:t>
      </w:r>
      <w:r>
        <w:rPr>
          <w:rFonts w:hint="eastAsia" w:ascii="方正仿宋_GBK" w:hAnsi="方正仿宋_GBK" w:eastAsia="方正仿宋_GBK" w:cs="方正仿宋_GBK"/>
          <w:b w:val="0"/>
          <w:bCs w:val="0"/>
          <w:sz w:val="32"/>
          <w:szCs w:val="32"/>
          <w:lang w:val="en-US" w:eastAsia="zh-CN"/>
        </w:rPr>
        <w:t>，委托前应</w:t>
      </w:r>
      <w:r>
        <w:rPr>
          <w:rFonts w:hint="eastAsia" w:ascii="方正仿宋_GBK" w:hAnsi="方正仿宋_GBK" w:eastAsia="方正仿宋_GBK" w:cs="方正仿宋_GBK"/>
          <w:b w:val="0"/>
          <w:bCs w:val="0"/>
          <w:sz w:val="32"/>
          <w:szCs w:val="32"/>
        </w:rPr>
        <w:t>对受托方生产条件、技术水平和质量管理情况进行</w:t>
      </w:r>
      <w:r>
        <w:rPr>
          <w:rFonts w:hint="eastAsia" w:ascii="方正仿宋_GBK" w:hAnsi="方正仿宋_GBK" w:eastAsia="方正仿宋_GBK" w:cs="方正仿宋_GBK"/>
          <w:b w:val="0"/>
          <w:bCs w:val="0"/>
          <w:sz w:val="32"/>
          <w:szCs w:val="32"/>
          <w:lang w:val="en-US" w:eastAsia="zh-CN"/>
        </w:rPr>
        <w:t>现场评估</w:t>
      </w:r>
      <w:r>
        <w:rPr>
          <w:rFonts w:hint="eastAsia" w:ascii="方正仿宋_GBK" w:hAnsi="方正仿宋_GBK" w:eastAsia="方正仿宋_GBK" w:cs="方正仿宋_GBK"/>
          <w:b w:val="0"/>
          <w:bCs w:val="0"/>
          <w:sz w:val="32"/>
          <w:szCs w:val="32"/>
        </w:rPr>
        <w:t>，确认受托方是否具有受托生产条件和能力，是否持续符合GMP以及委托生产产品的生产质量管理要求。</w:t>
      </w:r>
      <w:bookmarkEnd w:id="24"/>
      <w:bookmarkStart w:id="25" w:name="_Toc1379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确认受托生产企业</w:t>
      </w:r>
      <w:r>
        <w:rPr>
          <w:rFonts w:hint="eastAsia" w:ascii="方正仿宋_GBK" w:hAnsi="方正仿宋_GBK" w:eastAsia="方正仿宋_GBK" w:cs="方正仿宋_GBK"/>
          <w:b w:val="0"/>
          <w:bCs w:val="0"/>
          <w:sz w:val="32"/>
          <w:szCs w:val="32"/>
          <w:lang w:val="en-US" w:eastAsia="zh-CN"/>
        </w:rPr>
        <w:t>是否</w:t>
      </w:r>
      <w:r>
        <w:rPr>
          <w:rFonts w:hint="eastAsia" w:ascii="方正仿宋_GBK" w:hAnsi="方正仿宋_GBK" w:eastAsia="方正仿宋_GBK" w:cs="方正仿宋_GBK"/>
          <w:b w:val="0"/>
          <w:bCs w:val="0"/>
          <w:sz w:val="32"/>
          <w:szCs w:val="32"/>
        </w:rPr>
        <w:t>存在《国家药监局关于加强药品上市许可持有人委托生产监督管理工作的公告》</w:t>
      </w:r>
      <w:r>
        <w:rPr>
          <w:rFonts w:hint="eastAsia" w:ascii="方正仿宋_GBK" w:hAnsi="方正仿宋_GBK" w:eastAsia="方正仿宋_GBK" w:cs="方正仿宋_GBK"/>
          <w:sz w:val="32"/>
          <w:szCs w:val="32"/>
        </w:rPr>
        <w:t>（2023年第132号）</w:t>
      </w:r>
      <w:r>
        <w:rPr>
          <w:rFonts w:hint="eastAsia" w:ascii="方正仿宋_GBK" w:hAnsi="方正仿宋_GBK" w:eastAsia="方正仿宋_GBK" w:cs="方正仿宋_GBK"/>
          <w:b w:val="0"/>
          <w:bCs w:val="0"/>
          <w:sz w:val="32"/>
          <w:szCs w:val="32"/>
        </w:rPr>
        <w:t>第（七）款中不良信用记录情形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如有不良信用情况，持有人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向</w:t>
      </w:r>
      <w:r>
        <w:rPr>
          <w:rFonts w:hint="eastAsia" w:ascii="方正仿宋_GBK" w:hAnsi="方正仿宋_GBK" w:eastAsia="方正仿宋_GBK" w:cs="方正仿宋_GBK"/>
          <w:b w:val="0"/>
          <w:bCs w:val="0"/>
          <w:sz w:val="32"/>
          <w:szCs w:val="32"/>
          <w:lang w:eastAsia="zh-CN"/>
        </w:rPr>
        <w:t>所在地</w:t>
      </w:r>
      <w:r>
        <w:rPr>
          <w:rFonts w:hint="eastAsia" w:ascii="方正仿宋_GBK" w:hAnsi="方正仿宋_GBK" w:eastAsia="方正仿宋_GBK" w:cs="方正仿宋_GBK"/>
          <w:b w:val="0"/>
          <w:bCs w:val="0"/>
          <w:sz w:val="32"/>
          <w:szCs w:val="32"/>
        </w:rPr>
        <w:t>省级药品监管部门如实报告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每年向省级药品监管部门定期提交对受托生产企业GMP</w:t>
      </w:r>
      <w:r>
        <w:rPr>
          <w:rFonts w:hint="eastAsia" w:ascii="方正仿宋_GBK" w:hAnsi="方正仿宋_GBK" w:eastAsia="方正仿宋_GBK" w:cs="方正仿宋_GBK"/>
          <w:b w:val="0"/>
          <w:bCs w:val="0"/>
          <w:sz w:val="32"/>
          <w:szCs w:val="32"/>
          <w:lang w:val="en-US" w:eastAsia="zh-CN"/>
        </w:rPr>
        <w:t>持续</w:t>
      </w:r>
      <w:r>
        <w:rPr>
          <w:rFonts w:hint="eastAsia" w:ascii="方正仿宋_GBK" w:hAnsi="方正仿宋_GBK" w:eastAsia="方正仿宋_GBK" w:cs="方正仿宋_GBK"/>
          <w:b w:val="0"/>
          <w:bCs w:val="0"/>
          <w:sz w:val="32"/>
          <w:szCs w:val="32"/>
        </w:rPr>
        <w:t>符合情况的</w:t>
      </w:r>
      <w:r>
        <w:rPr>
          <w:rFonts w:hint="eastAsia" w:ascii="方正仿宋_GBK" w:hAnsi="方正仿宋_GBK" w:eastAsia="方正仿宋_GBK" w:cs="方正仿宋_GBK"/>
          <w:b w:val="0"/>
          <w:bCs w:val="0"/>
          <w:sz w:val="32"/>
          <w:szCs w:val="32"/>
          <w:lang w:eastAsia="zh-CN"/>
        </w:rPr>
        <w:t>现场评估</w:t>
      </w:r>
      <w:r>
        <w:rPr>
          <w:rFonts w:hint="eastAsia" w:ascii="方正仿宋_GBK" w:hAnsi="方正仿宋_GBK" w:eastAsia="方正仿宋_GBK" w:cs="方正仿宋_GBK"/>
          <w:b w:val="0"/>
          <w:bCs w:val="0"/>
          <w:sz w:val="32"/>
          <w:szCs w:val="32"/>
        </w:rPr>
        <w:t>报告</w:t>
      </w:r>
      <w:r>
        <w:rPr>
          <w:rFonts w:hint="eastAsia" w:ascii="方正仿宋_GBK" w:hAnsi="方正仿宋_GBK" w:eastAsia="方正仿宋_GBK" w:cs="方正仿宋_GBK"/>
          <w:b w:val="0"/>
          <w:bCs w:val="0"/>
          <w:sz w:val="32"/>
          <w:szCs w:val="32"/>
          <w:lang w:val="en-US" w:eastAsia="zh-CN"/>
        </w:rPr>
        <w:t>和</w:t>
      </w:r>
      <w:r>
        <w:rPr>
          <w:rFonts w:hint="eastAsia" w:ascii="方正仿宋_GBK" w:hAnsi="方正仿宋_GBK" w:eastAsia="方正仿宋_GBK" w:cs="方正仿宋_GBK"/>
          <w:b w:val="0"/>
          <w:bCs w:val="0"/>
          <w:sz w:val="32"/>
          <w:szCs w:val="32"/>
        </w:rPr>
        <w:t>检验能力</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前期违法违规行为整改情况的评估报告。</w:t>
      </w:r>
      <w:bookmarkEnd w:id="25"/>
      <w:bookmarkStart w:id="26" w:name="_Toc1270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委托受托生产企业以外企业进行药品研制、经营、药物警戒等相关活动（包括储存、运输）的，持有人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按照规定对受托方资质及能力开展审核及评估，签署符合要求的委托协议和质量协议，并按协议规定执行，相关委托活动需要经</w:t>
      </w:r>
      <w:r>
        <w:rPr>
          <w:rFonts w:hint="eastAsia" w:ascii="方正仿宋_GBK" w:hAnsi="方正仿宋_GBK" w:eastAsia="方正仿宋_GBK" w:cs="方正仿宋_GBK"/>
          <w:b w:val="0"/>
          <w:bCs w:val="0"/>
          <w:sz w:val="32"/>
          <w:szCs w:val="32"/>
          <w:lang w:val="en-US" w:eastAsia="zh-CN"/>
        </w:rPr>
        <w:t>报告或批准</w:t>
      </w:r>
      <w:r>
        <w:rPr>
          <w:rFonts w:hint="eastAsia" w:ascii="方正仿宋_GBK" w:hAnsi="方正仿宋_GBK" w:eastAsia="方正仿宋_GBK" w:cs="方正仿宋_GBK"/>
          <w:b w:val="0"/>
          <w:bCs w:val="0"/>
          <w:sz w:val="32"/>
          <w:szCs w:val="32"/>
        </w:rPr>
        <w:t>后实施。</w:t>
      </w:r>
      <w:bookmarkEnd w:id="26"/>
      <w:bookmarkStart w:id="27" w:name="_Toc13284"/>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持有人获得药品生产许可证</w:t>
      </w:r>
      <w:r>
        <w:rPr>
          <w:rFonts w:hint="eastAsia" w:ascii="方正仿宋_GBK" w:hAnsi="方正仿宋_GBK" w:eastAsia="方正仿宋_GBK" w:cs="方正仿宋_GBK"/>
          <w:b w:val="0"/>
          <w:bCs w:val="0"/>
          <w:sz w:val="32"/>
          <w:szCs w:val="32"/>
          <w:lang w:val="en-US" w:eastAsia="zh-CN"/>
        </w:rPr>
        <w:t>后</w:t>
      </w:r>
      <w:r>
        <w:rPr>
          <w:rFonts w:hint="eastAsia" w:ascii="方正仿宋_GBK" w:hAnsi="方正仿宋_GBK" w:eastAsia="方正仿宋_GBK" w:cs="方正仿宋_GBK"/>
          <w:b w:val="0"/>
          <w:bCs w:val="0"/>
          <w:sz w:val="32"/>
          <w:szCs w:val="32"/>
        </w:rPr>
        <w:t>，注册地址、生产地址、关键岗位人员</w:t>
      </w:r>
      <w:r>
        <w:rPr>
          <w:rFonts w:hint="eastAsia" w:ascii="方正仿宋_GBK" w:hAnsi="方正仿宋_GBK" w:eastAsia="方正仿宋_GBK" w:cs="方正仿宋_GBK"/>
          <w:b w:val="0"/>
          <w:bCs w:val="0"/>
          <w:sz w:val="32"/>
          <w:szCs w:val="32"/>
          <w:lang w:val="en-US" w:eastAsia="zh-CN"/>
        </w:rPr>
        <w:t>如</w:t>
      </w:r>
      <w:r>
        <w:rPr>
          <w:rFonts w:hint="eastAsia" w:ascii="方正仿宋_GBK" w:hAnsi="方正仿宋_GBK" w:eastAsia="方正仿宋_GBK" w:cs="方正仿宋_GBK"/>
          <w:b w:val="0"/>
          <w:bCs w:val="0"/>
          <w:sz w:val="32"/>
          <w:szCs w:val="32"/>
        </w:rPr>
        <w:t>发生变更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按照相关规定办理。</w:t>
      </w:r>
      <w:bookmarkEnd w:id="27"/>
      <w:bookmarkStart w:id="28" w:name="_Toc26996"/>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按照相关规定开展药物警戒工作</w:t>
      </w:r>
      <w:bookmarkEnd w:id="28"/>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建立完善的药物警戒体系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对药品不良反应及其他与用药有关的有害反应进行监测、识别、评估和控制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及时</w:t>
      </w:r>
      <w:r>
        <w:rPr>
          <w:rFonts w:hint="eastAsia" w:ascii="方正仿宋_GBK" w:hAnsi="方正仿宋_GBK" w:eastAsia="方正仿宋_GBK" w:cs="方正仿宋_GBK"/>
          <w:b w:val="0"/>
          <w:bCs w:val="0"/>
          <w:sz w:val="32"/>
          <w:szCs w:val="32"/>
        </w:rPr>
        <w:t>完成GVP检查缺陷整改。</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根据《药品管理法》和《国家短缺药品清单管理办法（试行）》</w:t>
      </w:r>
      <w:r>
        <w:rPr>
          <w:rFonts w:hint="eastAsia" w:ascii="方正仿宋_GBK" w:hAnsi="方正仿宋_GBK" w:eastAsia="方正仿宋_GBK" w:cs="方正仿宋_GBK"/>
          <w:b w:val="0"/>
          <w:bCs w:val="0"/>
          <w:sz w:val="32"/>
          <w:szCs w:val="32"/>
          <w:lang w:val="en-US" w:eastAsia="zh-CN"/>
        </w:rPr>
        <w:t>制定</w:t>
      </w:r>
      <w:r>
        <w:rPr>
          <w:rFonts w:hint="eastAsia" w:ascii="方正仿宋_GBK" w:hAnsi="方正仿宋_GBK" w:eastAsia="方正仿宋_GBK" w:cs="方正仿宋_GBK"/>
          <w:b w:val="0"/>
          <w:bCs w:val="0"/>
          <w:sz w:val="32"/>
          <w:szCs w:val="32"/>
        </w:rPr>
        <w:t>短缺药品停产报告制度及记录/报告，并按规定实施，具体信息可查阅国家卫生健康委员会官网等。</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建立年度报告制度，并按规定实施（包括变更事项报告、风险管理报告等）。持有人的年度报告</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经过法定代表人或者企业负责人（或者其书面授权人）批准。</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建立责任赔偿相关管理制度和程序</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并</w:t>
      </w:r>
      <w:r>
        <w:rPr>
          <w:rFonts w:hint="eastAsia" w:ascii="方正仿宋_GBK" w:hAnsi="方正仿宋_GBK" w:eastAsia="方正仿宋_GBK" w:cs="方正仿宋_GBK"/>
          <w:b w:val="0"/>
          <w:bCs w:val="0"/>
          <w:sz w:val="32"/>
          <w:szCs w:val="32"/>
        </w:rPr>
        <w:t>具备与产品的风险程度、市场规模和人身损害赔偿标准等因素相匹配的责任赔偿能力。</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制定药品安全事件相关管理文件，明确安全事件类别和分级标准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应急响应流程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相关部门职责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根据风险管控要求</w:t>
      </w:r>
      <w:r>
        <w:rPr>
          <w:rFonts w:hint="eastAsia" w:ascii="方正仿宋_GBK" w:hAnsi="方正仿宋_GBK" w:eastAsia="方正仿宋_GBK" w:cs="方正仿宋_GBK"/>
          <w:b w:val="0"/>
          <w:bCs w:val="0"/>
          <w:sz w:val="32"/>
          <w:szCs w:val="32"/>
        </w:rPr>
        <w:t>制定药品安全事件处置方案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定期开展培训和应急演练要求。</w:t>
      </w:r>
      <w:bookmarkStart w:id="29" w:name="_Toc31929"/>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如发生药品安全事件，持有人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根据事件性质、特点和危害程度，采取紧急措施防控风险，按照相应级别开展工作，并向所在地省级药品监管部门上报。对有关药品及其原辅料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直接接触药品的包装材料和容器、相关生产线等采取有效措施进行处置，防止危害扩大。持有人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深入分析事件原因，全面总结经验教训，进一步完善管控措施，修订完善应急预案。</w:t>
      </w:r>
      <w:bookmarkEnd w:id="29"/>
      <w:bookmarkStart w:id="30" w:name="_Toc11127"/>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根据法规要求和质量协议</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对受托生产企业相关文件进行审核批准，如原辅料、包装材料、中间产品、成品的质量标准</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产品生产工艺规程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批生产记录、批检验记录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共线生产风险评估报告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工艺验证和清洁验证的方案和报告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放行规程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检验方法学的验证、转移或者确认方案和报告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委托检验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变更控制、偏差处理、纠正和预防措施、持续稳定性考察方案和报告、产品和物料质量回顾分析</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物料留样（如受托方执行留样）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重新包装等文件。</w:t>
      </w:r>
      <w:bookmarkEnd w:id="3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具备对质量控制体系的管理能力，包括相应质量控制方面资质的人员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取样、检验、放行、留样、持续稳定性等全流程的文件系统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以及对受托检验机构检验能力及数据完整性的监督、检查要求。持有人自行检验时，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建立质量控制系统，包括相应的组织机构、文件系统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以及适当的场地、设施、设备等，确保物料或产品在放行前完成必要的检验，确认其质量符合要求。</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1" w:name="_Toc253"/>
      <w:bookmarkStart w:id="32" w:name="_Toc17773"/>
      <w:bookmarkStart w:id="33" w:name="_Toc6215"/>
      <w:bookmarkStart w:id="34" w:name="_Toc17971"/>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委托生产管理</w:t>
      </w:r>
      <w:bookmarkEnd w:id="31"/>
      <w:bookmarkEnd w:id="32"/>
      <w:bookmarkEnd w:id="33"/>
      <w:bookmarkEnd w:id="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受托生产条件、技术水平和质量管理能力</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评估，评估内容至少包括：受托生产企业现有的厂房设施、公共系统、仓储能力、生产设备、检验设备等是否能满足受托生产品种生产、储存及检验需要；风险评估是否能够确保风险及时识别并控制；受托生产产品的生产能力和检验能力是否满足要求；人员及质量体系管理是否满足GMP等规范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持有人和受托方使用质量管理信息化系统开展审核审批工作</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建立信息化系统管理程序，明确双方相关职责，如计算机化系统验证、账号管理、权限分级、报警管理、数据备份管理等</w:t>
      </w:r>
      <w:r>
        <w:rPr>
          <w:rFonts w:hint="eastAsia" w:ascii="方正仿宋_GBK" w:hAnsi="方正仿宋_GBK" w:eastAsia="方正仿宋_GBK" w:cs="方正仿宋_GBK"/>
          <w:sz w:val="32"/>
          <w:szCs w:val="32"/>
          <w:lang w:val="en-US" w:eastAsia="zh-CN"/>
        </w:rPr>
        <w:t>内容</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5" w:name="_Toc14074"/>
      <w:bookmarkStart w:id="36" w:name="_Toc3756"/>
      <w:bookmarkStart w:id="37" w:name="_Toc25328"/>
      <w:bookmarkStart w:id="38" w:name="_Toc6879"/>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风险管理</w:t>
      </w:r>
      <w:bookmarkEnd w:id="35"/>
      <w:bookmarkEnd w:id="36"/>
      <w:bookmarkEnd w:id="37"/>
      <w:bookmarkEnd w:id="3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建立药品质量风险管理程序，并按要求开展风险评估、控制、沟通等质量管理活动；对已识别风险，及时采取有效风险控制措施。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制定药品上市后风险管理计划，主动开展上市后研究，基于对药品安全性、有效性、质量可控性等上市后研究情况，定期开展上市后评价，对药品的获益和风险进行综合分析评估</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根据评价结果，依法采取相应质量提升或风险防控措施。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对附条件批准药品，持有人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采取相应风险管理措施，在规定期限内按要求完成相关研究。</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结合产品风险定期组织对委托生产质量管理、生产管理等情况进行回顾分析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定期进行风险研判，制定纠正预防措施。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对受托生产企业接受多家持有人委托生产同一品种，或者受托生产企业自身持有相同品种的产品开展风险评估，并分别制定管控</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39" w:name="_Toc32117"/>
      <w:bookmarkStart w:id="40" w:name="_Toc2197"/>
      <w:bookmarkStart w:id="41" w:name="_Toc15664"/>
      <w:bookmarkStart w:id="42" w:name="_Toc17533"/>
      <w:r>
        <w:rPr>
          <w:rFonts w:hint="eastAsia" w:ascii="方正仿宋_GBK" w:hAnsi="方正仿宋_GBK" w:eastAsia="方正仿宋_GBK" w:cs="方正仿宋_GBK"/>
          <w:sz w:val="32"/>
          <w:szCs w:val="32"/>
        </w:rPr>
        <w:t>机构与人员</w:t>
      </w:r>
      <w:bookmarkEnd w:id="39"/>
      <w:bookmarkEnd w:id="40"/>
      <w:bookmarkEnd w:id="41"/>
      <w:bookmarkEnd w:id="42"/>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43" w:name="_Toc21792"/>
      <w:bookmarkStart w:id="44" w:name="_Toc18973"/>
      <w:bookmarkStart w:id="45" w:name="_Toc25596"/>
      <w:bookmarkStart w:id="46" w:name="_Toc2025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机构</w:t>
      </w:r>
      <w:r>
        <w:rPr>
          <w:rFonts w:hint="eastAsia" w:ascii="方正仿宋_GBK" w:hAnsi="方正仿宋_GBK" w:eastAsia="方正仿宋_GBK" w:cs="方正仿宋_GBK"/>
          <w:sz w:val="32"/>
          <w:szCs w:val="32"/>
        </w:rPr>
        <w:t>设置</w:t>
      </w:r>
      <w:bookmarkEnd w:id="43"/>
      <w:bookmarkEnd w:id="44"/>
      <w:bookmarkEnd w:id="45"/>
      <w:bookmarkEnd w:id="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建立与药品生产相适应的管理机构。</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应明确</w:t>
      </w:r>
      <w:r>
        <w:rPr>
          <w:rFonts w:hint="eastAsia" w:ascii="方正仿宋_GBK" w:hAnsi="方正仿宋_GBK" w:eastAsia="方正仿宋_GBK" w:cs="方正仿宋_GBK"/>
          <w:sz w:val="32"/>
          <w:szCs w:val="32"/>
        </w:rPr>
        <w:t>组织机构图</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各管理机构</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职责权限，明确生产和销售、储存与运输、上市后研究、药物警戒等</w:t>
      </w:r>
      <w:r>
        <w:rPr>
          <w:rFonts w:hint="eastAsia" w:ascii="方正仿宋_GBK" w:hAnsi="方正仿宋_GBK" w:eastAsia="方正仿宋_GBK" w:cs="方正仿宋_GBK"/>
          <w:sz w:val="32"/>
          <w:szCs w:val="32"/>
          <w:lang w:eastAsia="zh-CN"/>
        </w:rPr>
        <w:t>职责内容，确保</w:t>
      </w:r>
      <w:r>
        <w:rPr>
          <w:rFonts w:hint="eastAsia" w:ascii="方正仿宋_GBK" w:hAnsi="方正仿宋_GBK" w:eastAsia="方正仿宋_GBK" w:cs="方正仿宋_GBK"/>
          <w:sz w:val="32"/>
          <w:szCs w:val="32"/>
        </w:rPr>
        <w:t>符合相关质量管理规范要求。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应设立独立质量管理部门，应在</w:t>
      </w:r>
      <w:r>
        <w:rPr>
          <w:rFonts w:hint="eastAsia" w:ascii="方正仿宋_GBK" w:hAnsi="方正仿宋_GBK" w:eastAsia="方正仿宋_GBK" w:cs="方正仿宋_GBK"/>
          <w:sz w:val="32"/>
          <w:szCs w:val="32"/>
        </w:rPr>
        <w:t>质量体系图</w:t>
      </w:r>
      <w:r>
        <w:rPr>
          <w:rFonts w:hint="eastAsia" w:ascii="方正仿宋_GBK" w:hAnsi="方正仿宋_GBK" w:eastAsia="方正仿宋_GBK" w:cs="方正仿宋_GBK"/>
          <w:sz w:val="32"/>
          <w:szCs w:val="32"/>
          <w:lang w:val="en-US" w:eastAsia="zh-CN"/>
        </w:rPr>
        <w:t>中明晰</w:t>
      </w:r>
      <w:r>
        <w:rPr>
          <w:rFonts w:hint="eastAsia" w:ascii="方正仿宋_GBK" w:hAnsi="方正仿宋_GBK" w:eastAsia="方正仿宋_GBK" w:cs="方正仿宋_GBK"/>
          <w:sz w:val="32"/>
          <w:szCs w:val="32"/>
        </w:rPr>
        <w:t>质量管理部门汇报关系独立设置，履行全过程质量管理职责，参与所有与质量有关活动。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配备与药品生产经营规模相适应并具备相应资质能力（含学历、培训和实践经验）的人员。</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持有人设置的岗位职责内容</w:t>
      </w:r>
      <w:r>
        <w:rPr>
          <w:rFonts w:hint="eastAsia" w:ascii="方正仿宋_GBK" w:hAnsi="方正仿宋_GBK" w:eastAsia="方正仿宋_GBK" w:cs="方正仿宋_GBK"/>
          <w:sz w:val="32"/>
          <w:szCs w:val="32"/>
          <w:lang w:val="en-US" w:eastAsia="zh-CN"/>
        </w:rPr>
        <w:t>原则上不</w:t>
      </w:r>
      <w:r>
        <w:rPr>
          <w:rFonts w:hint="eastAsia" w:ascii="方正仿宋_GBK" w:hAnsi="方正仿宋_GBK" w:eastAsia="方正仿宋_GBK" w:cs="方正仿宋_GBK"/>
          <w:sz w:val="32"/>
          <w:szCs w:val="32"/>
        </w:rPr>
        <w:t>交叉，如有交叉，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明确规定防止发生差错</w:t>
      </w:r>
      <w:r>
        <w:rPr>
          <w:rFonts w:hint="eastAsia" w:ascii="方正仿宋_GBK" w:hAnsi="方正仿宋_GBK" w:eastAsia="方正仿宋_GBK" w:cs="方正仿宋_GBK"/>
          <w:sz w:val="32"/>
          <w:szCs w:val="32"/>
          <w:lang w:eastAsia="zh-CN"/>
        </w:rPr>
        <w:t>措施，</w:t>
      </w:r>
      <w:r>
        <w:rPr>
          <w:rFonts w:hint="eastAsia" w:ascii="方正仿宋_GBK" w:hAnsi="方正仿宋_GBK" w:eastAsia="方正仿宋_GBK" w:cs="方正仿宋_GBK"/>
          <w:sz w:val="32"/>
          <w:szCs w:val="32"/>
        </w:rPr>
        <w:t>人员</w:t>
      </w:r>
      <w:r>
        <w:rPr>
          <w:rFonts w:hint="eastAsia" w:ascii="方正仿宋_GBK" w:hAnsi="方正仿宋_GBK" w:eastAsia="方正仿宋_GBK" w:cs="方正仿宋_GBK"/>
          <w:sz w:val="32"/>
          <w:szCs w:val="32"/>
          <w:lang w:val="en-US" w:eastAsia="zh-CN"/>
        </w:rPr>
        <w:t>应熟知本岗位职责要求。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持有人的企业负责人、质量管理负责人、质量受权人、生产管理负责人、药物警戒负责人等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生产管理负责人和质量管理负责人</w:t>
      </w:r>
      <w:r>
        <w:rPr>
          <w:rFonts w:hint="eastAsia" w:ascii="方正仿宋_GBK" w:hAnsi="方正仿宋_GBK" w:eastAsia="方正仿宋_GBK" w:cs="方正仿宋_GBK"/>
          <w:sz w:val="32"/>
          <w:szCs w:val="32"/>
          <w:lang w:val="en-US" w:eastAsia="zh-CN"/>
        </w:rPr>
        <w:t>不能</w:t>
      </w:r>
      <w:r>
        <w:rPr>
          <w:rFonts w:hint="eastAsia" w:ascii="方正仿宋_GBK" w:hAnsi="方正仿宋_GBK" w:eastAsia="方正仿宋_GBK" w:cs="方正仿宋_GBK"/>
          <w:sz w:val="32"/>
          <w:szCs w:val="32"/>
        </w:rPr>
        <w:t>兼任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相关人员应</w:t>
      </w:r>
      <w:r>
        <w:rPr>
          <w:rFonts w:hint="eastAsia" w:ascii="方正仿宋_GBK" w:hAnsi="方正仿宋_GBK" w:eastAsia="方正仿宋_GBK" w:cs="方正仿宋_GBK"/>
          <w:sz w:val="32"/>
          <w:szCs w:val="32"/>
        </w:rPr>
        <w:t>有劳动合同/任命书/授权书。</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明确其委托生产产品直接负责的主管人员和其他责任人员，并形成文件。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持有人派驻人员</w:t>
      </w:r>
      <w:r>
        <w:rPr>
          <w:rFonts w:hint="eastAsia" w:ascii="方正仿宋_GBK" w:hAnsi="方正仿宋_GBK" w:eastAsia="方正仿宋_GBK" w:cs="方正仿宋_GBK"/>
          <w:sz w:val="32"/>
          <w:szCs w:val="32"/>
          <w:lang w:val="en-US" w:eastAsia="zh-CN"/>
        </w:rPr>
        <w:t>应是</w:t>
      </w:r>
      <w:r>
        <w:rPr>
          <w:rFonts w:hint="eastAsia" w:ascii="方正仿宋_GBK" w:hAnsi="方正仿宋_GBK" w:eastAsia="方正仿宋_GBK" w:cs="方正仿宋_GBK"/>
          <w:sz w:val="32"/>
          <w:szCs w:val="32"/>
        </w:rPr>
        <w:t>具有相关领域生产和质量管理实践经验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熟悉产品生产工艺和质量控制要求的正式员工。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47" w:name="_Toc18257"/>
      <w:bookmarkStart w:id="48" w:name="_Toc1459"/>
      <w:bookmarkStart w:id="49" w:name="_Toc25155"/>
      <w:bookmarkStart w:id="50" w:name="_Toc596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部门职责</w:t>
      </w:r>
      <w:bookmarkEnd w:id="47"/>
      <w:bookmarkEnd w:id="48"/>
      <w:bookmarkEnd w:id="49"/>
      <w:bookmarkEnd w:id="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持有人应明确</w:t>
      </w:r>
      <w:r>
        <w:rPr>
          <w:rFonts w:hint="eastAsia" w:ascii="方正仿宋_GBK" w:hAnsi="方正仿宋_GBK" w:eastAsia="方正仿宋_GBK" w:cs="方正仿宋_GBK"/>
          <w:sz w:val="32"/>
          <w:szCs w:val="32"/>
        </w:rPr>
        <w:t>质量管理部门履行全过程质量管理职责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参与所有与质量有关活动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负责审核或审批所有与质量管理</w:t>
      </w:r>
      <w:r>
        <w:rPr>
          <w:rFonts w:hint="eastAsia" w:ascii="方正仿宋_GBK" w:hAnsi="方正仿宋_GBK" w:eastAsia="方正仿宋_GBK" w:cs="方正仿宋_GBK"/>
          <w:sz w:val="32"/>
          <w:szCs w:val="32"/>
          <w:lang w:val="en-US" w:eastAsia="zh-CN"/>
        </w:rPr>
        <w:t>的职责并制定有关</w:t>
      </w:r>
      <w:r>
        <w:rPr>
          <w:rFonts w:hint="eastAsia" w:ascii="方正仿宋_GBK" w:hAnsi="方正仿宋_GBK" w:eastAsia="方正仿宋_GBK" w:cs="方正仿宋_GBK"/>
          <w:sz w:val="32"/>
          <w:szCs w:val="32"/>
        </w:rPr>
        <w:t>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质量管理部门人员有委托行为时，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对受托人或受托部门资质进行有效评估，聘请第三方机构或顾问参与GMP体系活动，</w:t>
      </w:r>
      <w:r>
        <w:rPr>
          <w:rFonts w:hint="eastAsia" w:ascii="方正仿宋_GBK" w:hAnsi="方正仿宋_GBK" w:eastAsia="方正仿宋_GBK" w:cs="方正仿宋_GBK"/>
          <w:sz w:val="32"/>
          <w:szCs w:val="32"/>
          <w:lang w:val="en-US" w:eastAsia="zh-CN"/>
        </w:rPr>
        <w:t>也</w:t>
      </w:r>
      <w:r>
        <w:rPr>
          <w:rFonts w:hint="eastAsia" w:ascii="方正仿宋_GBK" w:hAnsi="方正仿宋_GBK" w:eastAsia="方正仿宋_GBK" w:cs="方正仿宋_GBK"/>
          <w:sz w:val="32"/>
          <w:szCs w:val="32"/>
        </w:rPr>
        <w:t>应评估受托人资质。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1" w:name="_Toc24298"/>
      <w:bookmarkStart w:id="52" w:name="_Toc12890"/>
      <w:bookmarkStart w:id="53" w:name="_Toc10433"/>
      <w:bookmarkStart w:id="54" w:name="_Toc25794"/>
      <w:bookmarkStart w:id="218" w:name="_GoBack"/>
      <w:bookmarkEnd w:id="218"/>
      <w:r>
        <w:rPr>
          <w:rFonts w:hint="eastAsia" w:ascii="方正仿宋_GBK" w:hAnsi="方正仿宋_GBK" w:eastAsia="方正仿宋_GBK" w:cs="方正仿宋_GBK"/>
          <w:sz w:val="32"/>
        </w:rPr>
        <w:t>关键人员资质</w:t>
      </w:r>
      <w:bookmarkEnd w:id="51"/>
      <w:bookmarkEnd w:id="52"/>
      <w:bookmarkEnd w:id="53"/>
      <w:bookmarkEnd w:id="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医药相关领域工作经验，</w:t>
      </w:r>
      <w:r>
        <w:rPr>
          <w:rFonts w:hint="eastAsia" w:ascii="方正仿宋_GBK" w:hAnsi="方正仿宋_GBK" w:eastAsia="方正仿宋_GBK" w:cs="方正仿宋_GBK"/>
          <w:sz w:val="32"/>
          <w:szCs w:val="32"/>
          <w:lang w:eastAsia="zh-CN"/>
        </w:rPr>
        <w:t>应能提供</w:t>
      </w:r>
      <w:r>
        <w:rPr>
          <w:rFonts w:hint="eastAsia" w:ascii="方正仿宋_GBK" w:hAnsi="方正仿宋_GBK" w:eastAsia="方正仿宋_GBK" w:cs="方正仿宋_GBK"/>
          <w:sz w:val="32"/>
          <w:szCs w:val="32"/>
        </w:rPr>
        <w:t>包括但不限于学历证明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专业工作经历</w:t>
      </w:r>
      <w:r>
        <w:rPr>
          <w:rFonts w:hint="eastAsia" w:ascii="方正仿宋_GBK" w:hAnsi="方正仿宋_GBK" w:eastAsia="方正仿宋_GBK" w:cs="方正仿宋_GBK"/>
          <w:sz w:val="32"/>
          <w:szCs w:val="32"/>
          <w:lang w:val="en-US" w:eastAsia="zh-CN"/>
        </w:rPr>
        <w:t>及证明性材料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接受</w:t>
      </w:r>
      <w:r>
        <w:rPr>
          <w:rFonts w:hint="eastAsia" w:ascii="方正仿宋_GBK" w:hAnsi="方正仿宋_GBK" w:eastAsia="方正仿宋_GBK" w:cs="方正仿宋_GBK"/>
          <w:sz w:val="32"/>
          <w:szCs w:val="32"/>
          <w:lang w:val="en-US" w:eastAsia="zh-CN"/>
        </w:rPr>
        <w:t>过</w:t>
      </w:r>
      <w:r>
        <w:rPr>
          <w:rFonts w:hint="eastAsia" w:ascii="方正仿宋_GBK" w:hAnsi="方正仿宋_GBK" w:eastAsia="方正仿宋_GBK" w:cs="方正仿宋_GBK"/>
          <w:sz w:val="32"/>
          <w:szCs w:val="32"/>
        </w:rPr>
        <w:t>相应培训，熟悉药品监督管理相关法律法规和规章制度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不可作为企业负责人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五年以上从事药品生产和质量管理的实践经验，其中至少一年的药品质量管理经验，熟悉药品质量管理相关法律法规和规章制度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不可作为质量管理负责人</w:t>
      </w:r>
      <w:r>
        <w:rPr>
          <w:rFonts w:hint="eastAsia" w:ascii="方正仿宋_GBK" w:hAnsi="方正仿宋_GBK" w:eastAsia="方正仿宋_GBK" w:cs="方正仿宋_GBK"/>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三年以上从事药品生产和质量管理的实践经验，其中至少有一年的药品生产管理经验，熟悉药品生产管理相关法律法规和规章制度，熟悉与委托生产产品相关的产品知识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不可作为生产管理负责人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五年以上从事药品生产和质量管理的实践经验，从事过药品生产过程控制和质量检验工作，熟悉药品监督管理相关法律法规和规章制度，掌握与产品放行相关的知识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不可作为质量受权人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一定</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具有医学、药学、流行病学或者相关专业背景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本科及以上学历或者中级及以上专业技术职称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三年以上从事药物警戒相关工作经历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熟悉我国药物警戒相关法律法规和技术指导原则，</w:t>
      </w:r>
      <w:r>
        <w:rPr>
          <w:rFonts w:hint="eastAsia" w:ascii="方正仿宋_GBK" w:hAnsi="方正仿宋_GBK" w:eastAsia="方正仿宋_GBK" w:cs="方正仿宋_GBK"/>
          <w:sz w:val="32"/>
          <w:szCs w:val="32"/>
          <w:lang w:val="en-US" w:eastAsia="zh-CN"/>
        </w:rPr>
        <w:t>掌握</w:t>
      </w:r>
      <w:r>
        <w:rPr>
          <w:rFonts w:hint="eastAsia" w:ascii="方正仿宋_GBK" w:hAnsi="方正仿宋_GBK" w:eastAsia="方正仿宋_GBK" w:cs="方正仿宋_GBK"/>
          <w:sz w:val="32"/>
          <w:szCs w:val="32"/>
        </w:rPr>
        <w:t>药物警戒管理工作的知识和技能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w:t>
      </w:r>
      <w:r>
        <w:rPr>
          <w:rFonts w:hint="eastAsia" w:ascii="方正仿宋_GBK" w:hAnsi="方正仿宋_GBK" w:eastAsia="方正仿宋_GBK" w:cs="方正仿宋_GBK"/>
          <w:sz w:val="32"/>
          <w:szCs w:val="32"/>
        </w:rPr>
        <w:t>有效履职。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5" w:name="_Toc32246"/>
      <w:bookmarkStart w:id="56" w:name="_Toc24726"/>
      <w:bookmarkStart w:id="57" w:name="_Toc14464"/>
      <w:bookmarkStart w:id="58" w:name="_Toc19604"/>
      <w:r>
        <w:rPr>
          <w:rFonts w:hint="eastAsia" w:ascii="方正仿宋_GBK" w:hAnsi="方正仿宋_GBK" w:eastAsia="方正仿宋_GBK" w:cs="方正仿宋_GBK"/>
          <w:sz w:val="32"/>
        </w:rPr>
        <w:t>关键人员职责</w:t>
      </w:r>
      <w:bookmarkEnd w:id="55"/>
      <w:bookmarkEnd w:id="56"/>
      <w:bookmarkEnd w:id="57"/>
      <w:bookmarkEnd w:id="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全面负责企业日常管理，落实全过程质量管理主体责任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定期听取质量管理负责人质量管理工作汇报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充分听取质量管理负责人关于委托生产药品质量风险防控的意见和建议，对实施质量风险防控提供必要的条件和资源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指定专门机构或者人员</w:t>
      </w:r>
      <w:r>
        <w:rPr>
          <w:rFonts w:hint="eastAsia" w:ascii="方正仿宋_GBK" w:hAnsi="方正仿宋_GBK" w:eastAsia="方正仿宋_GBK" w:cs="方正仿宋_GBK"/>
          <w:sz w:val="32"/>
          <w:szCs w:val="32"/>
          <w:lang w:val="en-US" w:eastAsia="zh-CN"/>
        </w:rPr>
        <w:t>按规定</w:t>
      </w:r>
      <w:r>
        <w:rPr>
          <w:rFonts w:hint="eastAsia" w:ascii="方正仿宋_GBK" w:hAnsi="方正仿宋_GBK" w:eastAsia="方正仿宋_GBK" w:cs="方正仿宋_GBK"/>
          <w:sz w:val="32"/>
          <w:szCs w:val="32"/>
        </w:rPr>
        <w:t>负责年度报告撰写</w:t>
      </w:r>
      <w:r>
        <w:rPr>
          <w:rFonts w:hint="eastAsia" w:ascii="方正仿宋_GBK" w:hAnsi="方正仿宋_GBK" w:eastAsia="方正仿宋_GBK" w:cs="方正仿宋_GBK"/>
          <w:sz w:val="32"/>
          <w:szCs w:val="32"/>
          <w:lang w:val="en-US" w:eastAsia="zh-CN"/>
        </w:rPr>
        <w:t>和上报</w:t>
      </w:r>
      <w:r>
        <w:rPr>
          <w:rFonts w:hint="eastAsia" w:ascii="方正仿宋_GBK" w:hAnsi="方正仿宋_GBK" w:eastAsia="方正仿宋_GBK" w:cs="方正仿宋_GBK"/>
          <w:sz w:val="32"/>
          <w:szCs w:val="32"/>
        </w:rPr>
        <w:t>工作。</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配备专门质量管理负责人，提供必要的条件和资源，保证质量管理部门独立履行职责。</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配备专门质量受权人，保证独立履行药品上市放行责任；负责处置与药品质量有关的重大安全事件，确保风险得到及时控制。</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负责建立生产管理、质量管理的培训考核制度。</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配备或者指定药物警戒负责人。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监督质量控制和保证体系的良好运行和持续改进，监督委托生产过程质量管理规范执行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确保委托生产过程控制和药品质量控制符合相关法规要求、标准要求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确保委托生产药品生产、检验等数据和记录真实、准确、完整和可追溯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对药品质量管理所有相关人员针对委托生产药品开展培训和考核。</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履行与委托生产相关的生产管理职责，确保委托生产的药品按照批准的工艺组织生产和贮存，并保证药品生产质量。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独立履行药品放行职责，不受企业负责人和其他人员的干扰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确保每批已放行药品的生产、检验均符合相关法规、药品注册管理要求和质量标准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设置多个质量受权人的，依据企业品种、生产规模等实际情况，覆盖所有产品的放行职责；各质量受权人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分工明确、岗位职责无交叉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临时转授权的，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经过企业法定代表人或者企业负责人批准，以书面形式规定转授权范围、事项及时限。转授权期间，原质量受权人仍须承担相应责任。</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确保药品不良反应监测与报告的合规性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监督开展药品安全风险识别、评估与控制，确保风险控制措施的有效执行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负责药品安全性信息沟通的管理，确保沟通及时有效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确保持有人内部以及与药品监督管理部门和药品不良反应监测机构沟通渠道顺畅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负责重要药物警戒文件的审核或签发。</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9" w:name="_Toc20181"/>
      <w:bookmarkStart w:id="60" w:name="_Toc4784"/>
      <w:bookmarkStart w:id="61" w:name="_Toc32060"/>
      <w:bookmarkStart w:id="62" w:name="_Toc2358"/>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培训要求</w:t>
      </w:r>
      <w:bookmarkEnd w:id="59"/>
      <w:bookmarkEnd w:id="60"/>
      <w:bookmarkEnd w:id="61"/>
      <w:bookmarkEnd w:id="6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建立人员培训计划，</w:t>
      </w:r>
      <w:r>
        <w:rPr>
          <w:rFonts w:hint="eastAsia" w:ascii="方正仿宋_GBK" w:hAnsi="方正仿宋_GBK" w:eastAsia="方正仿宋_GBK" w:cs="方正仿宋_GBK"/>
          <w:sz w:val="32"/>
          <w:szCs w:val="32"/>
          <w:lang w:val="en-US" w:eastAsia="zh-CN"/>
        </w:rPr>
        <w:t>及时</w:t>
      </w:r>
      <w:r>
        <w:rPr>
          <w:rFonts w:hint="eastAsia" w:ascii="方正仿宋_GBK" w:hAnsi="方正仿宋_GBK" w:eastAsia="方正仿宋_GBK" w:cs="方正仿宋_GBK"/>
          <w:sz w:val="32"/>
          <w:szCs w:val="32"/>
        </w:rPr>
        <w:t>组织人员学习药品相关法律、法规、规章，以及产品工艺信息等内容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对培训效果进行评估，以确保培训有效。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组织对受托生产企业进行委托生产</w:t>
      </w:r>
      <w:r>
        <w:rPr>
          <w:rFonts w:hint="eastAsia" w:ascii="方正仿宋_GBK" w:hAnsi="方正仿宋_GBK" w:eastAsia="方正仿宋_GBK" w:cs="方正仿宋_GBK"/>
          <w:sz w:val="32"/>
          <w:szCs w:val="32"/>
          <w:lang w:eastAsia="zh-CN"/>
        </w:rPr>
        <w:t>相关培训，内容至少包括</w:t>
      </w:r>
      <w:r>
        <w:rPr>
          <w:rFonts w:hint="eastAsia" w:ascii="方正仿宋_GBK" w:hAnsi="方正仿宋_GBK" w:eastAsia="方正仿宋_GBK" w:cs="方正仿宋_GBK"/>
          <w:sz w:val="32"/>
          <w:szCs w:val="32"/>
        </w:rPr>
        <w:t>药品处方工艺、质量标准和生产质量管理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63" w:name="_Toc21678"/>
      <w:bookmarkStart w:id="64" w:name="_Toc218"/>
      <w:bookmarkStart w:id="65" w:name="_Toc8411"/>
      <w:bookmarkStart w:id="66" w:name="_Toc1489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人员健康</w:t>
      </w:r>
      <w:bookmarkEnd w:id="63"/>
      <w:bookmarkEnd w:id="64"/>
      <w:bookmarkEnd w:id="65"/>
      <w:bookmarkEnd w:id="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对人员健康进行管理，并建立健康档案。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直接接触药品的工作人员上岗前</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接受健康检查，每年至少进行一次健康检查。患有传染病或者其他可能污染药品疾病的，不得从事直接接触药品的生产。</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生产无菌制剂，需要开展目视检查的，持有人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对目视检查人员进行定期视觉和视力检测，定期开展灯检能力测试。</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67" w:name="_Toc5647"/>
      <w:bookmarkStart w:id="68" w:name="_Toc28613"/>
      <w:bookmarkStart w:id="69" w:name="_Toc27295"/>
      <w:bookmarkStart w:id="70" w:name="_Toc31392"/>
      <w:r>
        <w:rPr>
          <w:rFonts w:hint="eastAsia" w:ascii="方正仿宋_GBK" w:hAnsi="方正仿宋_GBK" w:eastAsia="方正仿宋_GBK" w:cs="方正仿宋_GBK"/>
          <w:sz w:val="32"/>
          <w:szCs w:val="32"/>
        </w:rPr>
        <w:t>厂房、设施与设备</w:t>
      </w:r>
      <w:bookmarkEnd w:id="67"/>
      <w:bookmarkEnd w:id="68"/>
      <w:bookmarkEnd w:id="69"/>
      <w:bookmarkEnd w:id="70"/>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71" w:name="_Toc16318"/>
      <w:bookmarkStart w:id="72" w:name="_Toc28478"/>
      <w:bookmarkStart w:id="73" w:name="_Toc28666"/>
      <w:bookmarkStart w:id="74" w:name="_Toc8169"/>
      <w:r>
        <w:rPr>
          <w:rFonts w:hint="eastAsia" w:ascii="方正仿宋_GBK" w:hAnsi="方正仿宋_GBK" w:eastAsia="方正仿宋_GBK" w:cs="方正仿宋_GBK"/>
          <w:sz w:val="32"/>
          <w:szCs w:val="32"/>
        </w:rPr>
        <w:t>厂房</w:t>
      </w:r>
      <w:r>
        <w:rPr>
          <w:rFonts w:hint="eastAsia" w:ascii="方正仿宋_GBK" w:hAnsi="方正仿宋_GBK" w:eastAsia="方正仿宋_GBK" w:cs="方正仿宋_GBK"/>
          <w:sz w:val="32"/>
        </w:rPr>
        <w:t>管理</w:t>
      </w:r>
      <w:bookmarkEnd w:id="71"/>
      <w:bookmarkEnd w:id="72"/>
      <w:bookmarkEnd w:id="73"/>
      <w:bookmarkEnd w:id="7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对受托生产企业的厂房布局、人流、物流以及生产环境进行</w:t>
      </w:r>
      <w:r>
        <w:rPr>
          <w:rFonts w:hint="eastAsia" w:ascii="方正仿宋_GBK" w:hAnsi="方正仿宋_GBK" w:eastAsia="方正仿宋_GBK" w:cs="方正仿宋_GBK"/>
          <w:sz w:val="32"/>
          <w:szCs w:val="32"/>
          <w:lang w:val="en-US" w:eastAsia="zh-CN"/>
        </w:rPr>
        <w:t>现场</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审阅或查看受托生产企业生产环境监测报告及趋势分析结果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参与委托产品涉及环境异常的调查过程，并审核调查结果。</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对受托生产企业的厂房清洁、消毒及维护管理情况进行确认或</w:t>
      </w:r>
      <w:r>
        <w:rPr>
          <w:rFonts w:hint="eastAsia" w:ascii="方正仿宋_GBK" w:hAnsi="方正仿宋_GBK" w:eastAsia="方正仿宋_GBK" w:cs="方正仿宋_GBK"/>
          <w:b w:val="0"/>
          <w:bCs w:val="0"/>
          <w:kern w:val="44"/>
          <w:sz w:val="32"/>
          <w:szCs w:val="32"/>
        </w:rPr>
        <w:t>评估</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75" w:name="_Toc30533"/>
      <w:bookmarkStart w:id="76" w:name="_Toc6730"/>
      <w:bookmarkStart w:id="77" w:name="_Toc11218"/>
      <w:bookmarkStart w:id="78" w:name="_Toc15235"/>
      <w:r>
        <w:rPr>
          <w:rFonts w:hint="eastAsia" w:ascii="方正仿宋_GBK" w:hAnsi="方正仿宋_GBK" w:eastAsia="方正仿宋_GBK" w:cs="方正仿宋_GBK"/>
          <w:sz w:val="32"/>
        </w:rPr>
        <w:t>设备管理</w:t>
      </w:r>
      <w:bookmarkEnd w:id="75"/>
      <w:bookmarkEnd w:id="76"/>
      <w:bookmarkEnd w:id="77"/>
      <w:bookmarkEnd w:id="7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确认受托生产企业的设备已完成确认和验证，并评估是否满足受托品种生产需求。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对受托产品使用设备的参数和材质进行评估，</w:t>
      </w:r>
      <w:r>
        <w:rPr>
          <w:rFonts w:hint="eastAsia" w:ascii="方正仿宋_GBK" w:hAnsi="方正仿宋_GBK" w:eastAsia="方正仿宋_GBK" w:cs="方正仿宋_GBK"/>
          <w:sz w:val="32"/>
          <w:szCs w:val="32"/>
          <w:lang w:eastAsia="zh-CN"/>
        </w:rPr>
        <w:t>内容应</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受托产品使用设备关键工艺参数设定值和范围的检查和确认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受托产品接触产品部件材质和光洁度的确认</w:t>
      </w:r>
      <w:r>
        <w:rPr>
          <w:rFonts w:hint="eastAsia" w:ascii="方正仿宋_GBK" w:hAnsi="方正仿宋_GBK" w:eastAsia="方正仿宋_GBK" w:cs="方正仿宋_GBK"/>
          <w:sz w:val="32"/>
          <w:szCs w:val="32"/>
          <w:lang w:eastAsia="zh-CN"/>
        </w:rPr>
        <w:t>以及受托</w:t>
      </w:r>
      <w:r>
        <w:rPr>
          <w:rFonts w:hint="eastAsia" w:ascii="方正仿宋_GBK" w:hAnsi="方正仿宋_GBK" w:eastAsia="方正仿宋_GBK" w:cs="方正仿宋_GBK"/>
          <w:sz w:val="32"/>
          <w:szCs w:val="32"/>
        </w:rPr>
        <w:t>产品接触润滑油的评估和日常管理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对受托生产企业的设备使用、维修和维护程序进行评估，</w:t>
      </w:r>
      <w:r>
        <w:rPr>
          <w:rFonts w:hint="eastAsia" w:ascii="方正仿宋_GBK" w:hAnsi="方正仿宋_GBK" w:eastAsia="方正仿宋_GBK" w:cs="方正仿宋_GBK"/>
          <w:sz w:val="32"/>
          <w:szCs w:val="32"/>
          <w:lang w:eastAsia="zh-CN"/>
        </w:rPr>
        <w:t>评估内容应包括</w:t>
      </w:r>
      <w:r>
        <w:rPr>
          <w:rFonts w:hint="eastAsia" w:ascii="方正仿宋_GBK" w:hAnsi="方正仿宋_GBK" w:eastAsia="方正仿宋_GBK" w:cs="方正仿宋_GBK"/>
          <w:sz w:val="32"/>
          <w:szCs w:val="32"/>
        </w:rPr>
        <w:t>产品使用部件、模具的维护、清洗和管理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预防维护计划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操作规程和清洗规程</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设备故障、预防维护等行为对产品质量</w:t>
      </w:r>
      <w:r>
        <w:rPr>
          <w:rFonts w:hint="eastAsia" w:ascii="方正仿宋_GBK" w:hAnsi="方正仿宋_GBK" w:eastAsia="方正仿宋_GBK" w:cs="方正仿宋_GBK"/>
          <w:sz w:val="32"/>
          <w:szCs w:val="32"/>
          <w:lang w:eastAsia="zh-CN"/>
        </w:rPr>
        <w:t>产生的</w:t>
      </w:r>
      <w:r>
        <w:rPr>
          <w:rFonts w:hint="eastAsia" w:ascii="方正仿宋_GBK" w:hAnsi="方正仿宋_GBK" w:eastAsia="方正仿宋_GBK" w:cs="方正仿宋_GBK"/>
          <w:sz w:val="32"/>
          <w:szCs w:val="32"/>
        </w:rPr>
        <w:t>影响。</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79" w:name="_Toc19066"/>
      <w:bookmarkStart w:id="80" w:name="_Toc22268"/>
      <w:bookmarkStart w:id="81" w:name="_Toc21099"/>
      <w:bookmarkStart w:id="82" w:name="_Toc30961"/>
      <w:r>
        <w:rPr>
          <w:rFonts w:hint="eastAsia" w:ascii="方正仿宋_GBK" w:hAnsi="方正仿宋_GBK" w:eastAsia="方正仿宋_GBK" w:cs="方正仿宋_GBK"/>
          <w:sz w:val="32"/>
          <w:szCs w:val="32"/>
        </w:rPr>
        <w:t>公用</w:t>
      </w:r>
      <w:r>
        <w:rPr>
          <w:rFonts w:hint="eastAsia" w:ascii="方正仿宋_GBK" w:hAnsi="方正仿宋_GBK" w:eastAsia="方正仿宋_GBK" w:cs="方正仿宋_GBK"/>
          <w:sz w:val="32"/>
        </w:rPr>
        <w:t>系统管理</w:t>
      </w:r>
      <w:bookmarkEnd w:id="79"/>
      <w:bookmarkEnd w:id="80"/>
      <w:bookmarkEnd w:id="81"/>
      <w:bookmarkEnd w:id="8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确认受托生产企业的公用系统已完成确认和验证，以满足产品需求。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对受托生产企业空调系统的设计</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间歇运行方式进行审核与确认。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对受托生产企业压缩空气、氮气等公用介质系统按照对产品质量影响的程度进行评估，</w:t>
      </w:r>
      <w:r>
        <w:rPr>
          <w:rFonts w:hint="eastAsia" w:ascii="方正仿宋_GBK" w:hAnsi="方正仿宋_GBK" w:eastAsia="方正仿宋_GBK" w:cs="方正仿宋_GBK"/>
          <w:sz w:val="32"/>
          <w:szCs w:val="32"/>
          <w:lang w:eastAsia="zh-CN"/>
        </w:rPr>
        <w:t>应根据评估结果采取有效控制措施</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对受托企业的制药用水系统（包括饮用水、纯化水、注射用水、纯蒸汽）定期检查和趋势分析</w:t>
      </w:r>
      <w:r>
        <w:rPr>
          <w:rFonts w:hint="eastAsia" w:ascii="方正仿宋_GBK" w:hAnsi="方正仿宋_GBK" w:eastAsia="方正仿宋_GBK" w:cs="方正仿宋_GBK"/>
          <w:sz w:val="32"/>
          <w:szCs w:val="32"/>
          <w:lang w:eastAsia="zh-CN"/>
        </w:rPr>
        <w:t>结果进行评估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必要时根据评估结果</w:t>
      </w:r>
      <w:r>
        <w:rPr>
          <w:rFonts w:hint="eastAsia" w:ascii="方正仿宋_GBK" w:hAnsi="方正仿宋_GBK" w:eastAsia="方正仿宋_GBK" w:cs="方正仿宋_GBK"/>
          <w:sz w:val="32"/>
          <w:szCs w:val="32"/>
        </w:rPr>
        <w:t>合理的</w:t>
      </w:r>
      <w:r>
        <w:rPr>
          <w:rFonts w:hint="eastAsia" w:ascii="方正仿宋_GBK" w:hAnsi="方正仿宋_GBK" w:eastAsia="方正仿宋_GBK" w:cs="方正仿宋_GBK"/>
          <w:sz w:val="32"/>
          <w:szCs w:val="32"/>
          <w:lang w:eastAsia="zh-CN"/>
        </w:rPr>
        <w:t>制定</w:t>
      </w:r>
      <w:r>
        <w:rPr>
          <w:rFonts w:hint="eastAsia" w:ascii="方正仿宋_GBK" w:hAnsi="方正仿宋_GBK" w:eastAsia="方正仿宋_GBK" w:cs="方正仿宋_GBK"/>
          <w:sz w:val="32"/>
          <w:szCs w:val="32"/>
        </w:rPr>
        <w:t>警戒限和行动限</w:t>
      </w:r>
      <w:r>
        <w:rPr>
          <w:rFonts w:hint="eastAsia" w:ascii="方正仿宋_GBK" w:hAnsi="方正仿宋_GBK" w:eastAsia="方正仿宋_GBK" w:cs="方正仿宋_GBK"/>
          <w:sz w:val="32"/>
          <w:szCs w:val="32"/>
          <w:lang w:eastAsia="zh-CN"/>
        </w:rPr>
        <w:t>并跟踪确认。</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83" w:name="_Toc7465"/>
      <w:bookmarkStart w:id="84" w:name="_Toc6055"/>
      <w:bookmarkStart w:id="85" w:name="_Toc14161"/>
      <w:bookmarkStart w:id="86" w:name="_Toc30767"/>
      <w:r>
        <w:rPr>
          <w:rFonts w:hint="eastAsia" w:ascii="方正仿宋_GBK" w:hAnsi="方正仿宋_GBK" w:eastAsia="方正仿宋_GBK" w:cs="方正仿宋_GBK"/>
          <w:sz w:val="32"/>
          <w:szCs w:val="32"/>
        </w:rPr>
        <w:t>物料与产品</w:t>
      </w:r>
      <w:bookmarkEnd w:id="83"/>
      <w:bookmarkEnd w:id="84"/>
      <w:bookmarkEnd w:id="85"/>
      <w:bookmarkEnd w:id="8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87" w:name="_Toc26815"/>
      <w:bookmarkStart w:id="88" w:name="_Toc32125"/>
      <w:bookmarkStart w:id="89" w:name="_Toc7703"/>
      <w:bookmarkStart w:id="90" w:name="_Toc21479"/>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供应商</w:t>
      </w:r>
      <w:r>
        <w:rPr>
          <w:rFonts w:hint="eastAsia" w:ascii="方正仿宋_GBK" w:hAnsi="方正仿宋_GBK" w:eastAsia="方正仿宋_GBK" w:cs="方正仿宋_GBK"/>
          <w:sz w:val="32"/>
          <w:szCs w:val="32"/>
        </w:rPr>
        <w:t>管理</w:t>
      </w:r>
      <w:bookmarkEnd w:id="87"/>
      <w:bookmarkEnd w:id="88"/>
      <w:bookmarkEnd w:id="89"/>
      <w:bookmarkEnd w:id="9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按程序批准物料合格供应商清单并提交给受托生产企业</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确认受托生产企业将持有人提供的合格供应商纳入自身合格供应商目录，用于相关物料入厂时的核对验收。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持有人委托生产产品所使用的原辅料、直接接触药品的包装材料和容器等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通过关联审评并符合药用要求。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持有人分级管理原辅料和包装材料的，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对委托产品所使用原辅料和包装材料按对产品质量的影响程度进行风险评估。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lang w:val="en-US" w:eastAsia="zh"/>
        </w:rPr>
        <w:t>建立</w:t>
      </w:r>
      <w:r>
        <w:rPr>
          <w:rFonts w:hint="eastAsia" w:ascii="方正仿宋_GBK" w:hAnsi="方正仿宋_GBK" w:eastAsia="方正仿宋_GBK" w:cs="方正仿宋_GBK"/>
          <w:sz w:val="32"/>
          <w:szCs w:val="32"/>
        </w:rPr>
        <w:t>物料供应商评估批准操作程序，并由质量部门对物料供应商进行评估、批准。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建立物料供应商定期审核、回顾制度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定期对主要物料供应商（尤其是生产商）的质量管理体系进行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与供应商签订质量协议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对于重大变更，持有人</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能够及时获得信息，并做出产品质量影响评估，必要时启动变更控制程序。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受托生产产品的物料供应商变更情况纳入变更管理，变更物料供应商时，按照《药品上市后变更管理办法（试行）》《已上市</w:t>
      </w:r>
      <w:r>
        <w:rPr>
          <w:rFonts w:hint="eastAsia" w:ascii="方正仿宋_GBK" w:hAnsi="方正仿宋_GBK" w:eastAsia="方正仿宋_GBK" w:cs="方正仿宋_GBK"/>
          <w:sz w:val="32"/>
          <w:szCs w:val="32"/>
          <w:lang w:eastAsia="zh-CN"/>
        </w:rPr>
        <w:t>化学</w:t>
      </w:r>
      <w:r>
        <w:rPr>
          <w:rFonts w:hint="eastAsia" w:ascii="方正仿宋_GBK" w:hAnsi="方正仿宋_GBK" w:eastAsia="方正仿宋_GBK" w:cs="方正仿宋_GBK"/>
          <w:sz w:val="32"/>
          <w:szCs w:val="32"/>
        </w:rPr>
        <w:t>药品药学变更研究技术指导原则</w:t>
      </w:r>
      <w:r>
        <w:rPr>
          <w:rFonts w:hint="eastAsia" w:ascii="方正仿宋_GBK" w:hAnsi="方正仿宋_GBK" w:eastAsia="方正仿宋_GBK" w:cs="方正仿宋_GBK"/>
          <w:sz w:val="32"/>
          <w:szCs w:val="32"/>
          <w:lang w:eastAsia="zh-CN"/>
        </w:rPr>
        <w:t>（试行）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《已上市中药药学变更研究技术指导原则（试行）》</w:t>
      </w:r>
      <w:r>
        <w:rPr>
          <w:rFonts w:hint="eastAsia" w:ascii="方正仿宋_GBK" w:hAnsi="方正仿宋_GBK" w:eastAsia="方正仿宋_GBK" w:cs="方正仿宋_GBK"/>
          <w:sz w:val="32"/>
          <w:szCs w:val="32"/>
        </w:rPr>
        <w:t>等规定进行研究、验证及稳定性考察，并经过备案后实施或进行报告。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按照质量协议规定明确物料供应商审计评估批准职责并实施。</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1" w:name="_Toc29949"/>
      <w:bookmarkStart w:id="92" w:name="_Toc13051"/>
      <w:bookmarkStart w:id="93" w:name="_Toc23599"/>
      <w:bookmarkStart w:id="94" w:name="_Toc2774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入厂检验（取样、储存）</w:t>
      </w:r>
      <w:bookmarkEnd w:id="91"/>
      <w:bookmarkEnd w:id="92"/>
      <w:bookmarkEnd w:id="93"/>
      <w:bookmarkEnd w:id="9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按照质量协议明确物料采购、验收、取样、留样、检验和放行等责任，并按规定实施。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受托生产企业进行物料与产品检验放行的，持有人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定期对物料检验结果进行审核，确保相关物料按批准的方法进行检验，确保其符合法定标准和相关要求。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明确规定物料检验报告书、物料放行审核单等文件原件或复印件的移交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共享的方式</w:t>
      </w:r>
      <w:r>
        <w:rPr>
          <w:rFonts w:hint="eastAsia" w:ascii="方正仿宋_GBK" w:hAnsi="方正仿宋_GBK" w:eastAsia="方正仿宋_GBK" w:cs="方正仿宋_GBK"/>
          <w:sz w:val="32"/>
          <w:szCs w:val="32"/>
          <w:lang w:val="en-US" w:eastAsia="zh-CN"/>
        </w:rPr>
        <w:t>和时限要求</w:t>
      </w:r>
      <w:r>
        <w:rPr>
          <w:rFonts w:hint="eastAsia" w:ascii="方正仿宋_GBK" w:hAnsi="方正仿宋_GBK" w:eastAsia="方正仿宋_GBK" w:cs="方正仿宋_GBK"/>
          <w:sz w:val="32"/>
          <w:szCs w:val="32"/>
        </w:rPr>
        <w:t>，并按规定实施。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物料和产品的储存相</w:t>
      </w:r>
      <w:r>
        <w:rPr>
          <w:rFonts w:hint="eastAsia" w:ascii="方正仿宋_GBK" w:hAnsi="方正仿宋_GBK" w:eastAsia="方正仿宋_GBK" w:cs="方正仿宋_GBK"/>
          <w:sz w:val="32"/>
          <w:szCs w:val="32"/>
          <w:lang w:val="en-US" w:eastAsia="zh-CN"/>
        </w:rPr>
        <w:t>适应的</w:t>
      </w:r>
      <w:r>
        <w:rPr>
          <w:rFonts w:hint="eastAsia" w:ascii="方正仿宋_GBK" w:hAnsi="方正仿宋_GBK" w:eastAsia="方正仿宋_GBK" w:cs="方正仿宋_GBK"/>
          <w:sz w:val="32"/>
          <w:szCs w:val="32"/>
        </w:rPr>
        <w:t>质量管理制度，并符合相关规范要求。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持有人自行开展储存等活动的，</w:t>
      </w:r>
      <w:r>
        <w:rPr>
          <w:rFonts w:hint="eastAsia" w:ascii="方正仿宋_GBK" w:hAnsi="方正仿宋_GBK" w:eastAsia="方正仿宋_GBK" w:cs="方正仿宋_GBK"/>
          <w:sz w:val="32"/>
          <w:szCs w:val="32"/>
          <w:lang w:val="en-US" w:eastAsia="zh-CN"/>
        </w:rPr>
        <w:t>应开展</w:t>
      </w:r>
      <w:r>
        <w:rPr>
          <w:rFonts w:hint="eastAsia" w:ascii="方正仿宋_GBK" w:hAnsi="方正仿宋_GBK" w:eastAsia="方正仿宋_GBK" w:cs="方正仿宋_GBK"/>
          <w:sz w:val="32"/>
          <w:szCs w:val="32"/>
        </w:rPr>
        <w:t>成品库房的温湿度验证、温湿度控制、防虫害控制等</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，确保成品储存条件</w:t>
      </w:r>
      <w:r>
        <w:rPr>
          <w:rFonts w:hint="eastAsia" w:ascii="方正仿宋_GBK" w:hAnsi="方正仿宋_GBK" w:eastAsia="方正仿宋_GBK" w:cs="方正仿宋_GBK"/>
          <w:sz w:val="32"/>
          <w:szCs w:val="32"/>
          <w:lang w:val="en-US" w:eastAsia="zh-CN"/>
        </w:rPr>
        <w:t>符合法规要求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同时</w:t>
      </w:r>
      <w:r>
        <w:rPr>
          <w:rFonts w:hint="eastAsia" w:ascii="方正仿宋_GBK" w:hAnsi="方正仿宋_GBK" w:eastAsia="方正仿宋_GBK" w:cs="方正仿宋_GBK"/>
          <w:sz w:val="32"/>
          <w:szCs w:val="32"/>
        </w:rPr>
        <w:t>成品的运输与验收</w:t>
      </w:r>
      <w:r>
        <w:rPr>
          <w:rFonts w:hint="eastAsia" w:ascii="方正仿宋_GBK" w:hAnsi="方正仿宋_GBK" w:eastAsia="方正仿宋_GBK" w:cs="方正仿宋_GBK"/>
          <w:sz w:val="32"/>
          <w:szCs w:val="32"/>
          <w:lang w:val="en-US" w:eastAsia="zh-CN"/>
        </w:rPr>
        <w:t>也需要制定有效控制措施</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涉及委托储存等活动的，持有人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建立委托储存管理程序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产品储存和追溯等</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如委托储存过程中应</w:t>
      </w:r>
      <w:r>
        <w:rPr>
          <w:rFonts w:hint="eastAsia" w:ascii="方正仿宋_GBK" w:hAnsi="方正仿宋_GBK" w:eastAsia="方正仿宋_GBK" w:cs="方正仿宋_GBK"/>
          <w:sz w:val="32"/>
          <w:szCs w:val="32"/>
        </w:rPr>
        <w:t>保留相关管理记录（如验证和温湿度控制及记录、报警管理、追溯管理及应急处理等）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对委托储存实施审计和日常监督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w:t>
      </w:r>
      <w:r>
        <w:rPr>
          <w:rFonts w:hint="eastAsia" w:ascii="方正仿宋_GBK" w:hAnsi="方正仿宋_GBK" w:eastAsia="方正仿宋_GBK" w:cs="方正仿宋_GBK"/>
          <w:sz w:val="32"/>
          <w:szCs w:val="32"/>
        </w:rPr>
        <w:t>储存方的质量保证能力和风险管理能力</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委托储存</w:t>
      </w:r>
      <w:r>
        <w:rPr>
          <w:rFonts w:hint="eastAsia" w:ascii="方正仿宋_GBK" w:hAnsi="方正仿宋_GBK" w:eastAsia="方正仿宋_GBK" w:cs="方正仿宋_GBK"/>
          <w:sz w:val="32"/>
          <w:szCs w:val="32"/>
          <w:lang w:val="en-US" w:eastAsia="zh-CN"/>
        </w:rPr>
        <w:t>时，应</w:t>
      </w:r>
      <w:r>
        <w:rPr>
          <w:rFonts w:hint="eastAsia" w:ascii="方正仿宋_GBK" w:hAnsi="方正仿宋_GBK" w:eastAsia="方正仿宋_GBK" w:cs="方正仿宋_GBK"/>
          <w:sz w:val="32"/>
          <w:szCs w:val="32"/>
        </w:rPr>
        <w:t>按规定向持有人、受托方所在地省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药品监督管理部门报告。</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5" w:name="_Toc14764"/>
      <w:bookmarkStart w:id="96" w:name="_Toc31747"/>
      <w:bookmarkStart w:id="97" w:name="_Toc8243"/>
      <w:bookmarkStart w:id="98" w:name="_Toc2762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上市放行</w:t>
      </w:r>
      <w:bookmarkEnd w:id="95"/>
      <w:bookmarkEnd w:id="96"/>
      <w:bookmarkEnd w:id="97"/>
      <w:bookmarkEnd w:id="9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建立产品放行规程，明确持有人与受托生产企业放行职责，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在首次放行前对工艺规程与注册申报资料等进行一致性核对。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对受托生产企业出厂放行进行审核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内容包括</w:t>
      </w:r>
      <w:r>
        <w:rPr>
          <w:rFonts w:hint="eastAsia" w:ascii="方正仿宋_GBK" w:hAnsi="方正仿宋_GBK" w:eastAsia="方正仿宋_GBK" w:cs="方正仿宋_GBK"/>
          <w:sz w:val="32"/>
          <w:szCs w:val="32"/>
        </w:rPr>
        <w:t>检验结果、关键生产记录、偏差、变更、OOS等，保证药品及其生产符合注册和GMP要求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符合有关规定的上市放行审核内容，并最终由质量受权人出具批准上市放行的明确决定。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能够履行拒绝产品放行的职责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当受托方作出不予出厂放行决定时，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及时告知持有人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当持有人作出不予上市放行决定时，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及时告知受托方。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持有人要指定专门人员及时申报《药品生产许可证》有关事项信息的变更，确保药品上市放行前《药品生产许可证》有关事项已获得批准。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9" w:name="_Toc19690"/>
      <w:bookmarkStart w:id="100" w:name="_Toc12708"/>
      <w:bookmarkStart w:id="101" w:name="_Toc23973"/>
      <w:bookmarkStart w:id="102" w:name="_Toc16535"/>
      <w:r>
        <w:rPr>
          <w:rFonts w:hint="eastAsia" w:ascii="方正仿宋_GBK" w:hAnsi="方正仿宋_GBK" w:eastAsia="方正仿宋_GBK" w:cs="方正仿宋_GBK"/>
          <w:sz w:val="32"/>
        </w:rPr>
        <w:t>药品追溯</w:t>
      </w:r>
      <w:bookmarkEnd w:id="99"/>
      <w:bookmarkEnd w:id="100"/>
      <w:bookmarkEnd w:id="101"/>
      <w:bookmarkEnd w:id="102"/>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5.4.1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药品监督管理部门相关规定和信息化标准要求对各级销售包装单元赋码，并做好各级销售包装单元药品追溯码之间的关联，保证药品追溯码的准确性、唯一性，在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eastAsia="zh-CN"/>
        </w:rPr>
        <w:t>中</w:t>
      </w:r>
      <w:r>
        <w:rPr>
          <w:rFonts w:hint="eastAsia" w:ascii="方正仿宋_GBK" w:hAnsi="方正仿宋_GBK" w:eastAsia="方正仿宋_GBK" w:cs="方正仿宋_GBK"/>
          <w:sz w:val="32"/>
          <w:szCs w:val="32"/>
        </w:rPr>
        <w:t>明确双方在药品追溯中的职责，并按规定实施。</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5.4.2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建立药品追溯制度，按要求自建或者委托第三方建设信息化追溯系统，按照规定向药品监督管理部门提供追溯数据，确保追溯到最小销售独立包装</w:t>
      </w:r>
      <w:r>
        <w:rPr>
          <w:rFonts w:hint="eastAsia" w:ascii="方正仿宋_GBK" w:hAnsi="方正仿宋_GBK" w:eastAsia="方正仿宋_GBK" w:cs="方正仿宋_GBK"/>
          <w:sz w:val="32"/>
          <w:szCs w:val="32"/>
          <w:lang w:eastAsia="zh-CN"/>
        </w:rPr>
        <w:t>，于药品正式商业上市时实现赋码销售。</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5.4.3  </w:t>
      </w:r>
      <w:r>
        <w:rPr>
          <w:rFonts w:hint="eastAsia" w:ascii="方正仿宋_GBK" w:hAnsi="方正仿宋_GBK" w:eastAsia="方正仿宋_GBK" w:cs="方正仿宋_GBK"/>
          <w:sz w:val="32"/>
          <w:szCs w:val="32"/>
        </w:rPr>
        <w:t>持有人使用第三方平台的，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审查平台资质，签订合同协议，确认第三方平台的设计、使用和管理情况满足产品追溯的要求。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5.4.4  </w:t>
      </w:r>
      <w:r>
        <w:rPr>
          <w:rFonts w:hint="eastAsia" w:ascii="方正仿宋_GBK" w:hAnsi="方正仿宋_GBK" w:eastAsia="方正仿宋_GBK" w:cs="方正仿宋_GBK"/>
          <w:sz w:val="32"/>
          <w:szCs w:val="32"/>
          <w:lang w:eastAsia="zh-CN"/>
        </w:rPr>
        <w:t>持有人在销售药品时，可将各级销售包装单元药品追溯信息上传至全国统一的医保信息平台，以便医药机构验证反馈。</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3" w:name="_Toc9218"/>
      <w:bookmarkStart w:id="104" w:name="_Toc20830"/>
      <w:bookmarkStart w:id="105" w:name="_Toc11144"/>
      <w:bookmarkStart w:id="106" w:name="_Toc9918"/>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发运</w:t>
      </w:r>
      <w:bookmarkEnd w:id="103"/>
      <w:bookmarkEnd w:id="104"/>
      <w:bookmarkEnd w:id="105"/>
      <w:bookmarkEnd w:id="10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持有人自行发运的，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建立产品发运规程，保留发运记录，能够追溯发运过程。</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w:t>
      </w:r>
      <w:r>
        <w:rPr>
          <w:rFonts w:hint="eastAsia" w:ascii="方正仿宋_GBK" w:hAnsi="方正仿宋_GBK" w:eastAsia="方正仿宋_GBK" w:cs="方正仿宋_GBK"/>
          <w:sz w:val="32"/>
          <w:szCs w:val="32"/>
          <w:lang w:val="en-US" w:eastAsia="zh-CN"/>
        </w:rPr>
        <w:t>存储条件较为严格</w:t>
      </w:r>
      <w:r>
        <w:rPr>
          <w:rFonts w:hint="eastAsia" w:ascii="方正仿宋_GBK" w:hAnsi="方正仿宋_GBK" w:eastAsia="方正仿宋_GBK" w:cs="方正仿宋_GBK"/>
          <w:sz w:val="32"/>
          <w:szCs w:val="32"/>
        </w:rPr>
        <w:t>的产品，</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有相应控制措施保证运输过程产品质量安全。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涉及委托发运的，持有人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建立委托运输管理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对受托方质量保证能力和风险管理能力进行评估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签订质量保证协议，确保</w:t>
      </w:r>
      <w:r>
        <w:rPr>
          <w:rFonts w:hint="eastAsia" w:ascii="方正仿宋_GBK" w:hAnsi="方正仿宋_GBK" w:eastAsia="方正仿宋_GBK" w:cs="方正仿宋_GBK"/>
          <w:sz w:val="32"/>
          <w:szCs w:val="32"/>
        </w:rPr>
        <w:t>满足产品运输和追溯要求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保留相关管理记录。</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7" w:name="_Toc15592"/>
      <w:bookmarkStart w:id="108" w:name="_Toc28786"/>
      <w:bookmarkStart w:id="109" w:name="_Toc6277"/>
      <w:bookmarkStart w:id="110" w:name="_Toc21737"/>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销售（含委托销售）</w:t>
      </w:r>
      <w:bookmarkEnd w:id="107"/>
      <w:bookmarkEnd w:id="108"/>
      <w:bookmarkEnd w:id="109"/>
      <w:bookmarkEnd w:id="11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持有人自行销售产品的，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对药品购货单位和购货人员资质进行审核，防止药品流通进入非法供应链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产品销售记录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确保产品可追溯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如涉及网络销售，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建立相应的网络销售管理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，符合《药品网络销售监督管理办法》。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如涉及委托销售产品，持有人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对受托方的质量保证能力和风险管理能力进行审计评估，受托方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具有相应经营范围。</w:t>
      </w: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与受托方签订委托协议，明确约定药品质量责任、不得再次委托销售等内容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对受托方的销售行为进行审计及监督。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向所在地省级药品监督管理部门报告委托销售</w:t>
      </w:r>
      <w:r>
        <w:rPr>
          <w:rFonts w:hint="eastAsia" w:ascii="方正仿宋_GBK" w:hAnsi="方正仿宋_GBK" w:eastAsia="方正仿宋_GBK" w:cs="方正仿宋_GBK"/>
          <w:sz w:val="32"/>
          <w:szCs w:val="32"/>
          <w:lang w:val="en-US" w:eastAsia="zh-CN"/>
        </w:rPr>
        <w:t>情况</w:t>
      </w:r>
      <w:r>
        <w:rPr>
          <w:rFonts w:hint="eastAsia" w:ascii="方正仿宋_GBK" w:hAnsi="方正仿宋_GBK" w:eastAsia="方正仿宋_GBK" w:cs="方正仿宋_GBK"/>
          <w:sz w:val="32"/>
          <w:szCs w:val="32"/>
        </w:rPr>
        <w:t>；跨省委托销售的，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同时报告药品经营企业所在地省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1" w:name="_Toc11924"/>
      <w:bookmarkStart w:id="112" w:name="_Toc18799"/>
      <w:bookmarkStart w:id="113" w:name="_Toc9416"/>
      <w:bookmarkStart w:id="114" w:name="_Toc29621"/>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召回</w:t>
      </w:r>
      <w:bookmarkEnd w:id="111"/>
      <w:bookmarkEnd w:id="112"/>
      <w:bookmarkEnd w:id="113"/>
      <w:bookmarkEnd w:id="11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按照《药品召回管理办法》制定药品召回管理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，并通过模拟召回或其他方式定期评估召回有效性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按照质量协议规定明确双方在产品召回中的职责，</w:t>
      </w:r>
      <w:r>
        <w:rPr>
          <w:rFonts w:hint="eastAsia" w:ascii="方正仿宋_GBK" w:hAnsi="方正仿宋_GBK" w:eastAsia="方正仿宋_GBK" w:cs="方正仿宋_GBK"/>
          <w:sz w:val="32"/>
          <w:szCs w:val="32"/>
          <w:lang w:val="en-US" w:eastAsia="zh-CN"/>
        </w:rPr>
        <w:t>如</w:t>
      </w:r>
      <w:r>
        <w:rPr>
          <w:rFonts w:hint="eastAsia" w:ascii="方正仿宋_GBK" w:hAnsi="方正仿宋_GBK" w:eastAsia="方正仿宋_GBK" w:cs="方正仿宋_GBK"/>
          <w:sz w:val="32"/>
          <w:szCs w:val="32"/>
        </w:rPr>
        <w:t>召回</w:t>
      </w:r>
      <w:r>
        <w:rPr>
          <w:rFonts w:hint="eastAsia" w:ascii="方正仿宋_GBK" w:hAnsi="方正仿宋_GBK" w:eastAsia="方正仿宋_GBK" w:cs="方正仿宋_GBK"/>
          <w:sz w:val="32"/>
          <w:szCs w:val="32"/>
          <w:lang w:val="en-US" w:eastAsia="zh-CN"/>
        </w:rPr>
        <w:t>时</w:t>
      </w:r>
      <w:r>
        <w:rPr>
          <w:rFonts w:hint="eastAsia" w:ascii="方正仿宋_GBK" w:hAnsi="方正仿宋_GBK" w:eastAsia="方正仿宋_GBK" w:cs="方正仿宋_GBK"/>
          <w:sz w:val="32"/>
          <w:szCs w:val="32"/>
        </w:rPr>
        <w:t>，受托生产方和受托销售方（如适用）</w:t>
      </w:r>
      <w:r>
        <w:rPr>
          <w:rFonts w:hint="eastAsia" w:ascii="方正仿宋_GBK" w:hAnsi="方正仿宋_GBK" w:eastAsia="方正仿宋_GBK" w:cs="方正仿宋_GBK"/>
          <w:sz w:val="32"/>
          <w:szCs w:val="32"/>
          <w:lang w:val="en-US" w:eastAsia="zh-CN"/>
        </w:rPr>
        <w:t>如何</w:t>
      </w:r>
      <w:r>
        <w:rPr>
          <w:rFonts w:hint="eastAsia" w:ascii="方正仿宋_GBK" w:hAnsi="方正仿宋_GBK" w:eastAsia="方正仿宋_GBK" w:cs="方正仿宋_GBK"/>
          <w:sz w:val="32"/>
          <w:szCs w:val="32"/>
        </w:rPr>
        <w:t>进行相应的配合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按规定实施召回，必要时组织销毁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按照有关规定及时将药品召回和处理情况向所在地省级药品监督管理部门和卫生健康主管部门报告。</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15" w:name="_Toc16220"/>
      <w:bookmarkStart w:id="116" w:name="_Toc2644"/>
      <w:bookmarkStart w:id="117" w:name="_Toc10557"/>
      <w:bookmarkStart w:id="118" w:name="_Toc12362"/>
      <w:r>
        <w:rPr>
          <w:rFonts w:hint="eastAsia" w:ascii="方正仿宋_GBK" w:hAnsi="方正仿宋_GBK" w:eastAsia="方正仿宋_GBK" w:cs="方正仿宋_GBK"/>
          <w:sz w:val="32"/>
          <w:szCs w:val="32"/>
        </w:rPr>
        <w:t>生产管理</w:t>
      </w:r>
      <w:bookmarkEnd w:id="115"/>
      <w:bookmarkEnd w:id="116"/>
      <w:bookmarkEnd w:id="117"/>
      <w:bookmarkEnd w:id="11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9" w:name="_Toc15504"/>
      <w:bookmarkStart w:id="120" w:name="_Toc24734"/>
      <w:bookmarkStart w:id="121" w:name="_Toc6254"/>
      <w:bookmarkStart w:id="122" w:name="_Toc5648"/>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rPr>
        <w:t>转移</w:t>
      </w:r>
      <w:bookmarkEnd w:id="119"/>
      <w:bookmarkEnd w:id="120"/>
      <w:bookmarkEnd w:id="121"/>
      <w:bookmarkEnd w:id="12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建立技术转移管理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，并制定技术转移方案，明确转移双方职责。</w:t>
      </w:r>
      <w:r>
        <w:rPr>
          <w:rFonts w:hint="eastAsia" w:ascii="方正仿宋_GBK" w:hAnsi="方正仿宋_GBK" w:eastAsia="方正仿宋_GBK" w:cs="方正仿宋_GBK"/>
          <w:sz w:val="32"/>
          <w:szCs w:val="32"/>
          <w:lang w:val="en-US" w:eastAsia="zh-CN"/>
        </w:rPr>
        <w:t>技术转移过程应通过风险识别、沟通、分析、评估、处置和培训，确保产品技术转移研究充分、转移前后药品质量一致。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向受托生产企业提供必要的技术资料，包括但不限于</w:t>
      </w:r>
      <w:r>
        <w:rPr>
          <w:rFonts w:hint="eastAsia" w:ascii="方正仿宋_GBK" w:hAnsi="方正仿宋_GBK" w:eastAsia="方正仿宋_GBK" w:cs="方正仿宋_GBK"/>
          <w:bCs/>
          <w:kern w:val="0"/>
          <w:sz w:val="32"/>
          <w:szCs w:val="32"/>
        </w:rPr>
        <w:t>药品注册证书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经药品监督管理部门核准的生产工艺、质量标准、说明书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标签</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检验标准操作程序</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企业内控质量标准</w:t>
      </w:r>
      <w:r>
        <w:rPr>
          <w:rFonts w:hint="eastAsia" w:ascii="方正仿宋_GBK" w:hAnsi="方正仿宋_GBK" w:eastAsia="方正仿宋_GBK" w:cs="方正仿宋_GBK"/>
          <w:bCs/>
          <w:kern w:val="0"/>
          <w:sz w:val="32"/>
          <w:szCs w:val="32"/>
          <w:lang w:val="en-US" w:eastAsia="zh-CN"/>
        </w:rPr>
        <w:t>和</w:t>
      </w:r>
      <w:r>
        <w:rPr>
          <w:rFonts w:hint="eastAsia" w:ascii="方正仿宋_GBK" w:hAnsi="方正仿宋_GBK" w:eastAsia="方正仿宋_GBK" w:cs="方正仿宋_GBK"/>
          <w:bCs/>
          <w:kern w:val="0"/>
          <w:sz w:val="32"/>
          <w:szCs w:val="32"/>
        </w:rPr>
        <w:t>清洁验证相关的产品毒性数据资料等。</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对受托生产企业制定的委托生产技术文件进行审核批准，相应技术文件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符合持有人提供的文件资料及受托生产企业生产技术条件和质量管理情况。</w:t>
      </w:r>
    </w:p>
    <w:p>
      <w:pPr>
        <w:pStyle w:val="21"/>
        <w:widowControl/>
        <w:numPr>
          <w:ilvl w:val="-1"/>
          <w:numId w:val="0"/>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6.1.4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对受托生产企业的质量保证能力和风险管理能力进行评估</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评估情况制定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修订与受托生产企业在生产与质量管理等方面衔接的措施，如：质量回顾分析、持有人对受托生产企业的审核、上市放行管理、质量投诉管理、退货管理、召回管理、偏差管理、变更控制、质量标准及检测、生产工艺规程及空白批生产记录、合格供应商名单、质量信息沟通、共线生产、自检管理、不合格品处理、纠正与预防措施、双方出现不良信用情形、产品停产及复产、主要的验证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6.1.5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对原辅包供应商、产品工艺参数、受托生产条件等变更按规定经批准、备案后实施或报告。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6.1.6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确认受托生产企业的设施设备、公用系统、检验方法等已完成必要的确认和验证，工艺验证的方案和报告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参与工艺验证全过程；</w:t>
      </w:r>
      <w:r>
        <w:rPr>
          <w:rFonts w:hint="eastAsia" w:ascii="方正仿宋_GBK" w:hAnsi="方正仿宋_GBK" w:eastAsia="方正仿宋_GBK" w:cs="方正仿宋_GBK"/>
          <w:sz w:val="32"/>
          <w:szCs w:val="32"/>
        </w:rPr>
        <w:t>确认受托生产企业在产品商业化生产阶段</w:t>
      </w:r>
      <w:r>
        <w:rPr>
          <w:rFonts w:hint="eastAsia" w:ascii="方正仿宋_GBK" w:hAnsi="方正仿宋_GBK" w:eastAsia="方正仿宋_GBK" w:cs="方正仿宋_GBK"/>
          <w:sz w:val="32"/>
          <w:szCs w:val="32"/>
          <w:lang w:val="en-US" w:eastAsia="zh-CN"/>
        </w:rPr>
        <w:t>能持续</w:t>
      </w:r>
      <w:r>
        <w:rPr>
          <w:rFonts w:hint="eastAsia" w:ascii="方正仿宋_GBK" w:hAnsi="方正仿宋_GBK" w:eastAsia="方正仿宋_GBK" w:cs="方正仿宋_GBK"/>
          <w:sz w:val="32"/>
          <w:szCs w:val="32"/>
        </w:rPr>
        <w:t>开展工艺确认，对产品质量进行监控与趋势分析，确保产品质量始终处于受控状态。</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3" w:name="_Toc30142"/>
      <w:bookmarkStart w:id="124" w:name="_Toc29242"/>
      <w:bookmarkStart w:id="125" w:name="_Toc1918"/>
      <w:bookmarkStart w:id="126" w:name="_Toc3148"/>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派驻</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rPr>
        <w:t>、指导</w:t>
      </w:r>
      <w:bookmarkEnd w:id="123"/>
      <w:bookmarkEnd w:id="124"/>
      <w:bookmarkEnd w:id="125"/>
      <w:bookmarkEnd w:id="12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基于对受托方的评估结果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对受托生产企业定期</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，并根据产品质量风险和受托生产企业质量管理水平制定合理审核周期。</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持有人对受托方的</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受托品种的特点审核厂房（含维护）、设施（含维护）、设备（含维护）、物料与产品、生产、检验、放行、稳定性考察、偏差管理、变更控制、年度回顾、确认与验证、趋势分析、自检、投诉、不良反应等；</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rPr>
        <w:t>审计受托检验机构，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涵盖受托品种检验的仪器设备、方法、试剂试液、标准品、人员、留样等。审计数据可靠性相关内容，如：检查原始记录、票据（如物料采购发票、成品发运票据、委托检验票据等）、凭证、电子数据等。持有人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跟踪审计缺陷的整改</w:t>
      </w:r>
      <w:r>
        <w:rPr>
          <w:rFonts w:hint="eastAsia" w:ascii="方正仿宋_GBK" w:hAnsi="方正仿宋_GBK" w:eastAsia="方正仿宋_GBK" w:cs="方正仿宋_GBK"/>
          <w:sz w:val="32"/>
          <w:szCs w:val="32"/>
          <w:lang w:val="en-US" w:eastAsia="zh-CN"/>
        </w:rPr>
        <w:t>情况，确保纠正预防措施的有效性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对委托生产</w:t>
      </w:r>
      <w:r>
        <w:rPr>
          <w:rFonts w:hint="eastAsia" w:ascii="方正仿宋_GBK" w:hAnsi="方正仿宋_GBK" w:eastAsia="方正仿宋_GBK" w:cs="方正仿宋_GBK"/>
          <w:sz w:val="32"/>
          <w:szCs w:val="32"/>
          <w:lang w:eastAsia="zh-CN"/>
        </w:rPr>
        <w:t>品种</w:t>
      </w:r>
      <w:r>
        <w:rPr>
          <w:rFonts w:hint="eastAsia" w:ascii="方正仿宋_GBK" w:hAnsi="方正仿宋_GBK" w:eastAsia="方正仿宋_GBK" w:cs="方正仿宋_GBK"/>
          <w:sz w:val="32"/>
          <w:szCs w:val="32"/>
        </w:rPr>
        <w:t>的全过程进行指导和监督，确保受托生产企业能够按照</w:t>
      </w:r>
      <w:r>
        <w:rPr>
          <w:rFonts w:hint="eastAsia" w:ascii="方正仿宋_GBK" w:hAnsi="方正仿宋_GBK" w:eastAsia="方正仿宋_GBK" w:cs="方正仿宋_GBK"/>
          <w:sz w:val="32"/>
          <w:szCs w:val="32"/>
          <w:lang w:eastAsia="zh-CN"/>
        </w:rPr>
        <w:t>核准的</w:t>
      </w:r>
      <w:r>
        <w:rPr>
          <w:rFonts w:hint="eastAsia" w:ascii="方正仿宋_GBK" w:hAnsi="方正仿宋_GBK" w:eastAsia="方正仿宋_GBK" w:cs="方正仿宋_GBK"/>
          <w:sz w:val="32"/>
          <w:szCs w:val="32"/>
        </w:rPr>
        <w:t>工艺生产出符合注册标准的产品</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按照规定结合风险评估情况设置派驻人员，明确派驻人员对产品生产管理、质量管理全过程进行现场指导和监督的相关内容，并填写监督记录，以确保生产工艺、质量标准</w:t>
      </w:r>
      <w:r>
        <w:rPr>
          <w:rFonts w:hint="eastAsia" w:ascii="方正仿宋_GBK" w:hAnsi="方正仿宋_GBK" w:eastAsia="方正仿宋_GBK" w:cs="方正仿宋_GBK"/>
          <w:sz w:val="32"/>
          <w:szCs w:val="32"/>
          <w:lang w:val="en-US" w:eastAsia="zh-CN"/>
        </w:rPr>
        <w:t>与核准的一致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委托生产无菌制剂等高风险的，派驻人员每年至少一次现场观察或者通过视窗、视频等有效手段监督洁净区无菌工艺模拟灌装试验。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持有人委托生产监督人员数量</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与委托生产在产品种的场地、数量及产品风险相适应。持有人具有多个受托生产场地时，每个场地委托生产在产期间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派遣专门从事现场生产质量管理的人员进行监督。</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持有人未设置派驻人员</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对委托方</w:t>
      </w:r>
      <w:r>
        <w:rPr>
          <w:rFonts w:hint="eastAsia" w:ascii="方正仿宋_GBK" w:hAnsi="方正仿宋_GBK" w:eastAsia="方正仿宋_GBK" w:cs="方正仿宋_GBK"/>
          <w:sz w:val="32"/>
          <w:szCs w:val="32"/>
        </w:rPr>
        <w:t>全过程指导和监督措施</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定期审计、依风险审计、信息化</w:t>
      </w:r>
      <w:r>
        <w:rPr>
          <w:rFonts w:hint="eastAsia" w:ascii="方正仿宋_GBK" w:hAnsi="方正仿宋_GBK" w:eastAsia="方正仿宋_GBK" w:cs="方正仿宋_GBK"/>
          <w:sz w:val="32"/>
          <w:szCs w:val="32"/>
          <w:lang w:eastAsia="zh-CN"/>
        </w:rPr>
        <w:t>监督等</w:t>
      </w:r>
      <w:r>
        <w:rPr>
          <w:rFonts w:hint="eastAsia" w:ascii="方正仿宋_GBK" w:hAnsi="方正仿宋_GBK" w:eastAsia="方正仿宋_GBK" w:cs="方正仿宋_GBK"/>
          <w:sz w:val="32"/>
          <w:szCs w:val="32"/>
        </w:rPr>
        <w:t>手段对关键质量属性及关键工艺参数进行监测、</w:t>
      </w:r>
      <w:r>
        <w:rPr>
          <w:rFonts w:hint="eastAsia" w:ascii="方正仿宋_GBK" w:hAnsi="方正仿宋_GBK" w:eastAsia="方正仿宋_GBK" w:cs="方正仿宋_GBK"/>
          <w:sz w:val="32"/>
          <w:szCs w:val="32"/>
          <w:lang w:val="en-US" w:eastAsia="zh-CN"/>
        </w:rPr>
        <w:t>对变化</w:t>
      </w:r>
      <w:r>
        <w:rPr>
          <w:rFonts w:hint="eastAsia" w:ascii="方正仿宋_GBK" w:hAnsi="方正仿宋_GBK" w:eastAsia="方正仿宋_GBK" w:cs="方正仿宋_GBK"/>
          <w:sz w:val="32"/>
          <w:szCs w:val="32"/>
        </w:rPr>
        <w:t>趋势</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分析，确保生产及质量均符合法定要求，发现异常情况</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及时采取措施。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定期组织对重复性风险和新出现风险进行研判，对委托生产的产品、工艺、物料等质量相关要素</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分析评价，并制定纠正预防措施，持续健全质量管理体系。采取的质量管理措施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及时向企业负责人汇报。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7" w:name="_Toc24706"/>
      <w:bookmarkStart w:id="128" w:name="_Toc31903"/>
      <w:bookmarkStart w:id="129" w:name="_Toc13611"/>
      <w:bookmarkStart w:id="130" w:name="_Toc3151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生产操作（含包装操作）</w:t>
      </w:r>
      <w:bookmarkEnd w:id="127"/>
      <w:bookmarkEnd w:id="128"/>
      <w:bookmarkEnd w:id="129"/>
      <w:bookmarkEnd w:id="13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对委托产品的产品批号、生产日期、有效期的编制及管理规则进行确认。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监督、检查受托生产企业按照持有人批准的处方和工艺进行生产，并有记录。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对受托生产企业生产过程的防止污染、交叉污染、混淆和差错有明确的控制流程并有效执行。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对受托生产企业制定的委托产品重新包装程序进行审核批准；</w:t>
      </w:r>
      <w:r>
        <w:rPr>
          <w:rFonts w:hint="eastAsia" w:ascii="方正仿宋_GBK" w:hAnsi="方正仿宋_GBK" w:eastAsia="方正仿宋_GBK" w:cs="方正仿宋_GBK"/>
          <w:sz w:val="32"/>
          <w:szCs w:val="32"/>
          <w:lang w:val="en-US" w:eastAsia="zh-CN"/>
        </w:rPr>
        <w:t>应对</w:t>
      </w:r>
      <w:r>
        <w:rPr>
          <w:rFonts w:hint="eastAsia" w:ascii="方正仿宋_GBK" w:hAnsi="方正仿宋_GBK" w:eastAsia="方正仿宋_GBK" w:cs="方正仿宋_GBK"/>
          <w:sz w:val="32"/>
          <w:szCs w:val="32"/>
        </w:rPr>
        <w:t>重新包装的</w:t>
      </w:r>
      <w:r>
        <w:rPr>
          <w:rFonts w:hint="eastAsia" w:ascii="方正仿宋_GBK" w:hAnsi="方正仿宋_GBK" w:eastAsia="方正仿宋_GBK" w:cs="方正仿宋_GBK"/>
          <w:sz w:val="32"/>
          <w:szCs w:val="32"/>
          <w:lang w:val="en-US" w:eastAsia="zh-CN"/>
        </w:rPr>
        <w:t>产品</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对包装规程进行</w:t>
      </w:r>
      <w:r>
        <w:rPr>
          <w:rFonts w:hint="eastAsia" w:ascii="方正仿宋_GBK" w:hAnsi="方正仿宋_GBK" w:eastAsia="方正仿宋_GBK" w:cs="方正仿宋_GBK"/>
          <w:sz w:val="32"/>
          <w:szCs w:val="32"/>
        </w:rPr>
        <w:t>验证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确保重新包装过程</w:t>
      </w:r>
      <w:r>
        <w:rPr>
          <w:rFonts w:hint="eastAsia" w:ascii="方正仿宋_GBK" w:hAnsi="方正仿宋_GBK" w:eastAsia="方正仿宋_GBK" w:cs="方正仿宋_GBK"/>
          <w:sz w:val="32"/>
          <w:szCs w:val="32"/>
        </w:rPr>
        <w:t>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并按规定</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需要的</w:t>
      </w:r>
      <w:r>
        <w:rPr>
          <w:rFonts w:hint="eastAsia" w:ascii="方正仿宋_GBK" w:hAnsi="方正仿宋_GBK" w:eastAsia="方正仿宋_GBK" w:cs="方正仿宋_GBK"/>
          <w:sz w:val="32"/>
          <w:szCs w:val="32"/>
        </w:rPr>
        <w:t>项目检验</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稳定性考察。</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1" w:name="_Toc26636"/>
      <w:bookmarkStart w:id="132" w:name="_Toc5504"/>
      <w:bookmarkStart w:id="133" w:name="_Toc25527"/>
      <w:bookmarkStart w:id="134" w:name="_Toc14011"/>
      <w:r>
        <w:rPr>
          <w:rFonts w:hint="eastAsia" w:ascii="方正仿宋_GBK" w:hAnsi="方正仿宋_GBK" w:eastAsia="方正仿宋_GBK" w:cs="方正仿宋_GBK"/>
          <w:sz w:val="32"/>
          <w:szCs w:val="32"/>
        </w:rPr>
        <w:t>污染</w:t>
      </w:r>
      <w:r>
        <w:rPr>
          <w:rFonts w:hint="eastAsia" w:ascii="方正仿宋_GBK" w:hAnsi="方正仿宋_GBK" w:eastAsia="方正仿宋_GBK" w:cs="方正仿宋_GBK"/>
          <w:sz w:val="32"/>
        </w:rPr>
        <w:t>与交叉污染</w:t>
      </w:r>
      <w:bookmarkEnd w:id="131"/>
      <w:bookmarkEnd w:id="132"/>
      <w:bookmarkEnd w:id="133"/>
      <w:bookmarkEnd w:id="1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对共线生产风险评估报告进行动态管理，同一生产线每次引入产品时，持有人应</w:t>
      </w:r>
      <w:r>
        <w:rPr>
          <w:rFonts w:hint="eastAsia" w:ascii="方正仿宋_GBK" w:hAnsi="方正仿宋_GBK" w:eastAsia="方正仿宋_GBK" w:cs="方正仿宋_GBK"/>
          <w:sz w:val="32"/>
          <w:szCs w:val="32"/>
          <w:lang w:val="en-US" w:eastAsia="zh-CN"/>
        </w:rPr>
        <w:t>及时对受托方反馈的共线生产信息进行认真研判，</w:t>
      </w:r>
      <w:r>
        <w:rPr>
          <w:rFonts w:hint="eastAsia" w:ascii="方正仿宋_GBK" w:hAnsi="方正仿宋_GBK" w:eastAsia="方正仿宋_GBK" w:cs="方正仿宋_GBK"/>
          <w:sz w:val="32"/>
          <w:szCs w:val="32"/>
        </w:rPr>
        <w:t>参与共线</w:t>
      </w:r>
      <w:r>
        <w:rPr>
          <w:rFonts w:hint="eastAsia" w:ascii="方正仿宋_GBK" w:hAnsi="方正仿宋_GBK" w:eastAsia="方正仿宋_GBK" w:cs="方正仿宋_GBK"/>
          <w:sz w:val="32"/>
          <w:szCs w:val="32"/>
          <w:lang w:val="en-US" w:eastAsia="zh-CN"/>
        </w:rPr>
        <w:t>生产</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采取相应措施与受托方达成一致，对风险防控措施无法达成一致的，应主动暂停委托生产行为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受托生产的</w:t>
      </w:r>
      <w:r>
        <w:rPr>
          <w:rFonts w:hint="eastAsia" w:ascii="方正仿宋_GBK" w:hAnsi="方正仿宋_GBK" w:eastAsia="方正仿宋_GBK" w:cs="方正仿宋_GBK"/>
          <w:sz w:val="32"/>
          <w:szCs w:val="32"/>
        </w:rPr>
        <w:t>车间和生产线存在多品种共线生产的，受托生产企业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按照GMP及相关附录的要求对共线生产品种进行充分的质量影响评估，并出具报告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审核、确认质量影响评估报告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kern w:val="0"/>
          <w:sz w:val="32"/>
          <w:szCs w:val="32"/>
        </w:rPr>
        <w:t>《药品共线生产质量风险管理指南》</w:t>
      </w:r>
      <w:r>
        <w:rPr>
          <w:rFonts w:hint="eastAsia" w:ascii="方正仿宋_GBK" w:hAnsi="方正仿宋_GBK" w:eastAsia="方正仿宋_GBK" w:cs="方正仿宋_GBK"/>
          <w:bCs/>
          <w:kern w:val="0"/>
          <w:sz w:val="32"/>
          <w:szCs w:val="32"/>
          <w:lang w:eastAsia="zh-CN"/>
        </w:rPr>
        <w:t>《清洁验证技术指南》</w:t>
      </w:r>
      <w:r>
        <w:rPr>
          <w:rFonts w:hint="eastAsia" w:ascii="方正仿宋_GBK" w:hAnsi="方正仿宋_GBK" w:eastAsia="方正仿宋_GBK" w:cs="方正仿宋_GBK"/>
          <w:bCs/>
          <w:kern w:val="0"/>
          <w:sz w:val="32"/>
          <w:szCs w:val="32"/>
        </w:rPr>
        <w:t>及</w:t>
      </w:r>
      <w:r>
        <w:rPr>
          <w:rFonts w:hint="eastAsia" w:ascii="方正仿宋_GBK" w:hAnsi="方正仿宋_GBK" w:eastAsia="方正仿宋_GBK" w:cs="方正仿宋_GBK"/>
          <w:sz w:val="32"/>
          <w:szCs w:val="32"/>
        </w:rPr>
        <w:t>评估结果开展清洁验证、制定有效的污染控制措施（如专用、阶段性生产、清洁验证、确认等）；验证、共线生产风险评估的方案和报告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受托生产企业污染控制措施的执行情况</w:t>
      </w:r>
      <w:r>
        <w:rPr>
          <w:rFonts w:hint="eastAsia" w:ascii="方正仿宋_GBK" w:hAnsi="方正仿宋_GBK" w:eastAsia="方正仿宋_GBK" w:cs="方正仿宋_GBK"/>
          <w:sz w:val="32"/>
          <w:szCs w:val="32"/>
          <w:lang w:val="en-US" w:eastAsia="zh-CN"/>
        </w:rPr>
        <w:t>进行审计</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审计</w:t>
      </w:r>
      <w:r>
        <w:rPr>
          <w:rFonts w:hint="eastAsia" w:ascii="方正仿宋_GBK" w:hAnsi="方正仿宋_GBK" w:eastAsia="方正仿宋_GBK" w:cs="方正仿宋_GBK"/>
          <w:sz w:val="32"/>
          <w:szCs w:val="32"/>
        </w:rPr>
        <w:t>情况</w:t>
      </w:r>
      <w:r>
        <w:rPr>
          <w:rFonts w:hint="eastAsia" w:ascii="方正仿宋_GBK" w:hAnsi="方正仿宋_GBK" w:eastAsia="方正仿宋_GBK" w:cs="方正仿宋_GBK"/>
          <w:sz w:val="32"/>
          <w:szCs w:val="32"/>
          <w:lang w:val="en-US" w:eastAsia="zh-CN"/>
        </w:rPr>
        <w:t>评估开展必要的检验</w:t>
      </w:r>
      <w:r>
        <w:rPr>
          <w:rFonts w:hint="eastAsia" w:ascii="方正仿宋_GBK" w:hAnsi="方正仿宋_GBK" w:eastAsia="方正仿宋_GBK" w:cs="方正仿宋_GBK"/>
          <w:sz w:val="32"/>
          <w:szCs w:val="32"/>
        </w:rPr>
        <w:t>（如：化学残留、微生物限度、细菌内毒素等）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并定期开展回顾性分析</w:t>
      </w:r>
      <w:r>
        <w:rPr>
          <w:rFonts w:hint="eastAsia" w:ascii="方正仿宋_GBK" w:hAnsi="方正仿宋_GBK" w:eastAsia="方正仿宋_GBK" w:cs="方正仿宋_GBK"/>
          <w:sz w:val="32"/>
          <w:szCs w:val="32"/>
        </w:rPr>
        <w:t>，确保药品质量安全。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关注受托生产企业是否接受其他企业委托生产或自身持有相同通用名的药品，应通过审计、驻厂检查、协议规定等措施加强生产、物料管理，避免混淆，确保委托生产品种按照核准的处方工艺、标准进行生产和检验。</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35" w:name="_Toc13311"/>
      <w:bookmarkStart w:id="136" w:name="_Toc22072"/>
      <w:bookmarkStart w:id="137" w:name="_Toc11463"/>
      <w:bookmarkStart w:id="138" w:name="_Toc4839"/>
      <w:r>
        <w:rPr>
          <w:rFonts w:hint="eastAsia" w:ascii="方正仿宋_GBK" w:hAnsi="方正仿宋_GBK" w:eastAsia="方正仿宋_GBK" w:cs="方正仿宋_GBK"/>
          <w:sz w:val="32"/>
          <w:szCs w:val="32"/>
        </w:rPr>
        <w:t>质量控制</w:t>
      </w:r>
      <w:bookmarkEnd w:id="135"/>
      <w:bookmarkEnd w:id="136"/>
      <w:bookmarkEnd w:id="137"/>
      <w:bookmarkEnd w:id="13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9" w:name="_Toc15023"/>
      <w:bookmarkStart w:id="140" w:name="_Toc8508"/>
      <w:bookmarkStart w:id="141" w:name="_Toc18808"/>
      <w:bookmarkStart w:id="142" w:name="_Toc2689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职责</w:t>
      </w:r>
      <w:bookmarkEnd w:id="139"/>
      <w:bookmarkEnd w:id="140"/>
      <w:bookmarkEnd w:id="141"/>
      <w:bookmarkEnd w:id="14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通过质量协议明确原辅包、中间产品和成品的检验责任，并按质量协议约定及GMP要求实施。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受托方负责原辅包、中间产品和成品检验的，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进行检验方法的验证、转移或者确认，相应方案和报告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经持有人审核批准。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委托双方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制定对不符合质量标准的结果和异常趋势的处理程序，并将处理过程中产生的文件记录以复印件或者其他方式移交给对方。抽查OOS/OOT调查的审核评估是否科学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OOS根本原因调查和纠正预防措施的制定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对可能影响产品安全性、有效性和质量可控性的实验室调查</w:t>
      </w:r>
      <w:r>
        <w:rPr>
          <w:rFonts w:hint="eastAsia" w:ascii="方正仿宋_GBK" w:hAnsi="方正仿宋_GBK" w:eastAsia="方正仿宋_GBK" w:cs="方正仿宋_GBK"/>
          <w:sz w:val="32"/>
          <w:szCs w:val="32"/>
          <w:lang w:eastAsia="zh-CN"/>
        </w:rPr>
        <w:t>结果</w:t>
      </w:r>
      <w:r>
        <w:rPr>
          <w:rFonts w:hint="eastAsia" w:ascii="方正仿宋_GBK" w:hAnsi="方正仿宋_GBK" w:eastAsia="方正仿宋_GBK" w:cs="方正仿宋_GBK"/>
          <w:sz w:val="32"/>
          <w:szCs w:val="32"/>
        </w:rPr>
        <w:t>进行评估，如果确认产品质量有风险，则需要根据评估结果采取产品处理、销毁或召回等行动。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建立对受托生产企业实验室信息化管理的监督管理机制，涉及受托生产产品的审核、放行、批准等权限的，持有人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建立有效的管理措施，对其进行监督。</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3" w:name="_Toc32734"/>
      <w:bookmarkStart w:id="144" w:name="_Toc15838"/>
      <w:bookmarkStart w:id="145" w:name="_Toc4640"/>
      <w:bookmarkStart w:id="146" w:name="_Toc29819"/>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能力</w:t>
      </w:r>
      <w:bookmarkEnd w:id="143"/>
      <w:bookmarkEnd w:id="144"/>
      <w:bookmarkEnd w:id="145"/>
      <w:bookmarkEnd w:id="1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对受托方的检验能力进行评估，评估内容至少包括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人员、厂房设施、仪器设备、组织机构、文件体系、取样、检验等。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对质量标准、检验方法等进行确认并签字。</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对质量标准、检验方法等变更按规定进行批准、备案后实施或者报告。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定期对受托方的检验全过程进行监督指导，确保受托生产企业能够按照批准的质量标准开展检验工作，并确保检验数据的真实、准确、完整和可追溯。</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按GMP要求，持有人的人员、厂房设施、仪器设备、试剂、培养基及标准物质等方面的管理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有效完成</w:t>
      </w:r>
      <w:r>
        <w:rPr>
          <w:rFonts w:hint="eastAsia" w:ascii="方正仿宋_GBK" w:hAnsi="方正仿宋_GBK" w:eastAsia="方正仿宋_GBK" w:cs="方正仿宋_GBK"/>
          <w:sz w:val="32"/>
          <w:szCs w:val="32"/>
          <w:lang w:val="en-US" w:eastAsia="zh-CN"/>
        </w:rPr>
        <w:t>检验</w:t>
      </w:r>
      <w:r>
        <w:rPr>
          <w:rFonts w:hint="eastAsia" w:ascii="方正仿宋_GBK" w:hAnsi="方正仿宋_GBK" w:eastAsia="方正仿宋_GBK" w:cs="方正仿宋_GBK"/>
          <w:sz w:val="32"/>
          <w:szCs w:val="32"/>
        </w:rPr>
        <w:t>方法的验证、确认、转移工作，以及涵盖取样、检验、放行、销毁等检验全过程</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文件体系。</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产品放行实验室，</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建立计算机化系统管理程序，定期对放行产品开展电子数据审核，检查检验过程是否存在重复检验至合格等数据完整性问题。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7" w:name="_Toc21603"/>
      <w:bookmarkStart w:id="148" w:name="_Toc4075"/>
      <w:bookmarkStart w:id="149" w:name="_Toc32223"/>
      <w:bookmarkStart w:id="150" w:name="_Toc32553"/>
      <w:r>
        <w:rPr>
          <w:rFonts w:hint="eastAsia" w:ascii="方正仿宋_GBK" w:hAnsi="方正仿宋_GBK" w:eastAsia="方正仿宋_GBK" w:cs="方正仿宋_GBK"/>
          <w:sz w:val="32"/>
        </w:rPr>
        <w:t>留样</w:t>
      </w:r>
      <w:bookmarkEnd w:id="147"/>
      <w:bookmarkEnd w:id="148"/>
      <w:bookmarkEnd w:id="149"/>
      <w:bookmarkEnd w:id="1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应按国家药监局有关规定开展留样工作，应按</w:t>
      </w:r>
      <w:r>
        <w:rPr>
          <w:rFonts w:hint="eastAsia" w:ascii="方正仿宋_GBK" w:hAnsi="方正仿宋_GBK" w:eastAsia="方正仿宋_GBK" w:cs="方正仿宋_GBK"/>
          <w:sz w:val="32"/>
          <w:szCs w:val="32"/>
        </w:rPr>
        <w:t>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委托留样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建立对受托方留样的管理要求，如留样使用、销毁等应经持有人审批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应定期开展审计和评估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持有人自行进行物料和成品留样的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按照GMP相关要求建立留样管理程序，并按程序进行管理。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确保物料和成品有足够留样，以备必要的检查或检验。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1" w:name="_Toc21767"/>
      <w:bookmarkStart w:id="152" w:name="_Toc7242"/>
      <w:bookmarkStart w:id="153" w:name="_Toc9763"/>
      <w:bookmarkStart w:id="154" w:name="_Toc23283"/>
      <w:r>
        <w:rPr>
          <w:rFonts w:hint="eastAsia" w:ascii="方正仿宋_GBK" w:hAnsi="方正仿宋_GBK" w:eastAsia="方正仿宋_GBK" w:cs="方正仿宋_GBK"/>
          <w:sz w:val="32"/>
          <w:szCs w:val="32"/>
        </w:rPr>
        <w:t>稳定性</w:t>
      </w:r>
      <w:r>
        <w:rPr>
          <w:rFonts w:hint="eastAsia" w:ascii="方正仿宋_GBK" w:hAnsi="方正仿宋_GBK" w:eastAsia="方正仿宋_GBK" w:cs="方正仿宋_GBK"/>
          <w:sz w:val="32"/>
        </w:rPr>
        <w:t>考察</w:t>
      </w:r>
      <w:bookmarkEnd w:id="151"/>
      <w:bookmarkEnd w:id="152"/>
      <w:bookmarkEnd w:id="153"/>
      <w:bookmarkEnd w:id="1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稳定性考察应符合国家药监局有关规定要求，</w:t>
      </w: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在质量协议中明确规定稳定性考察责任，并按质量协议和GMP相关要求实施。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持有人委托开展</w:t>
      </w:r>
      <w:r>
        <w:rPr>
          <w:rFonts w:hint="eastAsia" w:ascii="方正仿宋_GBK" w:hAnsi="方正仿宋_GBK" w:eastAsia="方正仿宋_GBK" w:cs="方正仿宋_GBK"/>
          <w:sz w:val="32"/>
          <w:szCs w:val="32"/>
        </w:rPr>
        <w:t>稳定性考察的，</w:t>
      </w:r>
      <w:r>
        <w:rPr>
          <w:rFonts w:hint="eastAsia" w:ascii="方正仿宋_GBK" w:hAnsi="方正仿宋_GBK" w:eastAsia="方正仿宋_GBK" w:cs="方正仿宋_GBK"/>
          <w:sz w:val="32"/>
          <w:szCs w:val="32"/>
          <w:lang w:val="en-US" w:eastAsia="zh-CN"/>
        </w:rPr>
        <w:t>应审核批准</w:t>
      </w:r>
      <w:r>
        <w:rPr>
          <w:rFonts w:hint="eastAsia" w:ascii="方正仿宋_GBK" w:hAnsi="方正仿宋_GBK" w:eastAsia="方正仿宋_GBK" w:cs="方正仿宋_GBK"/>
          <w:sz w:val="32"/>
          <w:szCs w:val="32"/>
        </w:rPr>
        <w:t>稳定性方案和报告</w:t>
      </w:r>
      <w:r>
        <w:rPr>
          <w:rFonts w:hint="eastAsia" w:ascii="方正仿宋_GBK" w:hAnsi="方正仿宋_GBK" w:eastAsia="方正仿宋_GBK" w:cs="方正仿宋_GBK"/>
          <w:sz w:val="32"/>
          <w:szCs w:val="32"/>
          <w:lang w:val="en-US" w:eastAsia="zh-CN"/>
        </w:rPr>
        <w:t>，并定期开展审计和评估</w:t>
      </w:r>
      <w:r>
        <w:rPr>
          <w:rFonts w:hint="eastAsia" w:ascii="方正仿宋_GBK" w:hAnsi="方正仿宋_GBK" w:eastAsia="方正仿宋_GBK" w:cs="方正仿宋_GBK"/>
          <w:sz w:val="32"/>
          <w:szCs w:val="32"/>
        </w:rPr>
        <w:t>；持有人自行进行稳定性考察的，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按照GMP相关要求建立稳定性考察管理程序，并按程序进行管理。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定期对稳定性</w:t>
      </w:r>
      <w:r>
        <w:rPr>
          <w:rFonts w:hint="eastAsia" w:ascii="方正仿宋_GBK" w:hAnsi="方正仿宋_GBK" w:eastAsia="方正仿宋_GBK" w:cs="方正仿宋_GBK"/>
          <w:sz w:val="32"/>
          <w:szCs w:val="32"/>
          <w:lang w:val="en-US" w:eastAsia="zh-CN"/>
        </w:rPr>
        <w:t>试验</w:t>
      </w:r>
      <w:r>
        <w:rPr>
          <w:rFonts w:hint="eastAsia" w:ascii="方正仿宋_GBK" w:hAnsi="方正仿宋_GBK" w:eastAsia="方正仿宋_GBK" w:cs="方正仿宋_GBK"/>
          <w:sz w:val="32"/>
          <w:szCs w:val="32"/>
        </w:rPr>
        <w:t>数据进行审核，并对异常趋势进行识别、评估。</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5" w:name="_Toc8017"/>
      <w:bookmarkStart w:id="156" w:name="_Toc22854"/>
      <w:bookmarkStart w:id="157" w:name="_Toc6201"/>
      <w:bookmarkStart w:id="158" w:name="_Toc243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委托检验</w:t>
      </w:r>
      <w:bookmarkEnd w:id="155"/>
      <w:bookmarkEnd w:id="156"/>
      <w:bookmarkEnd w:id="157"/>
      <w:bookmarkEnd w:id="1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持有人委托第三方检验的，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建立委托检验管理程序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与第三方签订委托检验协议。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3"/>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对第三方检验机构的资质和能力进行审核，必要时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进行现场审计。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w:t>
      </w:r>
      <w:r>
        <w:rPr>
          <w:rFonts w:hint="eastAsia" w:ascii="方正仿宋_GBK" w:hAnsi="方正仿宋_GBK" w:eastAsia="方正仿宋_GBK" w:cs="方正仿宋_GBK"/>
          <w:sz w:val="32"/>
          <w:szCs w:val="32"/>
          <w:lang w:val="en-US" w:eastAsia="zh-CN"/>
        </w:rPr>
        <w:t>药品监管部门</w:t>
      </w:r>
      <w:r>
        <w:rPr>
          <w:rFonts w:hint="eastAsia" w:ascii="方正仿宋_GBK" w:hAnsi="方正仿宋_GBK" w:eastAsia="方正仿宋_GBK" w:cs="方正仿宋_GBK"/>
          <w:sz w:val="32"/>
          <w:szCs w:val="32"/>
        </w:rPr>
        <w:t>报告委托检验情况。</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59" w:name="_Toc25783"/>
      <w:bookmarkStart w:id="160" w:name="_Toc2906"/>
      <w:bookmarkStart w:id="161" w:name="_Toc18951"/>
      <w:bookmarkStart w:id="162" w:name="_Toc7522"/>
      <w:r>
        <w:rPr>
          <w:rFonts w:hint="eastAsia" w:ascii="方正仿宋_GBK" w:hAnsi="方正仿宋_GBK" w:eastAsia="方正仿宋_GBK" w:cs="方正仿宋_GBK"/>
          <w:sz w:val="32"/>
          <w:szCs w:val="32"/>
        </w:rPr>
        <w:t>质量保证</w:t>
      </w:r>
      <w:bookmarkEnd w:id="159"/>
      <w:bookmarkEnd w:id="160"/>
      <w:bookmarkEnd w:id="161"/>
      <w:bookmarkEnd w:id="162"/>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63" w:name="_Toc14790"/>
      <w:bookmarkStart w:id="164" w:name="_Toc26613"/>
      <w:bookmarkStart w:id="165" w:name="_Toc567"/>
      <w:bookmarkStart w:id="166" w:name="_Toc270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定期</w:t>
      </w:r>
      <w:r>
        <w:rPr>
          <w:rFonts w:hint="eastAsia" w:ascii="方正仿宋_GBK" w:hAnsi="方正仿宋_GBK" w:eastAsia="方正仿宋_GBK" w:cs="方正仿宋_GBK"/>
          <w:sz w:val="32"/>
          <w:szCs w:val="32"/>
        </w:rPr>
        <w:t>审核</w:t>
      </w:r>
      <w:bookmarkEnd w:id="163"/>
      <w:bookmarkEnd w:id="164"/>
      <w:bookmarkEnd w:id="165"/>
      <w:bookmarkEnd w:id="1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建立自检程序，</w:t>
      </w:r>
      <w:r>
        <w:rPr>
          <w:rFonts w:hint="eastAsia" w:ascii="方正仿宋_GBK" w:hAnsi="方正仿宋_GBK" w:eastAsia="方正仿宋_GBK" w:cs="方正仿宋_GBK"/>
          <w:sz w:val="32"/>
          <w:szCs w:val="32"/>
          <w:lang w:val="en-US" w:eastAsia="zh-CN"/>
        </w:rPr>
        <w:t>开展自检时，应</w:t>
      </w:r>
      <w:r>
        <w:rPr>
          <w:rFonts w:hint="eastAsia" w:ascii="方正仿宋_GBK" w:hAnsi="方正仿宋_GBK" w:eastAsia="方正仿宋_GBK" w:cs="方正仿宋_GBK"/>
          <w:sz w:val="32"/>
          <w:szCs w:val="32"/>
        </w:rPr>
        <w:t>有方案、记录、报告，自检范围</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包括研制、生产、储配、经营、药物警戒等环节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报告中至少包括自检基本情况、评价结论以及纠正和预防措施，</w:t>
      </w:r>
      <w:r>
        <w:rPr>
          <w:rFonts w:hint="eastAsia" w:ascii="方正仿宋_GBK" w:hAnsi="方正仿宋_GBK" w:eastAsia="方正仿宋_GBK" w:cs="方正仿宋_GBK"/>
          <w:sz w:val="32"/>
          <w:szCs w:val="32"/>
          <w:lang w:val="en-US" w:eastAsia="zh-CN"/>
        </w:rPr>
        <w:t>后续能够</w:t>
      </w:r>
      <w:r>
        <w:rPr>
          <w:rFonts w:hint="eastAsia" w:ascii="方正仿宋_GBK" w:hAnsi="方正仿宋_GBK" w:eastAsia="方正仿宋_GBK" w:cs="方正仿宋_GBK"/>
          <w:sz w:val="32"/>
          <w:szCs w:val="32"/>
        </w:rPr>
        <w:t>根据自检结果开展持续改进。</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制定对受托生产企业的年度审核计划并实施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年度审核计划</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覆盖现行质量协议约定的全部内容</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能提供对受托生产企业审核的全部资料和相应记录。</w:t>
      </w:r>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167" w:name="_Toc24671"/>
      <w:bookmarkStart w:id="168" w:name="_Toc19359"/>
      <w:bookmarkStart w:id="169" w:name="_Toc21665"/>
      <w:bookmarkStart w:id="170" w:name="_Toc30091"/>
      <w:r>
        <w:rPr>
          <w:rFonts w:hint="eastAsia" w:ascii="方正仿宋_GBK" w:hAnsi="方正仿宋_GBK" w:eastAsia="方正仿宋_GBK" w:cs="方正仿宋_GBK"/>
          <w:sz w:val="32"/>
        </w:rPr>
        <w:t>变更</w:t>
      </w:r>
      <w:bookmarkEnd w:id="167"/>
      <w:bookmarkEnd w:id="168"/>
      <w:bookmarkEnd w:id="169"/>
      <w:bookmarkEnd w:id="17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按照药品监管有关规定和GMP等要求建立变更控制</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，根据变更的性质、范围、对产品质量潜在影响程度将变更分类</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应确保</w:t>
      </w:r>
      <w:r>
        <w:rPr>
          <w:rFonts w:hint="eastAsia" w:ascii="方正仿宋_GBK" w:hAnsi="方正仿宋_GBK" w:eastAsia="方正仿宋_GBK" w:cs="方正仿宋_GBK"/>
          <w:sz w:val="32"/>
          <w:szCs w:val="32"/>
        </w:rPr>
        <w:t>与产品质量有关的变更</w:t>
      </w:r>
      <w:r>
        <w:rPr>
          <w:rFonts w:hint="eastAsia" w:ascii="方正仿宋_GBK" w:hAnsi="方正仿宋_GBK" w:eastAsia="方正仿宋_GBK" w:cs="方正仿宋_GBK"/>
          <w:sz w:val="32"/>
          <w:szCs w:val="32"/>
          <w:lang w:val="en-US" w:eastAsia="zh-CN"/>
        </w:rPr>
        <w:t>均</w:t>
      </w:r>
      <w:r>
        <w:rPr>
          <w:rFonts w:hint="eastAsia" w:ascii="方正仿宋_GBK" w:hAnsi="方正仿宋_GBK" w:eastAsia="方正仿宋_GBK" w:cs="方正仿宋_GBK"/>
          <w:sz w:val="32"/>
          <w:szCs w:val="32"/>
        </w:rPr>
        <w:t>经评估、批准。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w:t>
      </w:r>
      <w:bookmarkStart w:id="171" w:name="OLE_LINK5"/>
      <w:r>
        <w:rPr>
          <w:rFonts w:hint="eastAsia" w:ascii="方正仿宋_GBK" w:hAnsi="方正仿宋_GBK" w:eastAsia="方正仿宋_GBK" w:cs="方正仿宋_GBK"/>
          <w:sz w:val="32"/>
          <w:szCs w:val="32"/>
        </w:rPr>
        <w:t>变更控制双方</w:t>
      </w:r>
      <w:bookmarkEnd w:id="171"/>
      <w:r>
        <w:rPr>
          <w:rFonts w:hint="eastAsia" w:ascii="方正仿宋_GBK" w:hAnsi="方正仿宋_GBK" w:eastAsia="方正仿宋_GBK" w:cs="方正仿宋_GBK"/>
          <w:sz w:val="32"/>
          <w:szCs w:val="32"/>
        </w:rPr>
        <w:t>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建立与受托生产企业关于变更控制的沟通机制。持有人与受托方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将可能影响药品质量的变更及时书面告知对方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对于影响注册的变更，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按照国家相关法律法规执行审批、备案或报告。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持有人发起</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变更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联合受托生产企业开展相关研究、评估，判断变更所需的验证、额外的检验以及稳定性考察有科学依据，变更控制如何评估及风险控制措施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符合相关规定。变更实施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制定实施计划，并明确实施职责，最终由持有人质量管理部门审核批准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变更实施</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有完整记录。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受托方发起变更</w:t>
      </w:r>
      <w:r>
        <w:rPr>
          <w:rFonts w:hint="eastAsia" w:ascii="方正仿宋_GBK" w:hAnsi="方正仿宋_GBK" w:eastAsia="方正仿宋_GBK" w:cs="方正仿宋_GBK"/>
          <w:sz w:val="32"/>
          <w:szCs w:val="32"/>
          <w:lang w:val="en-US" w:eastAsia="zh-CN"/>
        </w:rPr>
        <w:t>涉及到受托生产品种的应</w:t>
      </w:r>
      <w:r>
        <w:rPr>
          <w:rFonts w:hint="eastAsia" w:ascii="方正仿宋_GBK" w:hAnsi="方正仿宋_GBK" w:eastAsia="方正仿宋_GBK" w:cs="方正仿宋_GBK"/>
          <w:sz w:val="32"/>
          <w:szCs w:val="32"/>
        </w:rPr>
        <w:t>及时通知持有人，</w:t>
      </w:r>
      <w:r>
        <w:rPr>
          <w:rFonts w:hint="eastAsia" w:ascii="方正仿宋_GBK" w:hAnsi="方正仿宋_GBK" w:eastAsia="方正仿宋_GBK" w:cs="方正仿宋_GBK"/>
          <w:sz w:val="32"/>
          <w:szCs w:val="32"/>
          <w:lang w:val="en-US" w:eastAsia="zh-CN"/>
        </w:rPr>
        <w:t>双方对采取措施意见达成一致</w:t>
      </w:r>
      <w:r>
        <w:rPr>
          <w:rFonts w:hint="eastAsia" w:ascii="方正仿宋_GBK" w:hAnsi="方正仿宋_GBK" w:eastAsia="方正仿宋_GBK" w:cs="方正仿宋_GBK"/>
          <w:sz w:val="32"/>
          <w:szCs w:val="32"/>
        </w:rPr>
        <w:t>后实施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所有变更的文件和记录均</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按要求保存。</w:t>
      </w:r>
      <w:r>
        <w:rPr>
          <w:rFonts w:hint="eastAsia" w:ascii="方正仿宋_GBK" w:hAnsi="方正仿宋_GBK" w:eastAsia="方正仿宋_GBK" w:cs="方正仿宋_GBK"/>
          <w:sz w:val="32"/>
          <w:szCs w:val="32"/>
          <w:lang w:val="en-US" w:eastAsia="zh-CN"/>
        </w:rPr>
        <w:t>持有人应评估变更对委托生产品种的影响，</w:t>
      </w:r>
      <w:r>
        <w:rPr>
          <w:rFonts w:hint="eastAsia" w:ascii="方正仿宋_GBK" w:hAnsi="方正仿宋_GBK" w:eastAsia="方正仿宋_GBK" w:cs="方正仿宋_GBK"/>
          <w:sz w:val="32"/>
          <w:szCs w:val="32"/>
        </w:rPr>
        <w:t>采取现场检查、增加留样等措施</w:t>
      </w:r>
      <w:r>
        <w:rPr>
          <w:rFonts w:hint="eastAsia" w:ascii="方正仿宋_GBK" w:hAnsi="方正仿宋_GBK" w:eastAsia="方正仿宋_GBK" w:cs="方正仿宋_GBK"/>
          <w:sz w:val="32"/>
          <w:szCs w:val="32"/>
          <w:lang w:val="en-US" w:eastAsia="zh-CN"/>
        </w:rPr>
        <w:t>对风险进行研判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对存在风险的，要求并审核批准受托生产企业采取纠正预防措施防控风险。</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2" w:name="_Toc5217"/>
      <w:bookmarkStart w:id="173" w:name="_Toc19611"/>
      <w:bookmarkStart w:id="174" w:name="_Toc30053"/>
      <w:bookmarkStart w:id="175" w:name="_Toc31187"/>
      <w:r>
        <w:rPr>
          <w:rFonts w:hint="eastAsia" w:ascii="方正仿宋_GBK" w:hAnsi="方正仿宋_GBK" w:eastAsia="方正仿宋_GBK" w:cs="方正仿宋_GBK"/>
          <w:sz w:val="32"/>
        </w:rPr>
        <w:t>偏差</w:t>
      </w:r>
      <w:bookmarkEnd w:id="172"/>
      <w:bookmarkEnd w:id="173"/>
      <w:bookmarkEnd w:id="174"/>
      <w:bookmarkEnd w:id="175"/>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建立偏差处理</w:t>
      </w:r>
      <w:r>
        <w:rPr>
          <w:rFonts w:hint="eastAsia" w:ascii="方正仿宋_GBK" w:hAnsi="方正仿宋_GBK" w:eastAsia="方正仿宋_GBK" w:cs="方正仿宋_GBK"/>
          <w:sz w:val="32"/>
          <w:szCs w:val="32"/>
          <w:lang w:val="en-US" w:eastAsia="zh-CN"/>
        </w:rPr>
        <w:t>管理规程文件</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涉及影响委托品种的</w:t>
      </w:r>
      <w:r>
        <w:rPr>
          <w:rFonts w:hint="eastAsia" w:ascii="方正仿宋_GBK" w:hAnsi="方正仿宋_GBK" w:eastAsia="方正仿宋_GBK" w:cs="方正仿宋_GBK"/>
          <w:sz w:val="32"/>
          <w:szCs w:val="32"/>
        </w:rPr>
        <w:t>偏差处理以及所采取的纠正</w:t>
      </w:r>
      <w:r>
        <w:rPr>
          <w:rFonts w:hint="eastAsia" w:ascii="方正仿宋_GBK" w:hAnsi="方正仿宋_GBK" w:eastAsia="方正仿宋_GBK" w:cs="方正仿宋_GBK"/>
          <w:sz w:val="32"/>
          <w:szCs w:val="32"/>
          <w:lang w:val="en-US" w:eastAsia="zh-CN"/>
        </w:rPr>
        <w:t>预防</w:t>
      </w:r>
      <w:r>
        <w:rPr>
          <w:rFonts w:hint="eastAsia" w:ascii="方正仿宋_GBK" w:hAnsi="方正仿宋_GBK" w:eastAsia="方正仿宋_GBK" w:cs="方正仿宋_GBK"/>
          <w:sz w:val="32"/>
          <w:szCs w:val="32"/>
        </w:rPr>
        <w:t>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按照质量协议规定明确偏差处理流程中各方职责并实施。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将涉及委托生产产品的偏差及时书面告知持有人，持有人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确保在每批次药品放行前对与产品质量有关的偏差进行审核，确保所有偏差经过调查并得到及时处理。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6" w:name="_Toc32328"/>
      <w:bookmarkStart w:id="177" w:name="_Toc31837"/>
      <w:bookmarkStart w:id="178" w:name="_Toc16589"/>
      <w:bookmarkStart w:id="179" w:name="_Toc11724"/>
      <w:r>
        <w:rPr>
          <w:rFonts w:hint="eastAsia" w:ascii="方正仿宋_GBK" w:hAnsi="方正仿宋_GBK" w:eastAsia="方正仿宋_GBK" w:cs="方正仿宋_GBK"/>
          <w:sz w:val="32"/>
        </w:rPr>
        <w:t>产品质量回顾分析</w:t>
      </w:r>
      <w:bookmarkEnd w:id="176"/>
      <w:bookmarkEnd w:id="177"/>
      <w:bookmarkEnd w:id="178"/>
      <w:bookmarkEnd w:id="17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建立产品质量回顾规程，每年结合产品关键工艺参数、关键质量指标、关键过程控制等内容，对所有生产药品按品种进行产品质量回顾分析，并对回顾分析结果进行评估。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规定产品质量回顾分析中各方责任，确保产品质量回顾分析按时进行并符合要求，持有人</w:t>
      </w:r>
      <w:r>
        <w:rPr>
          <w:rFonts w:hint="eastAsia" w:ascii="方正仿宋_GBK" w:hAnsi="方正仿宋_GBK" w:eastAsia="方正仿宋_GBK" w:cs="方正仿宋_GBK"/>
          <w:sz w:val="32"/>
          <w:szCs w:val="32"/>
          <w:lang w:val="en-US" w:eastAsia="zh-CN"/>
        </w:rPr>
        <w:t>应确保回顾报告的真实性、</w:t>
      </w:r>
      <w:r>
        <w:rPr>
          <w:rFonts w:hint="eastAsia" w:ascii="方正仿宋_GBK" w:hAnsi="方正仿宋_GBK" w:eastAsia="方正仿宋_GBK" w:cs="方正仿宋_GBK"/>
          <w:sz w:val="32"/>
          <w:szCs w:val="32"/>
        </w:rPr>
        <w:t>完整</w:t>
      </w:r>
      <w:r>
        <w:rPr>
          <w:rFonts w:hint="eastAsia" w:ascii="方正仿宋_GBK" w:hAnsi="方正仿宋_GBK" w:eastAsia="方正仿宋_GBK" w:cs="方正仿宋_GBK"/>
          <w:sz w:val="32"/>
          <w:szCs w:val="32"/>
          <w:lang w:val="en-US" w:eastAsia="zh-CN"/>
        </w:rPr>
        <w:t>性、可追溯性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持有人产品质量回顾中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所有原辅料的所有变更、所有不符合质量标准的批次及其调查、所有偏差及相关的调查及所采取纠正预防措施的有效性、稳定性考察结果及任何不良趋势、生产工艺或检验方法的所有变更、所有因质量原因造成的退货、投诉、召回及调查、委托生产或检验的技术合同履行情况等情形进行回顾分析，以及提出需要采取纠正预防措施或进行再确认或再验证的评估意见及理由。</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受托方进行产品质量回顾分析的，持有人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对产品质量回顾分析报告进行审核批准。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0" w:name="_Toc2058"/>
      <w:bookmarkStart w:id="181" w:name="_Toc21949"/>
      <w:bookmarkStart w:id="182" w:name="_Toc4208"/>
      <w:bookmarkStart w:id="183" w:name="_Toc3006"/>
      <w:r>
        <w:rPr>
          <w:rFonts w:hint="eastAsia" w:ascii="方正仿宋_GBK" w:hAnsi="方正仿宋_GBK" w:eastAsia="方正仿宋_GBK" w:cs="方正仿宋_GBK"/>
          <w:sz w:val="32"/>
        </w:rPr>
        <w:t>纠正预防措施</w:t>
      </w:r>
      <w:bookmarkEnd w:id="180"/>
      <w:bookmarkEnd w:id="181"/>
      <w:bookmarkEnd w:id="182"/>
      <w:bookmarkEnd w:id="18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建立纠正措施和预防措施</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，对投诉、召回、偏差、自检或外部检查结果、工艺性能和质量监测趋势等进行调查并采取纠正预防措施，并对措施有效性进行评估。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有效实施和维护纠正预防措施管理</w:t>
      </w:r>
      <w:r>
        <w:rPr>
          <w:rFonts w:hint="eastAsia" w:ascii="方正仿宋_GBK" w:hAnsi="方正仿宋_GBK" w:eastAsia="方正仿宋_GBK" w:cs="方正仿宋_GBK"/>
          <w:sz w:val="32"/>
          <w:szCs w:val="32"/>
          <w:lang w:val="en-US" w:eastAsia="zh-CN"/>
        </w:rPr>
        <w:t>程序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过程应包括</w:t>
      </w:r>
      <w:r>
        <w:rPr>
          <w:rFonts w:hint="eastAsia" w:ascii="方正仿宋_GBK" w:hAnsi="方正仿宋_GBK" w:eastAsia="方正仿宋_GBK" w:cs="方正仿宋_GBK"/>
          <w:sz w:val="32"/>
          <w:szCs w:val="32"/>
        </w:rPr>
        <w:t>对问题的根本原因调查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及时制定CAPA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责任部门</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责任人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规定完成</w:t>
      </w:r>
      <w:r>
        <w:rPr>
          <w:rFonts w:hint="eastAsia" w:ascii="方正仿宋_GBK" w:hAnsi="方正仿宋_GBK" w:eastAsia="方正仿宋_GBK" w:cs="方正仿宋_GBK"/>
          <w:sz w:val="32"/>
          <w:szCs w:val="32"/>
        </w:rPr>
        <w:t>时限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CAPA落实追踪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有效性评估</w:t>
      </w:r>
      <w:r>
        <w:rPr>
          <w:rFonts w:hint="eastAsia" w:ascii="方正仿宋_GBK" w:hAnsi="方正仿宋_GBK" w:eastAsia="方正仿宋_GBK" w:cs="方正仿宋_GBK"/>
          <w:sz w:val="32"/>
          <w:szCs w:val="32"/>
          <w:lang w:val="en-US" w:eastAsia="zh-CN"/>
        </w:rPr>
        <w:t>以及</w:t>
      </w:r>
      <w:r>
        <w:rPr>
          <w:rFonts w:hint="eastAsia" w:ascii="方正仿宋_GBK" w:hAnsi="方正仿宋_GBK" w:eastAsia="方正仿宋_GBK" w:cs="方正仿宋_GBK"/>
          <w:sz w:val="32"/>
          <w:szCs w:val="32"/>
        </w:rPr>
        <w:t>定期报告等；纠正预防措施</w:t>
      </w:r>
      <w:r>
        <w:rPr>
          <w:rFonts w:hint="eastAsia" w:ascii="方正仿宋_GBK" w:hAnsi="方正仿宋_GBK" w:eastAsia="方正仿宋_GBK" w:cs="方正仿宋_GBK"/>
          <w:sz w:val="32"/>
          <w:szCs w:val="32"/>
          <w:lang w:val="en-US" w:eastAsia="zh-CN"/>
        </w:rPr>
        <w:t>均应有</w:t>
      </w:r>
      <w:r>
        <w:rPr>
          <w:rFonts w:hint="eastAsia" w:ascii="方正仿宋_GBK" w:hAnsi="方正仿宋_GBK" w:eastAsia="方正仿宋_GBK" w:cs="方正仿宋_GBK"/>
          <w:sz w:val="32"/>
          <w:szCs w:val="32"/>
        </w:rPr>
        <w:t>书面记录，并</w:t>
      </w:r>
      <w:r>
        <w:rPr>
          <w:rFonts w:hint="eastAsia" w:ascii="方正仿宋_GBK" w:hAnsi="方正仿宋_GBK" w:eastAsia="方正仿宋_GBK" w:cs="方正仿宋_GBK"/>
          <w:sz w:val="32"/>
          <w:szCs w:val="32"/>
          <w:lang w:val="en-US" w:eastAsia="zh-CN"/>
        </w:rPr>
        <w:t>具有</w:t>
      </w:r>
      <w:r>
        <w:rPr>
          <w:rFonts w:hint="eastAsia" w:ascii="方正仿宋_GBK" w:hAnsi="方正仿宋_GBK" w:eastAsia="方正仿宋_GBK" w:cs="方正仿宋_GBK"/>
          <w:sz w:val="32"/>
          <w:szCs w:val="32"/>
        </w:rPr>
        <w:t>系统追踪性。</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4" w:name="_Toc21444"/>
      <w:bookmarkStart w:id="185" w:name="_Toc6953"/>
      <w:bookmarkStart w:id="186" w:name="_Toc10960"/>
      <w:bookmarkStart w:id="187" w:name="_Toc9938"/>
      <w:r>
        <w:rPr>
          <w:rFonts w:hint="eastAsia" w:ascii="方正仿宋_GBK" w:hAnsi="方正仿宋_GBK" w:eastAsia="方正仿宋_GBK" w:cs="方正仿宋_GBK"/>
          <w:sz w:val="32"/>
        </w:rPr>
        <w:t>投诉</w:t>
      </w:r>
      <w:bookmarkEnd w:id="184"/>
      <w:bookmarkEnd w:id="185"/>
      <w:bookmarkEnd w:id="186"/>
      <w:bookmarkEnd w:id="18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w:t>
      </w:r>
      <w:r>
        <w:rPr>
          <w:rFonts w:hint="eastAsia" w:ascii="方正仿宋_GBK" w:hAnsi="方正仿宋_GBK" w:eastAsia="方正仿宋_GBK" w:cs="方正仿宋_GBK"/>
          <w:sz w:val="32"/>
          <w:szCs w:val="32"/>
          <w:lang w:eastAsia="zh-CN"/>
        </w:rPr>
        <w:t>处理</w:t>
      </w:r>
      <w:r>
        <w:rPr>
          <w:rFonts w:hint="eastAsia" w:ascii="方正仿宋_GBK" w:hAnsi="方正仿宋_GBK" w:eastAsia="方正仿宋_GBK" w:cs="方正仿宋_GBK"/>
          <w:sz w:val="32"/>
          <w:szCs w:val="32"/>
        </w:rPr>
        <w:t>投诉</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职责，并建立质量投诉管理程序。如受托方收到投诉，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及时记录，</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告知持有人。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对投诉进行调查，并对投诉的严重性和影响性进行评估，对识别出的潜在风险，持有人</w:t>
      </w:r>
      <w:r>
        <w:rPr>
          <w:rFonts w:hint="eastAsia" w:ascii="方正仿宋_GBK" w:hAnsi="方正仿宋_GBK" w:eastAsia="方正仿宋_GBK" w:cs="方正仿宋_GBK"/>
          <w:sz w:val="32"/>
          <w:szCs w:val="32"/>
          <w:lang w:val="en-US" w:eastAsia="zh-CN"/>
        </w:rPr>
        <w:t>应及时</w:t>
      </w:r>
      <w:r>
        <w:rPr>
          <w:rFonts w:hint="eastAsia" w:ascii="方正仿宋_GBK" w:hAnsi="方正仿宋_GBK" w:eastAsia="方正仿宋_GBK" w:cs="方正仿宋_GBK"/>
          <w:sz w:val="32"/>
          <w:szCs w:val="32"/>
        </w:rPr>
        <w:t>采取必要的纠正预防措施。</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88" w:name="_Toc20990"/>
      <w:bookmarkStart w:id="189" w:name="_Toc2162"/>
      <w:bookmarkStart w:id="190" w:name="_Toc25297"/>
      <w:bookmarkStart w:id="191" w:name="_Toc8328"/>
      <w:r>
        <w:rPr>
          <w:rFonts w:hint="eastAsia" w:ascii="方正仿宋_GBK" w:hAnsi="方正仿宋_GBK" w:eastAsia="方正仿宋_GBK" w:cs="方正仿宋_GBK"/>
          <w:sz w:val="32"/>
          <w:szCs w:val="32"/>
        </w:rPr>
        <w:t>文件管理</w:t>
      </w:r>
      <w:bookmarkEnd w:id="188"/>
      <w:bookmarkEnd w:id="189"/>
      <w:bookmarkEnd w:id="190"/>
      <w:bookmarkEnd w:id="191"/>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制定并实施委托生产药品全生命周期管理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质量管理文件与记录管理程序，至少包括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转移、委托协议、机构与人员、文件管理、物料管理、生产过程管理、质量管理、质量控制管理、产品放行、产品运输管理、药物警戒管理、短缺药品停产、药品追溯管理、药品召回管理、上市后研究等，确保相关文件、记录得到有效识别和管理。</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在质量协议中规定委托生产GMP文件的保存地点、保存方式及保存时间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符合相关规范要求，如每批药品的批记录（包括批生产记录、批包装记录、批检验记录和药品放行审核记录等与本批产品有关的记录）至少保存至药品有效期后一年；质量标准、工艺规程、操作规程、稳定性考察、确认、验证、变更等其他重要文件长期保存；发运记录至少保存至药品有效期后一年；购销活动中的有关资质材料和购销凭证、记录保存不得少于五年，且不少于药品有效期后一年。</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依据《药品记录与数据管理要求（试行）》制定委托产品涉及记录和数据的管理文件，并按要求实施。</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持有人使用电子数据时，应</w:t>
      </w:r>
      <w:r>
        <w:rPr>
          <w:rFonts w:hint="eastAsia" w:ascii="方正仿宋_GBK" w:hAnsi="方正仿宋_GBK" w:eastAsia="方正仿宋_GBK" w:cs="方正仿宋_GBK"/>
          <w:sz w:val="32"/>
          <w:szCs w:val="32"/>
        </w:rPr>
        <w:t>制定电子数据管理文件。数据转换格式或迁移时，数据的数值及含义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计算机化系统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记录输入或确认关键数据人员身份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修改已输入数据时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经授权人员批准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电子数据备份记录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与计算机化系统中记录一致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备份周期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与管理要求一致等。</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92" w:name="_Toc4892"/>
      <w:bookmarkStart w:id="193" w:name="_Toc6719"/>
      <w:bookmarkStart w:id="194" w:name="_Toc19308"/>
      <w:bookmarkStart w:id="195" w:name="_Toc10363"/>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质量协议</w:t>
      </w:r>
      <w:bookmarkEnd w:id="192"/>
      <w:bookmarkEnd w:id="193"/>
      <w:bookmarkEnd w:id="194"/>
      <w:bookmarkEnd w:id="195"/>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96" w:name="_Toc14434"/>
      <w:bookmarkStart w:id="197" w:name="_Toc28254"/>
      <w:bookmarkStart w:id="198" w:name="_Toc22408"/>
      <w:bookmarkStart w:id="199" w:name="_Toc15436"/>
      <w:r>
        <w:rPr>
          <w:rFonts w:hint="eastAsia" w:ascii="方正仿宋_GBK" w:hAnsi="方正仿宋_GBK" w:eastAsia="方正仿宋_GBK" w:cs="方正仿宋_GBK"/>
          <w:sz w:val="32"/>
        </w:rPr>
        <w:t>协议管理</w:t>
      </w:r>
      <w:bookmarkEnd w:id="196"/>
      <w:bookmarkEnd w:id="197"/>
      <w:bookmarkEnd w:id="198"/>
      <w:bookmarkEnd w:id="19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按照《药品委托生产质量协议指南》等有关要求</w:t>
      </w:r>
      <w:r>
        <w:rPr>
          <w:rFonts w:hint="eastAsia" w:ascii="方正仿宋_GBK" w:hAnsi="方正仿宋_GBK" w:eastAsia="方正仿宋_GBK" w:cs="方正仿宋_GBK"/>
          <w:sz w:val="32"/>
          <w:szCs w:val="32"/>
          <w:lang w:val="en-US" w:eastAsia="zh-CN"/>
        </w:rPr>
        <w:t>与受托生产企业</w:t>
      </w:r>
      <w:r>
        <w:rPr>
          <w:rFonts w:hint="eastAsia" w:ascii="方正仿宋_GBK" w:hAnsi="方正仿宋_GBK" w:eastAsia="方正仿宋_GBK" w:cs="方正仿宋_GBK"/>
          <w:sz w:val="32"/>
          <w:szCs w:val="32"/>
        </w:rPr>
        <w:t>签订质量协议以及委托生产协议。内容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符合委托生产药品的特点和企业实际情况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能够</w:t>
      </w:r>
      <w:r>
        <w:rPr>
          <w:rFonts w:hint="eastAsia" w:ascii="方正仿宋_GBK" w:hAnsi="方正仿宋_GBK" w:eastAsia="方正仿宋_GBK" w:cs="方正仿宋_GBK"/>
          <w:sz w:val="32"/>
          <w:szCs w:val="32"/>
        </w:rPr>
        <w:t>细化质量管理措施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能够确保双方质量管理体系有效衔接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应当明确持有人有权查阅与受托生产活动相关的管理制度和操作规程等文件，</w:t>
      </w:r>
      <w:r>
        <w:rPr>
          <w:rFonts w:hint="eastAsia" w:ascii="方正仿宋_GBK" w:hAnsi="方正仿宋_GBK" w:eastAsia="方正仿宋_GBK" w:cs="方正仿宋_GBK"/>
          <w:sz w:val="32"/>
          <w:szCs w:val="32"/>
        </w:rPr>
        <w:t>确保药品生产全过程持续符合法定要求。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持有人存在委托储存、运输、销售、检验等情形，</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按照规定签订质量协议，明确相关职责。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应由</w:t>
      </w:r>
      <w:r>
        <w:rPr>
          <w:rFonts w:hint="eastAsia" w:ascii="方正仿宋_GBK" w:hAnsi="方正仿宋_GBK" w:eastAsia="方正仿宋_GBK" w:cs="方正仿宋_GBK"/>
          <w:sz w:val="32"/>
          <w:szCs w:val="32"/>
        </w:rPr>
        <w:t>持有人和受托方质量管理部门及相关部门共同参与起草、审核，其中技术性条款</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由具有制药技术、检验专业知识和熟悉GMP的人员拟定。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质量协议的批准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由持有人和受托方的法人代表、企业负责人或其委托的质量管理负责人签署后生效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明确双方书面沟通的联系人员和渠道</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当委托生产活动或委托生产协议发生变更、法规变化等情形，经评估后需要重新签订</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及时进行质量协议的变更，重新签署质量协议或签署补充协议。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规定质量协议的终止情形。质量协议中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终止委托生产后物料、文件、记录（生产、检验记录，电子记录/数据）、留样、稳定性研究责任，产品有效期内投诉反馈和调查责任、药物警戒反馈和调查责任，受托方对其生产期间药品质量问题的责任等。</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质量协议作为生产质量管理体系文件进行管理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记录</w:t>
      </w:r>
      <w:r>
        <w:rPr>
          <w:rFonts w:hint="eastAsia" w:ascii="方正仿宋_GBK" w:hAnsi="方正仿宋_GBK" w:eastAsia="方正仿宋_GBK" w:cs="方正仿宋_GBK"/>
          <w:sz w:val="32"/>
          <w:szCs w:val="32"/>
        </w:rPr>
        <w:t>版本和变更历史，对历次变更内容进行概述。质量协议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长期保存。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0" w:name="_Toc31270"/>
      <w:bookmarkStart w:id="201" w:name="_Toc20910"/>
      <w:bookmarkStart w:id="202" w:name="_Toc14860"/>
      <w:bookmarkStart w:id="203" w:name="_Toc7635"/>
      <w:r>
        <w:rPr>
          <w:rFonts w:hint="eastAsia" w:ascii="方正仿宋_GBK" w:hAnsi="方正仿宋_GBK" w:eastAsia="方正仿宋_GBK" w:cs="方正仿宋_GBK"/>
          <w:sz w:val="32"/>
        </w:rPr>
        <w:t>职责约定</w:t>
      </w:r>
      <w:bookmarkEnd w:id="200"/>
      <w:bookmarkEnd w:id="201"/>
      <w:bookmarkEnd w:id="202"/>
      <w:bookmarkEnd w:id="20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义务和责任，明确物料供应商确认、厂房设施设备、物料与产品、确认与验证、文件管理、生产管理、质量控制与质量保证、投诉与不良反应报告、委托生产与委托检验、产品发运与召回、自检等，还应包括药品追溯、风险管理、上市后研究、质量协议变更等方面责任和义务。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通过质量协议将法定由持有人履行的义务和责任转移受托生产企业承担。</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详细规定定期对受托生产企业原辅料、直接接触药品包装材料和容器入厂检验结果进行抽查审核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明确约定物料和产品储存条件、运输、储存责任，确保运输、仓储管理符合相应质量管理规范要求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通过质量协议中明确抽样检验责任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派驻人员工作职责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持有人监督受托方履行协议约定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义务</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双方在监管机构检查中的责任和义务。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明确持有人和受托方的有效沟通机制，确定质量技术联系人，重点沟通事项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有双方确认，沟通结果以书面形式进行记录。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沟通交流事项与时限</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与双方质量协议签订一致，需要持有人审核批准的事项，经持有人批准后执行。如涉及生产质量管理体系文件变更，应按照文件变更程序进行变更。</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沟通信息清单应包括但不限于以下内容：偏差、变更、检验结果超标/超趋势、批记录、确认与验证、留样和稳定性、上市后药物警戒信息、接受药品监督管理部门检查情况、不良信用记录、</w:t>
      </w:r>
      <w:r>
        <w:rPr>
          <w:rFonts w:hint="eastAsia" w:ascii="方正仿宋_GBK" w:hAnsi="方正仿宋_GBK" w:eastAsia="方正仿宋_GBK" w:cs="方正仿宋_GBK"/>
          <w:sz w:val="32"/>
          <w:szCs w:val="32"/>
        </w:rPr>
        <w:t>接受外部审计中出现争议等。</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4" w:name="_Toc24138"/>
      <w:bookmarkStart w:id="205" w:name="_Toc14830"/>
      <w:bookmarkStart w:id="206" w:name="_Toc11310"/>
      <w:bookmarkStart w:id="207" w:name="_Toc25602"/>
      <w:r>
        <w:rPr>
          <w:rFonts w:hint="eastAsia" w:ascii="方正仿宋_GBK" w:hAnsi="方正仿宋_GBK" w:eastAsia="方正仿宋_GBK" w:cs="方正仿宋_GBK"/>
          <w:sz w:val="32"/>
        </w:rPr>
        <w:t>协议履行</w:t>
      </w:r>
      <w:bookmarkEnd w:id="204"/>
      <w:bookmarkEnd w:id="205"/>
      <w:bookmarkEnd w:id="206"/>
      <w:bookmarkEnd w:id="20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根据质量协议明确双方职责落实管理责任，</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按照协议约定执行。</w:t>
      </w:r>
    </w:p>
    <w:p>
      <w:pPr>
        <w:pStyle w:val="2"/>
        <w:keepNext w:val="0"/>
        <w:keepLines w:val="0"/>
        <w:widowControl w:val="0"/>
        <w:numPr>
          <w:ilvl w:val="0"/>
          <w:numId w:val="3"/>
        </w:numPr>
        <w:spacing w:beforeLines="0" w:afterLines="0" w:line="560" w:lineRule="exact"/>
        <w:ind w:left="0" w:leftChars="0" w:firstLine="0" w:firstLineChars="0"/>
        <w:rPr>
          <w:rFonts w:hint="eastAsia" w:ascii="方正仿宋_GBK" w:hAnsi="方正仿宋_GBK" w:eastAsia="方正仿宋_GBK" w:cs="方正仿宋_GBK"/>
          <w:b/>
          <w:bCs/>
          <w:spacing w:val="0"/>
          <w:sz w:val="32"/>
          <w:szCs w:val="32"/>
        </w:rPr>
      </w:pPr>
      <w:bookmarkStart w:id="208" w:name="_Toc21633"/>
      <w:bookmarkStart w:id="209" w:name="_Toc19942"/>
      <w:bookmarkStart w:id="210" w:name="_Toc15915"/>
      <w:bookmarkStart w:id="211" w:name="_Toc23483"/>
      <w:r>
        <w:rPr>
          <w:rFonts w:hint="eastAsia" w:ascii="方正仿宋_GBK" w:hAnsi="方正仿宋_GBK" w:eastAsia="方正仿宋_GBK" w:cs="方正仿宋_GBK"/>
          <w:b/>
          <w:bCs/>
          <w:spacing w:val="0"/>
          <w:sz w:val="32"/>
          <w:szCs w:val="32"/>
          <w:lang w:val="en-US" w:eastAsia="zh-CN"/>
        </w:rPr>
        <w:t xml:space="preserve">  </w:t>
      </w:r>
      <w:r>
        <w:rPr>
          <w:rFonts w:hint="eastAsia" w:ascii="方正仿宋_GBK" w:hAnsi="方正仿宋_GBK" w:eastAsia="方正仿宋_GBK" w:cs="方正仿宋_GBK"/>
          <w:b/>
          <w:bCs/>
          <w:spacing w:val="0"/>
          <w:sz w:val="32"/>
          <w:szCs w:val="32"/>
        </w:rPr>
        <w:t>生物制品、多组分生化药、中药注射剂等特殊要求</w:t>
      </w:r>
      <w:bookmarkEnd w:id="208"/>
      <w:bookmarkEnd w:id="209"/>
      <w:bookmarkEnd w:id="210"/>
      <w:bookmarkEnd w:id="211"/>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持有人质量管理体系</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覆盖生产用主要原料（生物材料、中药材、中药饮片、中药提取物、动物来源原材料等）生产和质量管理过程，对主要原料供应商，应每年进行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委托生产中药注射剂、多组分生化药的，持有人质量管理负责人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具备同类型制剂产品三年以上生产和质量管理的实践经验。</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选派人员入驻受托生产企业对生产管理、质量管理全过程进行现场指导和监督。派驻人员</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具有相关领域生产和质量管理的实践经验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熟悉产品的生产工艺和质量控制要求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派驻人员的工作职责、检查内容及记录、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在质量协议中予以明确。</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明确持有人定期对主要原料、中间产品（原液）、成品开展抽样检验的</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持有人委托生产中药注射剂、多组分生化药的，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规定发生严重不良反应和抽检不合格及时向药监部门报告，并按规定实施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可通过</w:t>
      </w:r>
      <w:r>
        <w:rPr>
          <w:rFonts w:hint="eastAsia" w:ascii="方正仿宋_GBK" w:hAnsi="方正仿宋_GBK" w:eastAsia="方正仿宋_GBK" w:cs="方正仿宋_GBK"/>
          <w:sz w:val="32"/>
          <w:szCs w:val="32"/>
        </w:rPr>
        <w:t>“药品上市许可持有人药品不良反应直接报告系统”</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报告查询和反馈数据模块</w:t>
      </w:r>
      <w:r>
        <w:rPr>
          <w:rFonts w:hint="eastAsia" w:ascii="方正仿宋_GBK" w:hAnsi="方正仿宋_GBK" w:eastAsia="方正仿宋_GBK" w:cs="方正仿宋_GBK"/>
          <w:sz w:val="32"/>
          <w:szCs w:val="32"/>
          <w:lang w:val="en-US" w:eastAsia="zh-CN"/>
        </w:rPr>
        <w:t>进行自查</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每年对受托生产企业以及主要原料（包括中药提取物、动物来源原材料等）制备过程的GMP符合情况进行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，并对受托生产企业检验能力进行评估。持有人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制定对中药材检查的相关文件，必要时进行延伸检查，检查药材是否符合GAP要求。</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委托生产品种涉及多场地生产的，持有人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能确保各场地生产用主要原料（包括生物材料、中药材、中药饮片、中药提取物、动物来源原料药等）的产地、来源、供应商和质量标准等一致。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制定抽样检验相关文件。</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对受托生产企业的物料、中间产品（原液）、成品进行定期抽样检验。内容至少包括：抽样批次、检验项目、检验方法、结果处理等。抽样检验频次至少为：每生产10批次成品至少抽样检验1批次；生产成品不足10批次的年度，当年至少抽样检验1批次。</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抽样检验文件内容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规定发生重大偏差或者存在重大不良趋势的，对主要原料、中间产品（原液）、成品的相关批次逐批抽样检验并开展持续稳定性考察，并按规定实施。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规定在重大变更获批后，至少对连续3批成品逐批抽样检验，并按规定实施。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规定抽样检验机构的确认原则，并按规定实施。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规定抽样检验数据评价、结果处理、检验留样等内容，并按规定实施。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委托生产生物制品、中药注射剂、多组分生化药的，持有人每年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对抽检的上市产品批次进行检验结果对比，以确认受托生产企业检验能力是否满足管理要求。</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12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kern w:val="44"/>
          <w:sz w:val="32"/>
          <w:szCs w:val="32"/>
          <w:lang w:val="en-US" w:eastAsia="zh-CN"/>
        </w:rPr>
        <w:t>核减、注销</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12.1.1  持有人应定期评估自身生产经营条件是否符合《药品管理法》《药品生产监督管理办法》等法律法规要求，关注在研品种注册申报情况，如生产经营条件已不符合法律法规要求的、注册申报上市许可的申请未能获得批准的、商务合作等因素终止委托活动的，持有人应主动向省级药品监督管理部门申请注销《药品生产许可证》或核减相应委托生产范围。</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bookmarkStart w:id="212" w:name="_Toc11111"/>
      <w:bookmarkStart w:id="213" w:name="_Toc7850"/>
      <w:bookmarkStart w:id="214" w:name="_Toc28345"/>
      <w:bookmarkStart w:id="215" w:name="_Toc15110"/>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3"/>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术语</w:t>
      </w:r>
      <w:bookmarkEnd w:id="212"/>
      <w:bookmarkEnd w:id="213"/>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OOS</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超标检验结果（OOS-Out of Specification）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检验结果超出批准的质量标准</w:t>
      </w:r>
      <w:r>
        <w:rPr>
          <w:rFonts w:hint="eastAsia" w:ascii="方正仿宋_GBK" w:hAnsi="方正仿宋_GBK" w:eastAsia="方正仿宋_GBK" w:cs="方正仿宋_GBK"/>
          <w:sz w:val="32"/>
          <w:szCs w:val="32"/>
          <w:lang w:val="en-US"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超常检验结果（OOT-Out of Trend）</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检验结果虽在质量标准之内，但超过了规定的统计学OOT范围或偏离了正常的数据范围，或与长时期观察到的趋势或者预期结果不一致</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CAPA</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纠正措施（CA）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为消除已发现或其他不期望情况的原因所采取的措施，以防止问题的再次发生</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预防措施（PA）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为消除可能出现不期望情况的原因所采取的措施</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GMP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auto"/>
          <w:kern w:val="2"/>
          <w:sz w:val="32"/>
          <w:szCs w:val="32"/>
        </w:rPr>
        <w:t>药品生产质量管理规范</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GVP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《药物警戒质量管理规范》缩写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GAP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中药材质量管理规范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来料合格率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指完成检验的原辅包中检验合格的物料。一般按（原辅包检验合格报告数/原辅包检验报告总数）*100%。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指生产过程及成品无返工或重处理的商业批（包括验证批）。一般按产品的放行单为依据，API以批准的入库COA为依据，（合格批数/总生产批数）*100%。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稳定性考察及时率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指按期完成的稳定性考察计划。一般以（按期完成稳定性计划数量/应完成稳定性计划数量数）*100%。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成品和长期稳定性无效OOS率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指确定为无效的成品和长期稳定性OOS结果。一般按（成品和长期稳定性无效OOS数/总OOS数）*100%。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产品质量投诉率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指经过调查，确定为产品质量问题的投诉。一般若同一批次有多个客户投诉同一质量项目，则应按一批计算，（产品质量投诉批数/总放行批数）*100%。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CAPA及时完成率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指按行动项期限及时闭环的CAPA。一般按及时完成的CAPA数量/应完成CAPA总数*100%。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药品不良反应自主上报率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指对不良反应报告时限要求及时提交个例不良反应报告。一般按（及时上报的个例数量/总个例数量）×100%。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指标周期</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指质量指标统计计算的周期，收集的频率可以不同，但最长的收集周期一般建议不超过一年</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jc w:val="center"/>
        <w:textAlignment w:val="auto"/>
        <w:rPr>
          <w:rFonts w:hint="eastAsia" w:ascii="方正仿宋_GBK" w:hAnsi="方正仿宋_GBK" w:eastAsia="方正仿宋_GBK" w:cs="方正仿宋_GBK"/>
          <w:b w:val="0"/>
          <w:bCs w:val="0"/>
          <w:sz w:val="32"/>
          <w:szCs w:val="32"/>
          <w:lang w:val="en-US" w:eastAsia="zh-CN"/>
        </w:rPr>
      </w:pPr>
      <w:bookmarkStart w:id="216" w:name="_Toc5851"/>
      <w:bookmarkStart w:id="217" w:name="_Toc30454"/>
      <w:r>
        <w:rPr>
          <w:rFonts w:hint="eastAsia" w:ascii="方正仿宋_GBK" w:hAnsi="方正仿宋_GBK" w:eastAsia="方正仿宋_GBK" w:cs="方正仿宋_GBK"/>
          <w:b w:val="0"/>
          <w:bCs w:val="0"/>
          <w:sz w:val="32"/>
          <w:szCs w:val="32"/>
          <w:lang w:val="en-US" w:eastAsia="zh-CN"/>
        </w:rPr>
        <w:t>参考法规、指南和文献</w:t>
      </w:r>
      <w:bookmarkEnd w:id="216"/>
      <w:bookmarkEnd w:id="217"/>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 国家药品监督管理局.药品生产质量管理规范（2010年修订）</w:t>
      </w:r>
      <w:bookmarkEnd w:id="214"/>
      <w:bookmarkEnd w:id="215"/>
    </w:p>
    <w:sectPr>
      <w:headerReference r:id="rId11" w:type="first"/>
      <w:footerReference r:id="rId13" w:type="first"/>
      <w:headerReference r:id="rId10" w:type="default"/>
      <w:footerReference r:id="rId12" w:type="default"/>
      <w:pgSz w:w="11906" w:h="16838"/>
      <w:pgMar w:top="1440" w:right="1417" w:bottom="1247" w:left="1417"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fldChar w:fldCharType="begin"/>
                          </w:r>
                          <w:r>
                            <w:instrText xml:space="preserve"> PAGE  \* MERGEFORMAT </w:instrText>
                          </w:r>
                          <w:r>
                            <w:fldChar w:fldCharType="separate"/>
                          </w:r>
                          <w:r>
                            <w:t>- 2 -</w:t>
                          </w:r>
                          <w:r>
                            <w:fldChar w:fldCharType="end"/>
                          </w:r>
                        </w:p>
                      </w:txbxContent>
                    </wps:txbx>
                    <wps:bodyPr vert="horz" wrap="none" lIns="0" tIns="0" rIns="0" bIns="0" anchor="t" anchorCtr="false" upright="tru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DKioL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tvw9vTAQAAhQMAAA4AAABkcnMv&#10;ZTJvRG9jLnhtbK1TzY7TMBC+I/EOlu80adC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aUOK4xRGdfnw//fx9+vWNLJ/n/gwh&#10;tph2FzAxja/9yGiCvZxDEe+z8lGBzV/URDAFm328NFiOiQi8XK6a1arGkMDY7GCJ6v55gJjeSm9J&#10;NhgFnGBpLD+8j2lKnVNyNedvtTFlisaRgdGXV81VeXCJILhxWCPrmMhmK43b8Sxu67sjasMtxoK9&#10;h6+UDLgRjDpcWUrMO4cNz8szGzAb29ngTuBDbAwlk/kmoae4iQiwD6B3PWJPfqYdw6t9QupFUaYz&#10;cTizxFmXnpz3Mi/T337Juv97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Itvw9vTAQAA&#10;hQMAAA4AAAAAAAAAAQAgAAAANAEAAGRycy9lMm9Eb2MueG1sUEsFBgAAAAAGAAYAWQEAAHkFAAAA&#10;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RiQHJAQAAfAMAAA4AAABkcnMv&#10;ZTJvRG9jLnhtbK1TS44TMRDdI80dLO8n3QkS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dGJAckBAAB8AwAADgAAAAAA&#10;AAABACAAAAA0AQAAZHJzL2Uyb0RvYy54bWxQSwUGAAAAAAYABgBZAQAAbwUAAAAA&#10;">
              <v:fill on="f" focussize="0,0"/>
              <v:stroke on="f"/>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firstLine="0" w:firstLineChars="0"/>
                          </w:pP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Kd5qm0AQAAUwMAAA4AAABkcnMv&#10;ZTJvRG9jLnhtbK1TS44TMRDdI3EHy3vi7gi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lLSrxwOKLTt6+n7z9PP76Qti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p3mqbQBAABTAwAADgAAAAAAAAABACAAAAA0AQAAZHJzL2Uyb0Rv&#10;Yy54bWxQSwUGAAAAAAYABgBZAQAAWgUAAAAA&#10;">
              <v:fill on="f" focussize="0,0"/>
              <v:stroke on="f"/>
              <v:imagedata o:title=""/>
              <o:lock v:ext="edit" aspectratio="f"/>
              <v:textbox inset="0mm,0mm,0mm,0mm" style="mso-fit-shape-to-text:t;">
                <w:txbxContent>
                  <w:p>
                    <w:pPr>
                      <w:pStyle w:val="7"/>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E6FA"/>
    <w:multiLevelType w:val="multilevel"/>
    <w:tmpl w:val="8DFBE6F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bCs/>
      </w:rPr>
    </w:lvl>
    <w:lvl w:ilvl="2" w:tentative="0">
      <w:start w:val="1"/>
      <w:numFmt w:val="decimal"/>
      <w:lvlText w:val="%1.%2.%3"/>
      <w:lvlJc w:val="left"/>
      <w:pPr>
        <w:ind w:left="709" w:hanging="709"/>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A1078EF"/>
    <w:multiLevelType w:val="singleLevel"/>
    <w:tmpl w:val="EA1078EF"/>
    <w:lvl w:ilvl="0" w:tentative="0">
      <w:start w:val="2"/>
      <w:numFmt w:val="decimal"/>
      <w:suff w:val="nothing"/>
      <w:lvlText w:val="（%1）"/>
      <w:lvlJc w:val="left"/>
    </w:lvl>
  </w:abstractNum>
  <w:abstractNum w:abstractNumId="2">
    <w:nsid w:val="44791A8E"/>
    <w:multiLevelType w:val="multilevel"/>
    <w:tmpl w:val="44791A8E"/>
    <w:lvl w:ilvl="0" w:tentative="0">
      <w:start w:val="1"/>
      <w:numFmt w:val="chineseCountingThousand"/>
      <w:pStyle w:val="4"/>
      <w:lvlText w:val="第%1节"/>
      <w:lvlJc w:val="left"/>
      <w:pPr>
        <w:ind w:left="420" w:hanging="420"/>
      </w:pPr>
      <w:rPr>
        <w:rFonts w:hint="eastAsia"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8E4B61"/>
    <w:multiLevelType w:val="multilevel"/>
    <w:tmpl w:val="618E4B61"/>
    <w:lvl w:ilvl="0" w:tentative="0">
      <w:start w:val="1"/>
      <w:numFmt w:val="chineseCountingThousand"/>
      <w:pStyle w:val="2"/>
      <w:lvlText w:val="第%1章"/>
      <w:lvlJc w:val="left"/>
      <w:pPr>
        <w:ind w:left="4340" w:hanging="420"/>
      </w:pPr>
      <w:rPr>
        <w:rFonts w:hint="eastAsia" w:eastAsia="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0519D"/>
    <w:multiLevelType w:val="singleLevel"/>
    <w:tmpl w:val="6C70519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5410075a-733a-4e5d-b927-04a99b963af9"/>
  </w:docVars>
  <w:rsids>
    <w:rsidRoot w:val="003A7823"/>
    <w:rsid w:val="000039CE"/>
    <w:rsid w:val="00030185"/>
    <w:rsid w:val="00061D68"/>
    <w:rsid w:val="00062E56"/>
    <w:rsid w:val="00075E94"/>
    <w:rsid w:val="000C3C0D"/>
    <w:rsid w:val="0011456D"/>
    <w:rsid w:val="00121A6E"/>
    <w:rsid w:val="001271BF"/>
    <w:rsid w:val="00162135"/>
    <w:rsid w:val="00165E74"/>
    <w:rsid w:val="00170A7D"/>
    <w:rsid w:val="001C5844"/>
    <w:rsid w:val="001D2ABE"/>
    <w:rsid w:val="001F4A39"/>
    <w:rsid w:val="001F5F7A"/>
    <w:rsid w:val="0023307D"/>
    <w:rsid w:val="00252B9C"/>
    <w:rsid w:val="00253D3E"/>
    <w:rsid w:val="00290A70"/>
    <w:rsid w:val="002B544A"/>
    <w:rsid w:val="002C13C2"/>
    <w:rsid w:val="002C3AF7"/>
    <w:rsid w:val="002D140A"/>
    <w:rsid w:val="002D2E5E"/>
    <w:rsid w:val="002D5BCE"/>
    <w:rsid w:val="002D717E"/>
    <w:rsid w:val="002E36B0"/>
    <w:rsid w:val="003064D6"/>
    <w:rsid w:val="00306FA5"/>
    <w:rsid w:val="00311437"/>
    <w:rsid w:val="00313A0E"/>
    <w:rsid w:val="0032594F"/>
    <w:rsid w:val="00330448"/>
    <w:rsid w:val="00357506"/>
    <w:rsid w:val="0036208A"/>
    <w:rsid w:val="00370991"/>
    <w:rsid w:val="0039135B"/>
    <w:rsid w:val="003A1E59"/>
    <w:rsid w:val="003A7823"/>
    <w:rsid w:val="003C0D9B"/>
    <w:rsid w:val="003E3AEC"/>
    <w:rsid w:val="003E74FC"/>
    <w:rsid w:val="003F66D2"/>
    <w:rsid w:val="004400A3"/>
    <w:rsid w:val="00444CA2"/>
    <w:rsid w:val="00493FCF"/>
    <w:rsid w:val="00494CD5"/>
    <w:rsid w:val="004A5D67"/>
    <w:rsid w:val="004E1212"/>
    <w:rsid w:val="00505E39"/>
    <w:rsid w:val="00507425"/>
    <w:rsid w:val="00511128"/>
    <w:rsid w:val="00516E82"/>
    <w:rsid w:val="00523A08"/>
    <w:rsid w:val="0053751B"/>
    <w:rsid w:val="00537E7F"/>
    <w:rsid w:val="00550A73"/>
    <w:rsid w:val="00554C7C"/>
    <w:rsid w:val="00557C46"/>
    <w:rsid w:val="00565BBF"/>
    <w:rsid w:val="00567460"/>
    <w:rsid w:val="005806CB"/>
    <w:rsid w:val="005B29EC"/>
    <w:rsid w:val="00633B1E"/>
    <w:rsid w:val="00672BBA"/>
    <w:rsid w:val="006760DE"/>
    <w:rsid w:val="006A3F16"/>
    <w:rsid w:val="006B3913"/>
    <w:rsid w:val="006B745C"/>
    <w:rsid w:val="006C3BE6"/>
    <w:rsid w:val="006D41B5"/>
    <w:rsid w:val="006F3A4C"/>
    <w:rsid w:val="00704C68"/>
    <w:rsid w:val="00707724"/>
    <w:rsid w:val="00737209"/>
    <w:rsid w:val="007433BB"/>
    <w:rsid w:val="00746D98"/>
    <w:rsid w:val="007A0A1B"/>
    <w:rsid w:val="007B6BE0"/>
    <w:rsid w:val="007B7AFD"/>
    <w:rsid w:val="007C67F6"/>
    <w:rsid w:val="007D6E70"/>
    <w:rsid w:val="007F04E1"/>
    <w:rsid w:val="0084519A"/>
    <w:rsid w:val="00857A31"/>
    <w:rsid w:val="0087189C"/>
    <w:rsid w:val="0088348E"/>
    <w:rsid w:val="0089363B"/>
    <w:rsid w:val="008A6CC9"/>
    <w:rsid w:val="008D0A3A"/>
    <w:rsid w:val="008E6BE0"/>
    <w:rsid w:val="00917268"/>
    <w:rsid w:val="00924038"/>
    <w:rsid w:val="009C1675"/>
    <w:rsid w:val="009D4D42"/>
    <w:rsid w:val="00A15BF0"/>
    <w:rsid w:val="00A36AFF"/>
    <w:rsid w:val="00A42E94"/>
    <w:rsid w:val="00A47397"/>
    <w:rsid w:val="00A672B0"/>
    <w:rsid w:val="00A72055"/>
    <w:rsid w:val="00A75345"/>
    <w:rsid w:val="00A845B0"/>
    <w:rsid w:val="00A97E40"/>
    <w:rsid w:val="00AC0BA9"/>
    <w:rsid w:val="00AD6BC8"/>
    <w:rsid w:val="00AE7E84"/>
    <w:rsid w:val="00B00F02"/>
    <w:rsid w:val="00B164A0"/>
    <w:rsid w:val="00B1703A"/>
    <w:rsid w:val="00B24A32"/>
    <w:rsid w:val="00B406C6"/>
    <w:rsid w:val="00B4699C"/>
    <w:rsid w:val="00B60079"/>
    <w:rsid w:val="00B60E8C"/>
    <w:rsid w:val="00B845A5"/>
    <w:rsid w:val="00BA4282"/>
    <w:rsid w:val="00BB49E7"/>
    <w:rsid w:val="00BC56A2"/>
    <w:rsid w:val="00BC6A58"/>
    <w:rsid w:val="00C001C1"/>
    <w:rsid w:val="00C00DE3"/>
    <w:rsid w:val="00C0221B"/>
    <w:rsid w:val="00C106A1"/>
    <w:rsid w:val="00C56D4C"/>
    <w:rsid w:val="00C73BB6"/>
    <w:rsid w:val="00C856CB"/>
    <w:rsid w:val="00CB4E84"/>
    <w:rsid w:val="00CC42E6"/>
    <w:rsid w:val="00CD68F4"/>
    <w:rsid w:val="00CD7701"/>
    <w:rsid w:val="00CE345D"/>
    <w:rsid w:val="00CF4C39"/>
    <w:rsid w:val="00D029E2"/>
    <w:rsid w:val="00D12781"/>
    <w:rsid w:val="00D13DF9"/>
    <w:rsid w:val="00D14304"/>
    <w:rsid w:val="00D230C4"/>
    <w:rsid w:val="00D23BAC"/>
    <w:rsid w:val="00D25E43"/>
    <w:rsid w:val="00D329E0"/>
    <w:rsid w:val="00D649BA"/>
    <w:rsid w:val="00D6564F"/>
    <w:rsid w:val="00D8067F"/>
    <w:rsid w:val="00D90F6E"/>
    <w:rsid w:val="00DA267D"/>
    <w:rsid w:val="00DB0893"/>
    <w:rsid w:val="00DB3F3C"/>
    <w:rsid w:val="00DE2224"/>
    <w:rsid w:val="00DE74AA"/>
    <w:rsid w:val="00DF5820"/>
    <w:rsid w:val="00DF63F3"/>
    <w:rsid w:val="00E16447"/>
    <w:rsid w:val="00E2011D"/>
    <w:rsid w:val="00E203D0"/>
    <w:rsid w:val="00E31635"/>
    <w:rsid w:val="00E40CAF"/>
    <w:rsid w:val="00E56761"/>
    <w:rsid w:val="00EB19D2"/>
    <w:rsid w:val="00EC7E84"/>
    <w:rsid w:val="00ED42F1"/>
    <w:rsid w:val="00ED7DDA"/>
    <w:rsid w:val="00F23E63"/>
    <w:rsid w:val="00F460CA"/>
    <w:rsid w:val="00F543E6"/>
    <w:rsid w:val="00F55799"/>
    <w:rsid w:val="00F5612E"/>
    <w:rsid w:val="00F65D55"/>
    <w:rsid w:val="00F7380C"/>
    <w:rsid w:val="00FA02A8"/>
    <w:rsid w:val="00FB4B56"/>
    <w:rsid w:val="00FC02BF"/>
    <w:rsid w:val="01211AD4"/>
    <w:rsid w:val="01CC1A40"/>
    <w:rsid w:val="02156CB2"/>
    <w:rsid w:val="028B36A9"/>
    <w:rsid w:val="02BA5D3C"/>
    <w:rsid w:val="02E37041"/>
    <w:rsid w:val="03773C2D"/>
    <w:rsid w:val="03A13EF0"/>
    <w:rsid w:val="04934A97"/>
    <w:rsid w:val="04AB1DE0"/>
    <w:rsid w:val="04CC159A"/>
    <w:rsid w:val="04F76DD4"/>
    <w:rsid w:val="05056F44"/>
    <w:rsid w:val="050E411D"/>
    <w:rsid w:val="056120A1"/>
    <w:rsid w:val="05744738"/>
    <w:rsid w:val="05B60993"/>
    <w:rsid w:val="05BE5B43"/>
    <w:rsid w:val="06450692"/>
    <w:rsid w:val="0729196B"/>
    <w:rsid w:val="073D0CEA"/>
    <w:rsid w:val="07BC60B3"/>
    <w:rsid w:val="08065580"/>
    <w:rsid w:val="085534B6"/>
    <w:rsid w:val="09000221"/>
    <w:rsid w:val="09EFBC91"/>
    <w:rsid w:val="0AB53219"/>
    <w:rsid w:val="0ADC6944"/>
    <w:rsid w:val="0B1D330C"/>
    <w:rsid w:val="0B747562"/>
    <w:rsid w:val="0BBE689D"/>
    <w:rsid w:val="0C2C3490"/>
    <w:rsid w:val="0C62191E"/>
    <w:rsid w:val="0C9D11C1"/>
    <w:rsid w:val="0CB5448A"/>
    <w:rsid w:val="0D4B3A3F"/>
    <w:rsid w:val="0D782948"/>
    <w:rsid w:val="0D8853B5"/>
    <w:rsid w:val="0DB07F22"/>
    <w:rsid w:val="0DF175C0"/>
    <w:rsid w:val="0E755585"/>
    <w:rsid w:val="0F052A35"/>
    <w:rsid w:val="0F824DCC"/>
    <w:rsid w:val="107F2D52"/>
    <w:rsid w:val="11052878"/>
    <w:rsid w:val="12744159"/>
    <w:rsid w:val="129F16F5"/>
    <w:rsid w:val="13C52173"/>
    <w:rsid w:val="13D52ACF"/>
    <w:rsid w:val="14524026"/>
    <w:rsid w:val="1493401A"/>
    <w:rsid w:val="14AA5E73"/>
    <w:rsid w:val="15265878"/>
    <w:rsid w:val="165E1E54"/>
    <w:rsid w:val="167345BF"/>
    <w:rsid w:val="16852D9F"/>
    <w:rsid w:val="176A526F"/>
    <w:rsid w:val="17C70888"/>
    <w:rsid w:val="17CE3FB2"/>
    <w:rsid w:val="180E2ED4"/>
    <w:rsid w:val="1A1D67BB"/>
    <w:rsid w:val="1A4C1518"/>
    <w:rsid w:val="1B99739F"/>
    <w:rsid w:val="1BE22134"/>
    <w:rsid w:val="1BFB4FA4"/>
    <w:rsid w:val="1CA078F9"/>
    <w:rsid w:val="1CC41839"/>
    <w:rsid w:val="1CE10BD8"/>
    <w:rsid w:val="1D9C3D0E"/>
    <w:rsid w:val="1E0D7B21"/>
    <w:rsid w:val="1E7F49B4"/>
    <w:rsid w:val="1E815664"/>
    <w:rsid w:val="1EE21BD8"/>
    <w:rsid w:val="1F2E0795"/>
    <w:rsid w:val="1F33463C"/>
    <w:rsid w:val="1F4B7FF0"/>
    <w:rsid w:val="1FCF29CF"/>
    <w:rsid w:val="208C1798"/>
    <w:rsid w:val="212C758A"/>
    <w:rsid w:val="217A4BBD"/>
    <w:rsid w:val="229E69AB"/>
    <w:rsid w:val="23016DB6"/>
    <w:rsid w:val="2460453E"/>
    <w:rsid w:val="249E2CA0"/>
    <w:rsid w:val="25180974"/>
    <w:rsid w:val="255676EF"/>
    <w:rsid w:val="25B12B77"/>
    <w:rsid w:val="263A491A"/>
    <w:rsid w:val="264D7CD2"/>
    <w:rsid w:val="26A830FC"/>
    <w:rsid w:val="276B740D"/>
    <w:rsid w:val="27822A1D"/>
    <w:rsid w:val="285443B9"/>
    <w:rsid w:val="29921183"/>
    <w:rsid w:val="29B81728"/>
    <w:rsid w:val="29E76B67"/>
    <w:rsid w:val="2B010EB7"/>
    <w:rsid w:val="2B746B21"/>
    <w:rsid w:val="2B8814F8"/>
    <w:rsid w:val="2BA967CA"/>
    <w:rsid w:val="2BA97D41"/>
    <w:rsid w:val="2BB62C95"/>
    <w:rsid w:val="2BE5357A"/>
    <w:rsid w:val="2C071743"/>
    <w:rsid w:val="2C0A2E19"/>
    <w:rsid w:val="2CEA52EC"/>
    <w:rsid w:val="2D783662"/>
    <w:rsid w:val="2DE654A2"/>
    <w:rsid w:val="2E5642BC"/>
    <w:rsid w:val="2E875C48"/>
    <w:rsid w:val="2EA27501"/>
    <w:rsid w:val="2FA776AE"/>
    <w:rsid w:val="2FD935ED"/>
    <w:rsid w:val="2FEE29FF"/>
    <w:rsid w:val="30D20571"/>
    <w:rsid w:val="31102E48"/>
    <w:rsid w:val="324E3C27"/>
    <w:rsid w:val="32960EC3"/>
    <w:rsid w:val="338058B8"/>
    <w:rsid w:val="33AD497E"/>
    <w:rsid w:val="34176409"/>
    <w:rsid w:val="34E73EBF"/>
    <w:rsid w:val="34F0546A"/>
    <w:rsid w:val="35F61F8F"/>
    <w:rsid w:val="36964E86"/>
    <w:rsid w:val="373158C6"/>
    <w:rsid w:val="380120BE"/>
    <w:rsid w:val="3834566E"/>
    <w:rsid w:val="38D97FC3"/>
    <w:rsid w:val="38DD7AB3"/>
    <w:rsid w:val="38FD1F03"/>
    <w:rsid w:val="39B501D2"/>
    <w:rsid w:val="3A4A1178"/>
    <w:rsid w:val="3A5F274A"/>
    <w:rsid w:val="3A7C256A"/>
    <w:rsid w:val="3AD273C0"/>
    <w:rsid w:val="3AD9074E"/>
    <w:rsid w:val="3AE35129"/>
    <w:rsid w:val="3B460821"/>
    <w:rsid w:val="3B8A37F6"/>
    <w:rsid w:val="3C560B58"/>
    <w:rsid w:val="3C8A4AE9"/>
    <w:rsid w:val="3C93214A"/>
    <w:rsid w:val="3CE5B394"/>
    <w:rsid w:val="3D6D9AEA"/>
    <w:rsid w:val="3DE28A89"/>
    <w:rsid w:val="3F3F56B9"/>
    <w:rsid w:val="3F5D5563"/>
    <w:rsid w:val="3FCED4DB"/>
    <w:rsid w:val="3FDBD129"/>
    <w:rsid w:val="4090365D"/>
    <w:rsid w:val="40B96D2D"/>
    <w:rsid w:val="41D00BF6"/>
    <w:rsid w:val="438576C5"/>
    <w:rsid w:val="43C31F9B"/>
    <w:rsid w:val="459F674C"/>
    <w:rsid w:val="46586D4B"/>
    <w:rsid w:val="468E0F81"/>
    <w:rsid w:val="468E4F4E"/>
    <w:rsid w:val="46BF1475"/>
    <w:rsid w:val="47215DC7"/>
    <w:rsid w:val="47C8170B"/>
    <w:rsid w:val="47E20466"/>
    <w:rsid w:val="47F866B8"/>
    <w:rsid w:val="482C1B57"/>
    <w:rsid w:val="49107A23"/>
    <w:rsid w:val="49627B61"/>
    <w:rsid w:val="4A001853"/>
    <w:rsid w:val="4ACF7942"/>
    <w:rsid w:val="4B045373"/>
    <w:rsid w:val="4B2A0FBC"/>
    <w:rsid w:val="4B883060"/>
    <w:rsid w:val="4C2D4456"/>
    <w:rsid w:val="4C7B73ED"/>
    <w:rsid w:val="4D36558C"/>
    <w:rsid w:val="4D582963"/>
    <w:rsid w:val="4D9A7D77"/>
    <w:rsid w:val="4E037B64"/>
    <w:rsid w:val="4E1F1C33"/>
    <w:rsid w:val="4E4A5793"/>
    <w:rsid w:val="50981590"/>
    <w:rsid w:val="50A10F71"/>
    <w:rsid w:val="519A07DF"/>
    <w:rsid w:val="51A90A23"/>
    <w:rsid w:val="522A08FB"/>
    <w:rsid w:val="52397FF8"/>
    <w:rsid w:val="52831274"/>
    <w:rsid w:val="52A35472"/>
    <w:rsid w:val="52B61895"/>
    <w:rsid w:val="53310CD0"/>
    <w:rsid w:val="53486019"/>
    <w:rsid w:val="5411739F"/>
    <w:rsid w:val="541363CC"/>
    <w:rsid w:val="544D1B39"/>
    <w:rsid w:val="544D38E7"/>
    <w:rsid w:val="55A75279"/>
    <w:rsid w:val="55BA1450"/>
    <w:rsid w:val="55C0458D"/>
    <w:rsid w:val="55D123D3"/>
    <w:rsid w:val="55DD5915"/>
    <w:rsid w:val="56083B91"/>
    <w:rsid w:val="566D0271"/>
    <w:rsid w:val="566E223B"/>
    <w:rsid w:val="56C635F2"/>
    <w:rsid w:val="56F4798C"/>
    <w:rsid w:val="57166656"/>
    <w:rsid w:val="571C57F3"/>
    <w:rsid w:val="5765719A"/>
    <w:rsid w:val="579B2BBB"/>
    <w:rsid w:val="57A0460E"/>
    <w:rsid w:val="57DF8300"/>
    <w:rsid w:val="57F34290"/>
    <w:rsid w:val="57F44280"/>
    <w:rsid w:val="58F7A84C"/>
    <w:rsid w:val="595F3CDC"/>
    <w:rsid w:val="59A10231"/>
    <w:rsid w:val="59CFB962"/>
    <w:rsid w:val="5A0C25C9"/>
    <w:rsid w:val="5A364E1D"/>
    <w:rsid w:val="5A691EE6"/>
    <w:rsid w:val="5A82255F"/>
    <w:rsid w:val="5AA836D7"/>
    <w:rsid w:val="5AD20E00"/>
    <w:rsid w:val="5B641BC3"/>
    <w:rsid w:val="5B9A70D9"/>
    <w:rsid w:val="5BE10DB9"/>
    <w:rsid w:val="5C0056E3"/>
    <w:rsid w:val="5C1408DE"/>
    <w:rsid w:val="5C1B42CB"/>
    <w:rsid w:val="5D7F24B7"/>
    <w:rsid w:val="5D91311C"/>
    <w:rsid w:val="5DCF7A63"/>
    <w:rsid w:val="5E070ED0"/>
    <w:rsid w:val="5FC627A0"/>
    <w:rsid w:val="60D94755"/>
    <w:rsid w:val="61BF60C5"/>
    <w:rsid w:val="62065A1D"/>
    <w:rsid w:val="62426A55"/>
    <w:rsid w:val="629D7F17"/>
    <w:rsid w:val="62BD60DC"/>
    <w:rsid w:val="62F15D85"/>
    <w:rsid w:val="6300421A"/>
    <w:rsid w:val="63340DB2"/>
    <w:rsid w:val="63872EE8"/>
    <w:rsid w:val="63F0603D"/>
    <w:rsid w:val="63FF32AE"/>
    <w:rsid w:val="64055F8C"/>
    <w:rsid w:val="644F0FB6"/>
    <w:rsid w:val="64927229"/>
    <w:rsid w:val="64B928D3"/>
    <w:rsid w:val="64CE683C"/>
    <w:rsid w:val="653763C8"/>
    <w:rsid w:val="65943C08"/>
    <w:rsid w:val="65CB7B3F"/>
    <w:rsid w:val="65F7DE88"/>
    <w:rsid w:val="65FE4EEF"/>
    <w:rsid w:val="669406BC"/>
    <w:rsid w:val="66A171E9"/>
    <w:rsid w:val="6707C873"/>
    <w:rsid w:val="674A015A"/>
    <w:rsid w:val="67EE4E9E"/>
    <w:rsid w:val="68CA6FF9"/>
    <w:rsid w:val="68E357DB"/>
    <w:rsid w:val="68F70777"/>
    <w:rsid w:val="691427CE"/>
    <w:rsid w:val="69955438"/>
    <w:rsid w:val="699A6AF4"/>
    <w:rsid w:val="69D186EA"/>
    <w:rsid w:val="69DB1101"/>
    <w:rsid w:val="6A102F95"/>
    <w:rsid w:val="6A8E65B0"/>
    <w:rsid w:val="6B79E3F5"/>
    <w:rsid w:val="6B9725DE"/>
    <w:rsid w:val="6BD78E8C"/>
    <w:rsid w:val="6BF69EC3"/>
    <w:rsid w:val="6BFEF8D7"/>
    <w:rsid w:val="6CDB1F80"/>
    <w:rsid w:val="6D464F20"/>
    <w:rsid w:val="6EAC6654"/>
    <w:rsid w:val="6F320485"/>
    <w:rsid w:val="6F664697"/>
    <w:rsid w:val="6F745D74"/>
    <w:rsid w:val="6F7748C5"/>
    <w:rsid w:val="6FC14BE6"/>
    <w:rsid w:val="6FFB2835"/>
    <w:rsid w:val="70313C65"/>
    <w:rsid w:val="705125E3"/>
    <w:rsid w:val="711315BD"/>
    <w:rsid w:val="71431EA2"/>
    <w:rsid w:val="71462501"/>
    <w:rsid w:val="7148650D"/>
    <w:rsid w:val="7157594D"/>
    <w:rsid w:val="72007D93"/>
    <w:rsid w:val="720D69B2"/>
    <w:rsid w:val="72412B5F"/>
    <w:rsid w:val="727268E0"/>
    <w:rsid w:val="73DC038C"/>
    <w:rsid w:val="73F999C1"/>
    <w:rsid w:val="74053336"/>
    <w:rsid w:val="75D02172"/>
    <w:rsid w:val="75D04B42"/>
    <w:rsid w:val="75DDC47C"/>
    <w:rsid w:val="764F66D2"/>
    <w:rsid w:val="767A21D5"/>
    <w:rsid w:val="76E23EE5"/>
    <w:rsid w:val="770E6AAE"/>
    <w:rsid w:val="776B7302"/>
    <w:rsid w:val="77DF91CB"/>
    <w:rsid w:val="77FF399C"/>
    <w:rsid w:val="790C1713"/>
    <w:rsid w:val="793B0F6F"/>
    <w:rsid w:val="79406D4F"/>
    <w:rsid w:val="795F67E3"/>
    <w:rsid w:val="797F0F6F"/>
    <w:rsid w:val="7A2373C6"/>
    <w:rsid w:val="7AC2652D"/>
    <w:rsid w:val="7ADA75F8"/>
    <w:rsid w:val="7B3311D9"/>
    <w:rsid w:val="7BADA0B0"/>
    <w:rsid w:val="7BBE549C"/>
    <w:rsid w:val="7BBF5122"/>
    <w:rsid w:val="7BD791B5"/>
    <w:rsid w:val="7BFF5EA8"/>
    <w:rsid w:val="7BFFE585"/>
    <w:rsid w:val="7C1A141C"/>
    <w:rsid w:val="7D8B1ED4"/>
    <w:rsid w:val="7DFFFF2A"/>
    <w:rsid w:val="7E4B683A"/>
    <w:rsid w:val="7E593A92"/>
    <w:rsid w:val="7E70110E"/>
    <w:rsid w:val="7EBED863"/>
    <w:rsid w:val="7ED90B55"/>
    <w:rsid w:val="7F5F7AEF"/>
    <w:rsid w:val="7F601E71"/>
    <w:rsid w:val="7F6F0290"/>
    <w:rsid w:val="7F765B38"/>
    <w:rsid w:val="7F89586C"/>
    <w:rsid w:val="7FE2A779"/>
    <w:rsid w:val="7FE7C084"/>
    <w:rsid w:val="7FEFC9EC"/>
    <w:rsid w:val="7FF50F86"/>
    <w:rsid w:val="7FF83116"/>
    <w:rsid w:val="7FFF000B"/>
    <w:rsid w:val="8FFFEF85"/>
    <w:rsid w:val="93F73E39"/>
    <w:rsid w:val="93FE1BBE"/>
    <w:rsid w:val="977FD1D4"/>
    <w:rsid w:val="9D3FF654"/>
    <w:rsid w:val="9FAE9494"/>
    <w:rsid w:val="9FFD9FFD"/>
    <w:rsid w:val="A5FAE4BB"/>
    <w:rsid w:val="ADDE9A5E"/>
    <w:rsid w:val="AFF78442"/>
    <w:rsid w:val="B6FE43AD"/>
    <w:rsid w:val="B72FC8EC"/>
    <w:rsid w:val="BADB451A"/>
    <w:rsid w:val="BB7DB5BB"/>
    <w:rsid w:val="BBD4A05B"/>
    <w:rsid w:val="BFE725CA"/>
    <w:rsid w:val="CD7A897A"/>
    <w:rsid w:val="CE0EA84F"/>
    <w:rsid w:val="CF3F5401"/>
    <w:rsid w:val="D1D3515C"/>
    <w:rsid w:val="D1FFBA0E"/>
    <w:rsid w:val="D95CBF2B"/>
    <w:rsid w:val="D9FFAE86"/>
    <w:rsid w:val="DAF7720C"/>
    <w:rsid w:val="DAFF7190"/>
    <w:rsid w:val="DB6FEE3A"/>
    <w:rsid w:val="DCDEE07D"/>
    <w:rsid w:val="DD3C5759"/>
    <w:rsid w:val="DD7F8AEA"/>
    <w:rsid w:val="DDD7D9C8"/>
    <w:rsid w:val="DE37BB75"/>
    <w:rsid w:val="DEFC7DE6"/>
    <w:rsid w:val="DEFDD68D"/>
    <w:rsid w:val="DF7CDC00"/>
    <w:rsid w:val="DFBF004B"/>
    <w:rsid w:val="DFF7AB44"/>
    <w:rsid w:val="E5FD1137"/>
    <w:rsid w:val="E7BB9B25"/>
    <w:rsid w:val="EBFA560E"/>
    <w:rsid w:val="EBFD08B7"/>
    <w:rsid w:val="EF4B8212"/>
    <w:rsid w:val="EF7F309C"/>
    <w:rsid w:val="EFD5E14E"/>
    <w:rsid w:val="EFF4D06F"/>
    <w:rsid w:val="EFFF36F1"/>
    <w:rsid w:val="F39EF107"/>
    <w:rsid w:val="F3DD924A"/>
    <w:rsid w:val="F56EC11E"/>
    <w:rsid w:val="F6FF19F7"/>
    <w:rsid w:val="F97A71CB"/>
    <w:rsid w:val="F9FFA769"/>
    <w:rsid w:val="FA76AD72"/>
    <w:rsid w:val="FB5EB45D"/>
    <w:rsid w:val="FBBFDEA6"/>
    <w:rsid w:val="FBFF7D7F"/>
    <w:rsid w:val="FBFFCCAF"/>
    <w:rsid w:val="FCFD0F7D"/>
    <w:rsid w:val="FDED6F95"/>
    <w:rsid w:val="FEBF07D3"/>
    <w:rsid w:val="FEF72BEF"/>
    <w:rsid w:val="FFB770A9"/>
    <w:rsid w:val="FFDE4555"/>
    <w:rsid w:val="FFED937D"/>
    <w:rsid w:val="FFFB0F52"/>
    <w:rsid w:val="FFFD0808"/>
    <w:rsid w:val="FFFF3429"/>
    <w:rsid w:val="FFFFA7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28"/>
      <w:szCs w:val="24"/>
      <w:lang w:val="en-US" w:eastAsia="zh-CN" w:bidi="ar-SA"/>
    </w:rPr>
  </w:style>
  <w:style w:type="paragraph" w:styleId="2">
    <w:name w:val="heading 1"/>
    <w:next w:val="3"/>
    <w:link w:val="19"/>
    <w:qFormat/>
    <w:uiPriority w:val="9"/>
    <w:pPr>
      <w:keepNext/>
      <w:keepLines/>
      <w:numPr>
        <w:ilvl w:val="0"/>
        <w:numId w:val="1"/>
      </w:numPr>
      <w:jc w:val="center"/>
      <w:outlineLvl w:val="0"/>
    </w:pPr>
    <w:rPr>
      <w:rFonts w:ascii="Times New Roman" w:hAnsi="Times New Roman" w:eastAsia="仿宋_GB2312" w:cs="Times New Roman"/>
      <w:b/>
      <w:bCs/>
      <w:kern w:val="44"/>
      <w:sz w:val="28"/>
      <w:szCs w:val="44"/>
      <w:lang w:val="en-US" w:eastAsia="zh-CN" w:bidi="ar-SA"/>
    </w:rPr>
  </w:style>
  <w:style w:type="paragraph" w:styleId="4">
    <w:name w:val="heading 2"/>
    <w:next w:val="3"/>
    <w:link w:val="20"/>
    <w:unhideWhenUsed/>
    <w:qFormat/>
    <w:uiPriority w:val="9"/>
    <w:pPr>
      <w:keepNext/>
      <w:keepLines/>
      <w:numPr>
        <w:ilvl w:val="0"/>
        <w:numId w:val="2"/>
      </w:numPr>
      <w:ind w:left="0" w:firstLine="0"/>
      <w:jc w:val="center"/>
      <w:outlineLvl w:val="1"/>
    </w:pPr>
    <w:rPr>
      <w:rFonts w:eastAsia="仿宋_GB2312" w:asciiTheme="majorHAnsi" w:hAnsiTheme="majorHAnsi" w:cstheme="majorBidi"/>
      <w:b/>
      <w:bCs/>
      <w:kern w:val="2"/>
      <w:sz w:val="28"/>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0"/>
    </w:rPr>
  </w:style>
  <w:style w:type="paragraph" w:styleId="5">
    <w:name w:val="annotation text"/>
    <w:basedOn w:val="1"/>
    <w:link w:val="22"/>
    <w:semiHidden/>
    <w:unhideWhenUsed/>
    <w:qFormat/>
    <w:uiPriority w:val="99"/>
    <w:pPr>
      <w:jc w:val="left"/>
    </w:pPr>
  </w:style>
  <w:style w:type="paragraph" w:styleId="6">
    <w:name w:val="Balloon Text"/>
    <w:basedOn w:val="1"/>
    <w:link w:val="25"/>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annotation subject"/>
    <w:basedOn w:val="5"/>
    <w:next w:val="5"/>
    <w:link w:val="23"/>
    <w:semiHidden/>
    <w:unhideWhenUsed/>
    <w:qFormat/>
    <w:uiPriority w:val="99"/>
    <w:rPr>
      <w:b/>
      <w:bCs/>
    </w:r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1 Char"/>
    <w:basedOn w:val="13"/>
    <w:link w:val="2"/>
    <w:qFormat/>
    <w:uiPriority w:val="9"/>
    <w:rPr>
      <w:rFonts w:ascii="Times New Roman" w:hAnsi="Times New Roman" w:eastAsia="仿宋_GB2312" w:cs="Times New Roman"/>
      <w:b/>
      <w:bCs/>
      <w:kern w:val="44"/>
      <w:sz w:val="28"/>
      <w:szCs w:val="44"/>
    </w:rPr>
  </w:style>
  <w:style w:type="character" w:customStyle="1" w:styleId="20">
    <w:name w:val="标题 2 Char"/>
    <w:basedOn w:val="13"/>
    <w:link w:val="4"/>
    <w:qFormat/>
    <w:uiPriority w:val="9"/>
    <w:rPr>
      <w:rFonts w:eastAsia="仿宋_GB2312" w:asciiTheme="majorHAnsi" w:hAnsiTheme="majorHAnsi" w:cstheme="majorBidi"/>
      <w:b/>
      <w:bCs/>
      <w:sz w:val="28"/>
      <w:szCs w:val="32"/>
    </w:rPr>
  </w:style>
  <w:style w:type="paragraph" w:styleId="21">
    <w:name w:val="List Paragraph"/>
    <w:basedOn w:val="1"/>
    <w:qFormat/>
    <w:uiPriority w:val="34"/>
    <w:pPr>
      <w:ind w:firstLine="420"/>
    </w:pPr>
  </w:style>
  <w:style w:type="character" w:customStyle="1" w:styleId="22">
    <w:name w:val="批注文字 Char"/>
    <w:basedOn w:val="13"/>
    <w:link w:val="5"/>
    <w:semiHidden/>
    <w:qFormat/>
    <w:uiPriority w:val="99"/>
    <w:rPr>
      <w:rFonts w:eastAsia="仿宋_GB2312"/>
      <w:kern w:val="2"/>
      <w:sz w:val="28"/>
      <w:szCs w:val="24"/>
    </w:rPr>
  </w:style>
  <w:style w:type="character" w:customStyle="1" w:styleId="23">
    <w:name w:val="批注主题 Char"/>
    <w:basedOn w:val="22"/>
    <w:link w:val="11"/>
    <w:semiHidden/>
    <w:qFormat/>
    <w:uiPriority w:val="99"/>
    <w:rPr>
      <w:rFonts w:eastAsia="仿宋_GB2312"/>
      <w:b/>
      <w:bCs/>
      <w:kern w:val="2"/>
      <w:sz w:val="28"/>
      <w:szCs w:val="24"/>
    </w:rPr>
  </w:style>
  <w:style w:type="character" w:customStyle="1" w:styleId="24">
    <w:name w:val="text-only"/>
    <w:basedOn w:val="13"/>
    <w:qFormat/>
    <w:uiPriority w:val="0"/>
  </w:style>
  <w:style w:type="character" w:customStyle="1" w:styleId="25">
    <w:name w:val="批注框文本 Char"/>
    <w:basedOn w:val="13"/>
    <w:link w:val="6"/>
    <w:semiHidden/>
    <w:qFormat/>
    <w:uiPriority w:val="99"/>
    <w:rPr>
      <w:rFonts w:eastAsia="仿宋_GB2312"/>
      <w:kern w:val="2"/>
      <w:sz w:val="18"/>
      <w:szCs w:val="1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shenduxitong</Company>
  <Pages>37</Pages>
  <Words>856</Words>
  <Characters>1087</Characters>
  <Lines>123</Lines>
  <Paragraphs>34</Paragraphs>
  <TotalTime>18</TotalTime>
  <ScaleCrop>false</ScaleCrop>
  <LinksUpToDate>false</LinksUpToDate>
  <CharactersWithSpaces>1306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2024-11-29T01:46:00Z</dcterms:created>
  <dc:creator>娄兴焜</dc:creator>
  <cp:lastModifiedBy>user</cp:lastModifiedBy>
  <dcterms:modified xsi:type="dcterms:W3CDTF">2025-06-03T17:56:04Z</dcterms:modified>
  <dc:title>海南省药品上市许可持有人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A2134D03CDDF4160B70DD9B120F324C7_13</vt:lpwstr>
  </property>
  <property fmtid="{D5CDD505-2E9C-101B-9397-08002B2CF9AE}" pid="4" name="KSOTemplateDocerSaveRecord">
    <vt:lpwstr>eyJoZGlkIjoiMzMyYzA1MDhmMGNjOTI2MDg0MDIxODNhM2ViYmFiMWEiLCJ1c2VySWQiOiI1MTA1MTAxNjEifQ==</vt:lpwstr>
  </property>
</Properties>
</file>