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545"/>
        <w:gridCol w:w="2790"/>
        <w:gridCol w:w="4770"/>
        <w:gridCol w:w="1635"/>
        <w:gridCol w:w="2130"/>
      </w:tblGrid>
      <w:tr w14:paraId="68AF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tcBorders>
              <w:top w:val="nil"/>
              <w:left w:val="nil"/>
              <w:bottom w:val="nil"/>
              <w:right w:val="nil"/>
            </w:tcBorders>
            <w:noWrap w:val="0"/>
            <w:vAlign w:val="center"/>
          </w:tcPr>
          <w:p w14:paraId="64F72B11">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kern w:val="2"/>
                <w:sz w:val="32"/>
                <w:szCs w:val="32"/>
                <w:lang w:val="en-US" w:eastAsia="zh-CN" w:bidi="ar-SA"/>
              </w:rPr>
              <w:t>附件1</w:t>
            </w:r>
          </w:p>
        </w:tc>
        <w:tc>
          <w:tcPr>
            <w:tcW w:w="1080" w:type="dxa"/>
            <w:tcBorders>
              <w:top w:val="nil"/>
              <w:left w:val="nil"/>
              <w:bottom w:val="nil"/>
              <w:right w:val="nil"/>
            </w:tcBorders>
            <w:noWrap w:val="0"/>
            <w:vAlign w:val="center"/>
          </w:tcPr>
          <w:p w14:paraId="091247EA">
            <w:pPr>
              <w:jc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c>
          <w:tcPr>
            <w:tcW w:w="1545" w:type="dxa"/>
            <w:tcBorders>
              <w:top w:val="nil"/>
              <w:left w:val="nil"/>
              <w:bottom w:val="nil"/>
              <w:right w:val="nil"/>
            </w:tcBorders>
            <w:noWrap w:val="0"/>
            <w:vAlign w:val="center"/>
          </w:tcPr>
          <w:p w14:paraId="6690793A">
            <w:pPr>
              <w:jc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c>
          <w:tcPr>
            <w:tcW w:w="2790" w:type="dxa"/>
            <w:tcBorders>
              <w:top w:val="nil"/>
              <w:left w:val="nil"/>
              <w:bottom w:val="nil"/>
              <w:right w:val="nil"/>
            </w:tcBorders>
            <w:noWrap w:val="0"/>
            <w:vAlign w:val="center"/>
          </w:tcPr>
          <w:p w14:paraId="2F4440DA">
            <w:pP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c>
          <w:tcPr>
            <w:tcW w:w="4770" w:type="dxa"/>
            <w:tcBorders>
              <w:top w:val="nil"/>
              <w:left w:val="nil"/>
              <w:bottom w:val="nil"/>
              <w:right w:val="nil"/>
            </w:tcBorders>
            <w:noWrap w:val="0"/>
            <w:vAlign w:val="center"/>
          </w:tcPr>
          <w:p w14:paraId="50F0C6A3">
            <w:pP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c>
          <w:tcPr>
            <w:tcW w:w="1635" w:type="dxa"/>
            <w:tcBorders>
              <w:top w:val="nil"/>
              <w:left w:val="nil"/>
              <w:bottom w:val="nil"/>
              <w:right w:val="nil"/>
            </w:tcBorders>
            <w:noWrap w:val="0"/>
            <w:vAlign w:val="center"/>
          </w:tcPr>
          <w:p w14:paraId="38F4EAC6">
            <w:pP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c>
          <w:tcPr>
            <w:tcW w:w="2130" w:type="dxa"/>
            <w:tcBorders>
              <w:top w:val="nil"/>
              <w:left w:val="nil"/>
              <w:bottom w:val="nil"/>
              <w:right w:val="nil"/>
            </w:tcBorders>
            <w:noWrap w:val="0"/>
            <w:vAlign w:val="center"/>
          </w:tcPr>
          <w:p w14:paraId="0567CB44">
            <w:pP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r>
      <w:tr w14:paraId="0324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30" w:type="dxa"/>
            <w:gridSpan w:val="7"/>
            <w:tcBorders>
              <w:top w:val="nil"/>
              <w:left w:val="nil"/>
              <w:bottom w:val="nil"/>
              <w:right w:val="nil"/>
            </w:tcBorders>
            <w:noWrap w:val="0"/>
            <w:vAlign w:val="center"/>
          </w:tcPr>
          <w:p w14:paraId="532828B5">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 xml:space="preserve">医疗保障定点医疗机构申请评估表                                                                                                                                                               </w:t>
            </w:r>
          </w:p>
        </w:tc>
      </w:tr>
      <w:tr w14:paraId="5556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05" w:type="dxa"/>
            <w:gridSpan w:val="3"/>
            <w:tcBorders>
              <w:top w:val="nil"/>
              <w:left w:val="nil"/>
              <w:bottom w:val="nil"/>
              <w:right w:val="nil"/>
            </w:tcBorders>
            <w:noWrap w:val="0"/>
            <w:vAlign w:val="center"/>
          </w:tcPr>
          <w:p w14:paraId="0C1309BD">
            <w:pPr>
              <w:keepNext w:val="0"/>
              <w:keepLines w:val="0"/>
              <w:widowControl/>
              <w:suppressLineNumbers w:val="0"/>
              <w:jc w:val="left"/>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 xml:space="preserve">申请医疗机构名称：                                                      </w:t>
            </w:r>
          </w:p>
        </w:tc>
        <w:tc>
          <w:tcPr>
            <w:tcW w:w="2790" w:type="dxa"/>
            <w:tcBorders>
              <w:top w:val="nil"/>
              <w:left w:val="nil"/>
              <w:bottom w:val="nil"/>
              <w:right w:val="nil"/>
            </w:tcBorders>
            <w:noWrap w:val="0"/>
            <w:vAlign w:val="center"/>
          </w:tcPr>
          <w:p w14:paraId="4D053247">
            <w:pP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p>
        </w:tc>
        <w:tc>
          <w:tcPr>
            <w:tcW w:w="8535" w:type="dxa"/>
            <w:gridSpan w:val="3"/>
            <w:tcBorders>
              <w:top w:val="nil"/>
              <w:left w:val="nil"/>
              <w:bottom w:val="nil"/>
              <w:right w:val="nil"/>
            </w:tcBorders>
            <w:noWrap w:val="0"/>
            <w:vAlign w:val="center"/>
          </w:tcPr>
          <w:p w14:paraId="65DC4821">
            <w:pPr>
              <w:keepNext w:val="0"/>
              <w:keepLines w:val="0"/>
              <w:widowControl/>
              <w:suppressLineNumbers w:val="0"/>
              <w:jc w:val="right"/>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评估时间：         年     月     日</w:t>
            </w:r>
          </w:p>
        </w:tc>
      </w:tr>
      <w:tr w14:paraId="6774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CC3F3D">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45BD63">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项目</w:t>
            </w:r>
          </w:p>
        </w:tc>
        <w:tc>
          <w:tcPr>
            <w:tcW w:w="4335" w:type="dxa"/>
            <w:gridSpan w:val="2"/>
            <w:tcBorders>
              <w:top w:val="single" w:color="000000" w:sz="4" w:space="0"/>
              <w:left w:val="single" w:color="000000" w:sz="4" w:space="0"/>
              <w:bottom w:val="single" w:color="000000" w:sz="4" w:space="0"/>
              <w:right w:val="single" w:color="000000" w:sz="4" w:space="0"/>
            </w:tcBorders>
            <w:noWrap w:val="0"/>
            <w:vAlign w:val="center"/>
          </w:tcPr>
          <w:p w14:paraId="04EDAA92">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核 查 内 容</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0312E98D">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核  查  要  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0239543">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核查信息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26EDDDC">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评估结果</w:t>
            </w:r>
          </w:p>
        </w:tc>
      </w:tr>
      <w:tr w14:paraId="5DAD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3F2B2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right w:val="single" w:color="000000" w:sz="4" w:space="0"/>
            </w:tcBorders>
            <w:noWrap w:val="0"/>
            <w:vAlign w:val="center"/>
          </w:tcPr>
          <w:p w14:paraId="295DA00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8"/>
                <w:szCs w:val="28"/>
                <w:u w:val="none"/>
              </w:rPr>
            </w:pPr>
            <w:r>
              <w:rPr>
                <w:rFonts w:hint="default" w:ascii="Times New Roman" w:hAnsi="Times New Roman" w:eastAsia="仿宋" w:cs="Times New Roman"/>
                <w:b w:val="0"/>
                <w:bCs w:val="0"/>
                <w:i w:val="0"/>
                <w:iCs w:val="0"/>
                <w:color w:val="000000"/>
                <w:kern w:val="0"/>
                <w:sz w:val="28"/>
                <w:szCs w:val="28"/>
                <w:u w:val="none"/>
                <w:lang w:val="en-US" w:eastAsia="zh-CN" w:bidi="ar"/>
              </w:rPr>
              <w:t>基本条件评定</w:t>
            </w: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CF91D">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基本情况</w:t>
            </w:r>
          </w:p>
        </w:tc>
        <w:tc>
          <w:tcPr>
            <w:tcW w:w="2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0D797C">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核查医疗机构证照及运营时间情况</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34E582D6">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核查是否具备医疗机构执业许可证或诊所备案证或中医诊所备案证或军队医疗机构为民服务许可证。</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17110AD">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D89AA07">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0F19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D0D59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c>
          <w:tcPr>
            <w:tcW w:w="1080" w:type="dxa"/>
            <w:vMerge w:val="continue"/>
            <w:tcBorders>
              <w:left w:val="single" w:color="000000" w:sz="4" w:space="0"/>
              <w:right w:val="single" w:color="000000" w:sz="4" w:space="0"/>
            </w:tcBorders>
            <w:noWrap w:val="0"/>
            <w:vAlign w:val="center"/>
          </w:tcPr>
          <w:p w14:paraId="30051F83">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93465">
            <w:pPr>
              <w:jc w:val="center"/>
              <w:rPr>
                <w:rFonts w:hint="default" w:ascii="Times New Roman" w:hAnsi="Times New Roman" w:eastAsia="仿宋" w:cs="Times New Roman"/>
                <w:b w:val="0"/>
                <w:bCs w:val="0"/>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0B159">
            <w:pPr>
              <w:jc w:val="both"/>
              <w:rPr>
                <w:rFonts w:hint="default" w:ascii="Times New Roman" w:hAnsi="Times New Roman" w:eastAsia="仿宋" w:cs="Times New Roman"/>
                <w:b w:val="0"/>
                <w:bCs w:val="0"/>
                <w:i w:val="0"/>
                <w:iCs w:val="0"/>
                <w:color w:val="000000"/>
                <w:sz w:val="24"/>
                <w:szCs w:val="24"/>
                <w:u w:val="none"/>
              </w:rPr>
            </w:pP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6262622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核查正式运营时间是否达到3个月，申请表运营有关信息是否符合要求。</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F614FDC">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CD0F09F">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5264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E6BEB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1080" w:type="dxa"/>
            <w:vMerge w:val="continue"/>
            <w:tcBorders>
              <w:left w:val="single" w:color="000000" w:sz="4" w:space="0"/>
              <w:right w:val="single" w:color="000000" w:sz="4" w:space="0"/>
            </w:tcBorders>
            <w:noWrap w:val="0"/>
            <w:vAlign w:val="center"/>
          </w:tcPr>
          <w:p w14:paraId="02DBD2EC">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68FB2">
            <w:pPr>
              <w:jc w:val="center"/>
              <w:rPr>
                <w:rFonts w:hint="default" w:ascii="Times New Roman" w:hAnsi="Times New Roman" w:eastAsia="仿宋" w:cs="Times New Roman"/>
                <w:b w:val="0"/>
                <w:bCs w:val="0"/>
                <w:i w:val="0"/>
                <w:iCs w:val="0"/>
                <w:color w:val="000000"/>
                <w:sz w:val="24"/>
                <w:szCs w:val="24"/>
                <w:u w:val="none"/>
              </w:rPr>
            </w:pPr>
          </w:p>
        </w:tc>
        <w:tc>
          <w:tcPr>
            <w:tcW w:w="2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452CE">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核查医疗机构医保管理部门、管理人员配置情况</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353CBC3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核查医疗机构主要负责人是否负责医保工作。</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87A4950">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3CEB43A">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666A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9A96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1080" w:type="dxa"/>
            <w:vMerge w:val="continue"/>
            <w:tcBorders>
              <w:left w:val="single" w:color="000000" w:sz="4" w:space="0"/>
              <w:right w:val="single" w:color="000000" w:sz="4" w:space="0"/>
            </w:tcBorders>
            <w:noWrap w:val="0"/>
            <w:vAlign w:val="center"/>
          </w:tcPr>
          <w:p w14:paraId="40898102">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8154E">
            <w:pPr>
              <w:jc w:val="center"/>
              <w:rPr>
                <w:rFonts w:hint="default" w:ascii="Times New Roman" w:hAnsi="Times New Roman" w:eastAsia="仿宋" w:cs="Times New Roman"/>
                <w:b w:val="0"/>
                <w:bCs w:val="0"/>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D8A76">
            <w:pPr>
              <w:jc w:val="both"/>
              <w:rPr>
                <w:rFonts w:hint="default" w:ascii="Times New Roman" w:hAnsi="Times New Roman" w:eastAsia="仿宋" w:cs="Times New Roman"/>
                <w:b w:val="0"/>
                <w:bCs w:val="0"/>
                <w:i w:val="0"/>
                <w:iCs w:val="0"/>
                <w:color w:val="000000"/>
                <w:sz w:val="24"/>
                <w:szCs w:val="24"/>
                <w:u w:val="none"/>
              </w:rPr>
            </w:pP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2D9E235C">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核查100张床位以下医疗机构是否明确医保管理部门，是否配备专(兼)职医保管理人员。</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1BF41E5">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AEF2C1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6508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3D104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1080" w:type="dxa"/>
            <w:vMerge w:val="continue"/>
            <w:tcBorders>
              <w:left w:val="single" w:color="000000" w:sz="4" w:space="0"/>
              <w:right w:val="single" w:color="000000" w:sz="4" w:space="0"/>
            </w:tcBorders>
            <w:noWrap w:val="0"/>
            <w:vAlign w:val="center"/>
          </w:tcPr>
          <w:p w14:paraId="01A93A42">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3A3F0">
            <w:pPr>
              <w:jc w:val="center"/>
              <w:rPr>
                <w:rFonts w:hint="default" w:ascii="Times New Roman" w:hAnsi="Times New Roman" w:eastAsia="仿宋" w:cs="Times New Roman"/>
                <w:b w:val="0"/>
                <w:bCs w:val="0"/>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3CD30">
            <w:pPr>
              <w:jc w:val="both"/>
              <w:rPr>
                <w:rFonts w:hint="default" w:ascii="Times New Roman" w:hAnsi="Times New Roman" w:eastAsia="仿宋" w:cs="Times New Roman"/>
                <w:b w:val="0"/>
                <w:bCs w:val="0"/>
                <w:i w:val="0"/>
                <w:iCs w:val="0"/>
                <w:color w:val="000000"/>
                <w:sz w:val="24"/>
                <w:szCs w:val="24"/>
                <w:u w:val="none"/>
              </w:rPr>
            </w:pP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0D476E6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核查100张床位（含）以上医疗机构是否设有内部医保管理部门、是否设有专职管理人员。</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D5E2904">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E31FCA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212F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EE865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1080" w:type="dxa"/>
            <w:vMerge w:val="continue"/>
            <w:tcBorders>
              <w:left w:val="single" w:color="000000" w:sz="4" w:space="0"/>
              <w:right w:val="single" w:color="000000" w:sz="4" w:space="0"/>
            </w:tcBorders>
            <w:noWrap w:val="0"/>
            <w:vAlign w:val="center"/>
          </w:tcPr>
          <w:p w14:paraId="530ECE75">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C54A3">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F413E0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核查医疗机构与医保政策相对应的管理制度</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78215C8D">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核查与医保政策相对应的医保管理制度、财务管理制度、统计信息管理制度、医疗质量安全核心制度等是否符合医保协议管理要求。</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B717D62">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864B82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50D2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BF05D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080" w:type="dxa"/>
            <w:vMerge w:val="continue"/>
            <w:tcBorders>
              <w:left w:val="single" w:color="000000" w:sz="4" w:space="0"/>
              <w:bottom w:val="single" w:color="000000" w:sz="4" w:space="0"/>
              <w:right w:val="single" w:color="000000" w:sz="4" w:space="0"/>
            </w:tcBorders>
            <w:noWrap w:val="0"/>
            <w:vAlign w:val="center"/>
          </w:tcPr>
          <w:p w14:paraId="26C0F57B">
            <w:pPr>
              <w:jc w:val="center"/>
              <w:rPr>
                <w:rFonts w:hint="default" w:ascii="Times New Roman" w:hAnsi="Times New Roman" w:eastAsia="仿宋" w:cs="Times New Roman"/>
                <w:b w:val="0"/>
                <w:bCs w:val="0"/>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D7047BA">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服务能力</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ADCD23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核查医疗机构开设与基本医保服务有关的诊疗科室情况</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3009275C">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核查医疗机构是否开设与基本医疗服务有关的诊疗科室（项目）。</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301B4E6">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884AEC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2D26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CAE13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c>
          <w:tcPr>
            <w:tcW w:w="1080" w:type="dxa"/>
            <w:vMerge w:val="restart"/>
            <w:tcBorders>
              <w:top w:val="single" w:color="000000" w:sz="4" w:space="0"/>
              <w:left w:val="single" w:color="000000" w:sz="4" w:space="0"/>
              <w:right w:val="single" w:color="000000" w:sz="4" w:space="0"/>
            </w:tcBorders>
            <w:noWrap w:val="0"/>
            <w:vAlign w:val="center"/>
          </w:tcPr>
          <w:p w14:paraId="54DA0482">
            <w:pPr>
              <w:jc w:val="center"/>
              <w:rPr>
                <w:rFonts w:hint="default" w:ascii="Times New Roman" w:hAnsi="Times New Roman" w:eastAsia="仿宋" w:cs="Times New Roman"/>
                <w:b w:val="0"/>
                <w:bCs w:val="0"/>
                <w:i w:val="0"/>
                <w:iCs w:val="0"/>
                <w:color w:val="000000"/>
                <w:sz w:val="28"/>
                <w:szCs w:val="28"/>
                <w:u w:val="none"/>
              </w:rPr>
            </w:pPr>
            <w:r>
              <w:rPr>
                <w:rFonts w:hint="default" w:ascii="Times New Roman" w:hAnsi="Times New Roman" w:eastAsia="仿宋" w:cs="Times New Roman"/>
                <w:b w:val="0"/>
                <w:bCs w:val="0"/>
                <w:i w:val="0"/>
                <w:iCs w:val="0"/>
                <w:color w:val="000000"/>
                <w:kern w:val="0"/>
                <w:sz w:val="28"/>
                <w:szCs w:val="28"/>
                <w:u w:val="none"/>
                <w:lang w:val="en-US" w:eastAsia="zh-CN" w:bidi="ar"/>
              </w:rPr>
              <w:t>基本条件评定</w:t>
            </w:r>
          </w:p>
        </w:tc>
        <w:tc>
          <w:tcPr>
            <w:tcW w:w="1545" w:type="dxa"/>
            <w:vMerge w:val="restart"/>
            <w:tcBorders>
              <w:top w:val="single" w:color="000000" w:sz="4" w:space="0"/>
              <w:left w:val="single" w:color="000000" w:sz="4" w:space="0"/>
              <w:right w:val="single" w:color="000000" w:sz="4" w:space="0"/>
            </w:tcBorders>
            <w:noWrap/>
            <w:vAlign w:val="center"/>
          </w:tcPr>
          <w:p w14:paraId="2B373103">
            <w:pPr>
              <w:jc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服务能力</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8F3B9B6">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核查卫生健康部门对医疗机构审核结果</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151A8E9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核查卫生健康部门对医疗机构核发的相关证照、相关审核结果是否与申请信息一致。核查二级乙等及以上等级医疗机构提供的卫生健康部门等级评（复）审结果，以及其他有等级医疗机构提供的等级材料。</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9B28C80">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E3ACA26">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26CC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271A9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1080" w:type="dxa"/>
            <w:vMerge w:val="continue"/>
            <w:tcBorders>
              <w:left w:val="single" w:color="000000" w:sz="4" w:space="0"/>
              <w:right w:val="single" w:color="000000" w:sz="4" w:space="0"/>
            </w:tcBorders>
            <w:noWrap w:val="0"/>
            <w:vAlign w:val="center"/>
          </w:tcPr>
          <w:p w14:paraId="6DA0A661">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left w:val="single" w:color="000000" w:sz="4" w:space="0"/>
              <w:right w:val="single" w:color="000000" w:sz="4" w:space="0"/>
            </w:tcBorders>
            <w:noWrap/>
            <w:vAlign w:val="center"/>
          </w:tcPr>
          <w:p w14:paraId="33F5A4F8">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E6F95BC">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核查医疗机构医师、护士、药学及医技等专业技术人员执业信息</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075946A2">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核查开设的诊疗科目（项目）是否有对应专业的执业人员。</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7C7A601">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5C3ECF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46A1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74C39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1080" w:type="dxa"/>
            <w:vMerge w:val="continue"/>
            <w:tcBorders>
              <w:left w:val="single" w:color="000000" w:sz="4" w:space="0"/>
              <w:right w:val="single" w:color="000000" w:sz="4" w:space="0"/>
            </w:tcBorders>
            <w:noWrap w:val="0"/>
            <w:vAlign w:val="center"/>
          </w:tcPr>
          <w:p w14:paraId="2B598CC3">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left w:val="single" w:color="000000" w:sz="4" w:space="0"/>
              <w:bottom w:val="single" w:color="000000" w:sz="4" w:space="0"/>
              <w:right w:val="single" w:color="000000" w:sz="4" w:space="0"/>
            </w:tcBorders>
            <w:noWrap/>
            <w:vAlign w:val="center"/>
          </w:tcPr>
          <w:p w14:paraId="17E25B4D">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AA3FFB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核查医疗机构与服务功能相适应的基础设施和仪器设备配置以及设备操作人员专业资质情况</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5423A49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核查与服务功能相适应的诊断、治疗、手术、住院、药品贮存及发放、检查检验放射等基础设施和仪器设备是否符合行业主管部门相关要求，设备操作人员是否具备专业资质。</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818E575">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069C13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30FC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2029A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c>
          <w:tcPr>
            <w:tcW w:w="1080" w:type="dxa"/>
            <w:vMerge w:val="continue"/>
            <w:tcBorders>
              <w:left w:val="single" w:color="000000" w:sz="4" w:space="0"/>
              <w:right w:val="single" w:color="000000" w:sz="4" w:space="0"/>
            </w:tcBorders>
            <w:noWrap w:val="0"/>
            <w:vAlign w:val="center"/>
          </w:tcPr>
          <w:p w14:paraId="6CE9A557">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D3672">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信息系统</w:t>
            </w:r>
          </w:p>
        </w:tc>
        <w:tc>
          <w:tcPr>
            <w:tcW w:w="2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C4E35">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核查医疗机构信息系统建设情况</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43943D4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核查是否具有符合医保协议管理要求的医院信息系统技术和接口标准，能实现与医保信息系统有效对接，并按要求向医保信息系统传送全部就诊人员相关信息，为参保人员提供直接联网结算。</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9A03B64">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0DE5114">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4575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A9774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w:t>
            </w:r>
          </w:p>
        </w:tc>
        <w:tc>
          <w:tcPr>
            <w:tcW w:w="1080" w:type="dxa"/>
            <w:vMerge w:val="continue"/>
            <w:tcBorders>
              <w:left w:val="single" w:color="000000" w:sz="4" w:space="0"/>
              <w:right w:val="single" w:color="000000" w:sz="4" w:space="0"/>
            </w:tcBorders>
            <w:noWrap w:val="0"/>
            <w:vAlign w:val="center"/>
          </w:tcPr>
          <w:p w14:paraId="403921AB">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A96A7">
            <w:pPr>
              <w:jc w:val="center"/>
              <w:rPr>
                <w:rFonts w:hint="default" w:ascii="Times New Roman" w:hAnsi="Times New Roman" w:eastAsia="仿宋" w:cs="Times New Roman"/>
                <w:b w:val="0"/>
                <w:bCs w:val="0"/>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0D9F1">
            <w:pPr>
              <w:jc w:val="both"/>
              <w:rPr>
                <w:rFonts w:hint="default" w:ascii="Times New Roman" w:hAnsi="Times New Roman" w:eastAsia="仿宋" w:cs="Times New Roman"/>
                <w:b w:val="0"/>
                <w:bCs w:val="0"/>
                <w:i w:val="0"/>
                <w:iCs w:val="0"/>
                <w:color w:val="000000"/>
                <w:sz w:val="24"/>
                <w:szCs w:val="24"/>
                <w:u w:val="none"/>
              </w:rPr>
            </w:pP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5811F54B">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核查是否执行国家统一的医保业务编码，并能专机专用。</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5EFA2D8">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7E0C281">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6881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DAA1A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w:t>
            </w:r>
          </w:p>
        </w:tc>
        <w:tc>
          <w:tcPr>
            <w:tcW w:w="1080" w:type="dxa"/>
            <w:vMerge w:val="continue"/>
            <w:tcBorders>
              <w:left w:val="single" w:color="000000" w:sz="4" w:space="0"/>
              <w:right w:val="single" w:color="000000" w:sz="4" w:space="0"/>
            </w:tcBorders>
            <w:noWrap w:val="0"/>
            <w:vAlign w:val="center"/>
          </w:tcPr>
          <w:p w14:paraId="73383AFB">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3CBB7">
            <w:pPr>
              <w:jc w:val="center"/>
              <w:rPr>
                <w:rFonts w:hint="default" w:ascii="Times New Roman" w:hAnsi="Times New Roman" w:eastAsia="仿宋" w:cs="Times New Roman"/>
                <w:b w:val="0"/>
                <w:bCs w:val="0"/>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AB971">
            <w:pPr>
              <w:jc w:val="both"/>
              <w:rPr>
                <w:rFonts w:hint="default" w:ascii="Times New Roman" w:hAnsi="Times New Roman" w:eastAsia="仿宋" w:cs="Times New Roman"/>
                <w:b w:val="0"/>
                <w:bCs w:val="0"/>
                <w:i w:val="0"/>
                <w:iCs w:val="0"/>
                <w:color w:val="000000"/>
                <w:sz w:val="24"/>
                <w:szCs w:val="24"/>
                <w:u w:val="none"/>
              </w:rPr>
            </w:pP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659B2D13">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核查是否建立医保药品、医用耗材、医疗服务设施、诊疗项目、疾病诊断以及科室、医护人员基本信息等基础数据库，涉及医保支付资格相关人员是否录入贯标平台。</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CE937A2">
            <w:pPr>
              <w:rPr>
                <w:rFonts w:hint="default" w:ascii="Times New Roman" w:hAnsi="Times New Roman" w:eastAsia="宋体" w:cs="Times New Roman"/>
                <w:b w:val="0"/>
                <w:bCs w:val="0"/>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BDB9D52">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7B49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32B42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w:t>
            </w:r>
          </w:p>
        </w:tc>
        <w:tc>
          <w:tcPr>
            <w:tcW w:w="1080" w:type="dxa"/>
            <w:vMerge w:val="continue"/>
            <w:tcBorders>
              <w:left w:val="single" w:color="000000" w:sz="4" w:space="0"/>
              <w:bottom w:val="single" w:color="000000" w:sz="4" w:space="0"/>
              <w:right w:val="single" w:color="000000" w:sz="4" w:space="0"/>
            </w:tcBorders>
            <w:noWrap w:val="0"/>
            <w:vAlign w:val="center"/>
          </w:tcPr>
          <w:p w14:paraId="2F380F2C">
            <w:pPr>
              <w:jc w:val="center"/>
              <w:rPr>
                <w:rFonts w:hint="default" w:ascii="Times New Roman" w:hAnsi="Times New Roman" w:eastAsia="仿宋" w:cs="Times New Roman"/>
                <w:b w:val="0"/>
                <w:bCs w:val="0"/>
                <w:i w:val="0"/>
                <w:iCs w:val="0"/>
                <w:color w:val="000000"/>
                <w:sz w:val="28"/>
                <w:szCs w:val="28"/>
                <w:u w:val="none"/>
              </w:rPr>
            </w:pPr>
          </w:p>
        </w:tc>
        <w:tc>
          <w:tcPr>
            <w:tcW w:w="10740" w:type="dxa"/>
            <w:gridSpan w:val="4"/>
            <w:tcBorders>
              <w:top w:val="single" w:color="000000" w:sz="4" w:space="0"/>
              <w:left w:val="single" w:color="000000" w:sz="4" w:space="0"/>
              <w:bottom w:val="single" w:color="000000" w:sz="4" w:space="0"/>
              <w:right w:val="single" w:color="000000" w:sz="4" w:space="0"/>
            </w:tcBorders>
            <w:noWrap w:val="0"/>
            <w:vAlign w:val="center"/>
          </w:tcPr>
          <w:p w14:paraId="0C61198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不予受理情形见国家医保局令第2号第十二条</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C07A8A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符合</w:t>
            </w:r>
            <w:r>
              <w:rPr>
                <w:rFonts w:hint="default" w:ascii="Times New Roman" w:hAnsi="Times New Roman" w:eastAsia="仿宋" w:cs="Times New Roman"/>
                <w:b w:val="0"/>
                <w:bCs w:val="0"/>
                <w:i w:val="0"/>
                <w:iCs w:val="0"/>
                <w:color w:val="000000"/>
                <w:kern w:val="0"/>
                <w:sz w:val="40"/>
                <w:szCs w:val="40"/>
                <w:u w:val="none"/>
                <w:lang w:val="en-US" w:eastAsia="zh-CN" w:bidi="ar"/>
              </w:rPr>
              <w:t xml:space="preserve">□ </w:t>
            </w:r>
            <w:r>
              <w:rPr>
                <w:rFonts w:hint="default" w:ascii="Times New Roman" w:hAnsi="Times New Roman" w:eastAsia="仿宋" w:cs="Times New Roman"/>
                <w:b w:val="0"/>
                <w:bCs w:val="0"/>
                <w:i w:val="0"/>
                <w:iCs w:val="0"/>
                <w:color w:val="000000"/>
                <w:kern w:val="0"/>
                <w:sz w:val="32"/>
                <w:szCs w:val="32"/>
                <w:u w:val="none"/>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不符合</w:t>
            </w:r>
            <w:r>
              <w:rPr>
                <w:rFonts w:hint="default" w:ascii="Times New Roman" w:hAnsi="Times New Roman" w:eastAsia="仿宋" w:cs="Times New Roman"/>
                <w:b w:val="0"/>
                <w:bCs w:val="0"/>
                <w:i w:val="0"/>
                <w:iCs w:val="0"/>
                <w:color w:val="000000"/>
                <w:kern w:val="0"/>
                <w:sz w:val="40"/>
                <w:szCs w:val="40"/>
                <w:u w:val="none"/>
                <w:lang w:val="en-US" w:eastAsia="zh-CN" w:bidi="ar"/>
              </w:rPr>
              <w:t>□</w:t>
            </w:r>
          </w:p>
        </w:tc>
      </w:tr>
      <w:tr w14:paraId="5DAD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42D528">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13BCA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项目</w:t>
            </w:r>
          </w:p>
        </w:tc>
        <w:tc>
          <w:tcPr>
            <w:tcW w:w="4335" w:type="dxa"/>
            <w:gridSpan w:val="2"/>
            <w:tcBorders>
              <w:top w:val="single" w:color="000000" w:sz="4" w:space="0"/>
              <w:left w:val="single" w:color="000000" w:sz="4" w:space="0"/>
              <w:bottom w:val="single" w:color="000000" w:sz="4" w:space="0"/>
              <w:right w:val="single" w:color="000000" w:sz="4" w:space="0"/>
            </w:tcBorders>
            <w:noWrap w:val="0"/>
            <w:vAlign w:val="center"/>
          </w:tcPr>
          <w:p w14:paraId="32A758AD">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核查内容</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585485C7">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核  查  情  况</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C2AB4EF">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实际得分</w:t>
            </w:r>
          </w:p>
        </w:tc>
      </w:tr>
      <w:tr w14:paraId="0B73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8545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w:t>
            </w:r>
          </w:p>
        </w:tc>
        <w:tc>
          <w:tcPr>
            <w:tcW w:w="1080" w:type="dxa"/>
            <w:vMerge w:val="restart"/>
            <w:tcBorders>
              <w:top w:val="single" w:color="000000" w:sz="4" w:space="0"/>
              <w:left w:val="single" w:color="000000" w:sz="4" w:space="0"/>
              <w:right w:val="single" w:color="000000" w:sz="4" w:space="0"/>
            </w:tcBorders>
            <w:noWrap w:val="0"/>
            <w:vAlign w:val="center"/>
          </w:tcPr>
          <w:p w14:paraId="72E06F8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8"/>
                <w:szCs w:val="28"/>
                <w:u w:val="none"/>
              </w:rPr>
            </w:pPr>
            <w:r>
              <w:rPr>
                <w:rFonts w:hint="default" w:ascii="Times New Roman" w:hAnsi="Times New Roman" w:eastAsia="仿宋" w:cs="Times New Roman"/>
                <w:b w:val="0"/>
                <w:bCs w:val="0"/>
                <w:i w:val="0"/>
                <w:iCs w:val="0"/>
                <w:color w:val="000000"/>
                <w:kern w:val="0"/>
                <w:sz w:val="28"/>
                <w:szCs w:val="28"/>
                <w:u w:val="none"/>
                <w:lang w:val="en-US" w:eastAsia="zh-CN" w:bidi="ar"/>
              </w:rPr>
              <w:t>综合指标评分</w:t>
            </w: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A5DD5A">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服务能力 （46分）</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C97B91A">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核查医疗机构与职工签订劳动合同并为其办理社会保险(含医疗保险)的情况（12分）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658147BF">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单位与职工签订劳动合同和社保（医保）登记情况，职工社保（医保）参保率应达到100%（不含退休人员、第三方劳务派遣人员、第一注册地不在本机构人员、连锁公司总部统一参保人员），未达到100%的不得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74F727D">
            <w:pPr>
              <w:rPr>
                <w:rFonts w:hint="default" w:ascii="Times New Roman" w:hAnsi="Times New Roman" w:eastAsia="宋体" w:cs="Times New Roman"/>
                <w:b w:val="0"/>
                <w:bCs w:val="0"/>
                <w:i w:val="0"/>
                <w:iCs w:val="0"/>
                <w:color w:val="000000"/>
                <w:sz w:val="24"/>
                <w:szCs w:val="24"/>
                <w:u w:val="none"/>
              </w:rPr>
            </w:pPr>
          </w:p>
        </w:tc>
      </w:tr>
      <w:tr w14:paraId="046A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09841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w:t>
            </w:r>
          </w:p>
        </w:tc>
        <w:tc>
          <w:tcPr>
            <w:tcW w:w="1080" w:type="dxa"/>
            <w:vMerge w:val="continue"/>
            <w:tcBorders>
              <w:left w:val="single" w:color="000000" w:sz="4" w:space="0"/>
              <w:right w:val="single" w:color="000000" w:sz="4" w:space="0"/>
            </w:tcBorders>
            <w:noWrap w:val="0"/>
            <w:vAlign w:val="center"/>
          </w:tcPr>
          <w:p w14:paraId="2D128BC3">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DF92F">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194F0C8">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核查医疗机构提供医保业务咨询的便捷度、投诉纠纷处理的管理措施及协调机制的建立情况（12分）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4CA70928">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核查是否在醒目位置设有医保政策宣传栏（4分）；是否设有投诉电话并有制定有效处理措施（4分）；是否建立协调机制（4分）。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F259CE7">
            <w:pPr>
              <w:rPr>
                <w:rFonts w:hint="default" w:ascii="Times New Roman" w:hAnsi="Times New Roman" w:eastAsia="宋体" w:cs="Times New Roman"/>
                <w:b w:val="0"/>
                <w:bCs w:val="0"/>
                <w:i w:val="0"/>
                <w:iCs w:val="0"/>
                <w:color w:val="000000"/>
                <w:sz w:val="24"/>
                <w:szCs w:val="24"/>
                <w:u w:val="none"/>
              </w:rPr>
            </w:pPr>
          </w:p>
        </w:tc>
      </w:tr>
      <w:tr w14:paraId="7404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399F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w:t>
            </w:r>
          </w:p>
        </w:tc>
        <w:tc>
          <w:tcPr>
            <w:tcW w:w="1080" w:type="dxa"/>
            <w:vMerge w:val="continue"/>
            <w:tcBorders>
              <w:left w:val="single" w:color="000000" w:sz="4" w:space="0"/>
              <w:right w:val="single" w:color="000000" w:sz="4" w:space="0"/>
            </w:tcBorders>
            <w:noWrap w:val="0"/>
            <w:vAlign w:val="center"/>
          </w:tcPr>
          <w:p w14:paraId="71A56891">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FBF51">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A913EE7">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核查医疗机构开设与医保有关的诊疗科目执业医师配置情况（10分）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47F84D2F">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核查执业许可证核准的诊疗科目（项目）是否有对应专业的第一执业注册医师（含全科医生），有1个诊疗科目（项目）无对应专业第一执业注册医师的扣2分。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5A7CB36">
            <w:pPr>
              <w:rPr>
                <w:rFonts w:hint="default" w:ascii="Times New Roman" w:hAnsi="Times New Roman" w:eastAsia="宋体" w:cs="Times New Roman"/>
                <w:b w:val="0"/>
                <w:bCs w:val="0"/>
                <w:i w:val="0"/>
                <w:iCs w:val="0"/>
                <w:color w:val="000000"/>
                <w:sz w:val="24"/>
                <w:szCs w:val="24"/>
                <w:u w:val="none"/>
              </w:rPr>
            </w:pPr>
          </w:p>
        </w:tc>
      </w:tr>
      <w:tr w14:paraId="40BA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2D7D2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p>
        </w:tc>
        <w:tc>
          <w:tcPr>
            <w:tcW w:w="1080" w:type="dxa"/>
            <w:vMerge w:val="continue"/>
            <w:tcBorders>
              <w:left w:val="single" w:color="000000" w:sz="4" w:space="0"/>
              <w:right w:val="single" w:color="000000" w:sz="4" w:space="0"/>
            </w:tcBorders>
            <w:noWrap w:val="0"/>
            <w:vAlign w:val="center"/>
          </w:tcPr>
          <w:p w14:paraId="29AB3D8A">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42A20">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41EB147">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核查医疗机构医师、护士、药学等专业技术人员执业信息（12分）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0426BC95">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医师、护士、药学等专业技术人员执业信息与申请信息是否一致。主要核查第一执业注册地在本医疗机构医师占该医疗机构注册医师的比例，占比90%以上的得12分，占比80%以上的得10分，占比70%以上的得6分，低于70%的不得分（经卫健部门审批同意全托管的除外）。被暂停或终止医保支付资格的人员占比在20%以上的，本项不得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B94B47C">
            <w:pPr>
              <w:rPr>
                <w:rFonts w:hint="default" w:ascii="Times New Roman" w:hAnsi="Times New Roman" w:eastAsia="宋体" w:cs="Times New Roman"/>
                <w:b w:val="0"/>
                <w:bCs w:val="0"/>
                <w:i w:val="0"/>
                <w:iCs w:val="0"/>
                <w:color w:val="000000"/>
                <w:sz w:val="24"/>
                <w:szCs w:val="24"/>
                <w:u w:val="none"/>
              </w:rPr>
            </w:pPr>
          </w:p>
        </w:tc>
      </w:tr>
      <w:tr w14:paraId="0EFD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A7CC9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p>
        </w:tc>
        <w:tc>
          <w:tcPr>
            <w:tcW w:w="1080" w:type="dxa"/>
            <w:vMerge w:val="continue"/>
            <w:tcBorders>
              <w:left w:val="single" w:color="000000" w:sz="4" w:space="0"/>
              <w:right w:val="single" w:color="000000" w:sz="4" w:space="0"/>
            </w:tcBorders>
            <w:noWrap w:val="0"/>
            <w:vAlign w:val="center"/>
          </w:tcPr>
          <w:p w14:paraId="031E4DD7">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restart"/>
            <w:tcBorders>
              <w:top w:val="single" w:color="000000" w:sz="4" w:space="0"/>
              <w:left w:val="single" w:color="000000" w:sz="4" w:space="0"/>
              <w:right w:val="single" w:color="000000" w:sz="4" w:space="0"/>
            </w:tcBorders>
            <w:noWrap w:val="0"/>
            <w:vAlign w:val="center"/>
          </w:tcPr>
          <w:p w14:paraId="1786C5B6">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信息系统  (28分)</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E163E40">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核查医疗机构信息安全内控制度的建设情况（6分）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1D620D68">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核查是否有信息安全内控制度、专人负责信息系统和网络安全保障、周期性的安全巡检报告。</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B8273EE">
            <w:pPr>
              <w:rPr>
                <w:rFonts w:hint="default" w:ascii="Times New Roman" w:hAnsi="Times New Roman" w:eastAsia="宋体" w:cs="Times New Roman"/>
                <w:b w:val="0"/>
                <w:bCs w:val="0"/>
                <w:i w:val="0"/>
                <w:iCs w:val="0"/>
                <w:color w:val="000000"/>
                <w:sz w:val="24"/>
                <w:szCs w:val="24"/>
                <w:u w:val="none"/>
              </w:rPr>
            </w:pPr>
          </w:p>
        </w:tc>
      </w:tr>
      <w:tr w14:paraId="322E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B73B8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p>
        </w:tc>
        <w:tc>
          <w:tcPr>
            <w:tcW w:w="1080" w:type="dxa"/>
            <w:vMerge w:val="continue"/>
            <w:tcBorders>
              <w:left w:val="single" w:color="000000" w:sz="4" w:space="0"/>
              <w:bottom w:val="single" w:color="000000" w:sz="4" w:space="0"/>
              <w:right w:val="single" w:color="000000" w:sz="4" w:space="0"/>
            </w:tcBorders>
            <w:noWrap w:val="0"/>
            <w:vAlign w:val="center"/>
          </w:tcPr>
          <w:p w14:paraId="7041D058">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left w:val="single" w:color="000000" w:sz="4" w:space="0"/>
              <w:bottom w:val="single" w:color="000000" w:sz="4" w:space="0"/>
              <w:right w:val="single" w:color="000000" w:sz="4" w:space="0"/>
            </w:tcBorders>
            <w:noWrap w:val="0"/>
            <w:vAlign w:val="center"/>
          </w:tcPr>
          <w:p w14:paraId="5CBF9217">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A231725">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核查医疗机构就医流程信息化管理情况（6分）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74D0733E">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核查医疗机构医疗服务过程（就医、治疗、结算等）是否有较为完善的全流程信息化管理系统（3分）；核查结算窗口是否设置24小时视频监控设备（2分），是否可以存储不少于6个月的视频监控资料（1分）。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F983066">
            <w:pPr>
              <w:rPr>
                <w:rFonts w:hint="default" w:ascii="Times New Roman" w:hAnsi="Times New Roman" w:eastAsia="宋体" w:cs="Times New Roman"/>
                <w:b w:val="0"/>
                <w:bCs w:val="0"/>
                <w:i w:val="0"/>
                <w:iCs w:val="0"/>
                <w:color w:val="000000"/>
                <w:sz w:val="24"/>
                <w:szCs w:val="24"/>
                <w:u w:val="none"/>
              </w:rPr>
            </w:pPr>
          </w:p>
        </w:tc>
      </w:tr>
      <w:tr w14:paraId="17B2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FD997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21</w:t>
            </w:r>
          </w:p>
        </w:tc>
        <w:tc>
          <w:tcPr>
            <w:tcW w:w="1080" w:type="dxa"/>
            <w:vMerge w:val="restart"/>
            <w:tcBorders>
              <w:top w:val="single" w:color="000000" w:sz="4" w:space="0"/>
              <w:left w:val="single" w:color="000000" w:sz="4" w:space="0"/>
              <w:right w:val="single" w:color="000000" w:sz="4" w:space="0"/>
            </w:tcBorders>
            <w:noWrap w:val="0"/>
            <w:vAlign w:val="center"/>
          </w:tcPr>
          <w:p w14:paraId="5CA15639">
            <w:pPr>
              <w:jc w:val="center"/>
              <w:rPr>
                <w:rFonts w:hint="default" w:ascii="Times New Roman" w:hAnsi="Times New Roman" w:eastAsia="仿宋" w:cs="Times New Roman"/>
                <w:b w:val="0"/>
                <w:bCs w:val="0"/>
                <w:i w:val="0"/>
                <w:iCs w:val="0"/>
                <w:color w:val="000000"/>
                <w:sz w:val="28"/>
                <w:szCs w:val="28"/>
                <w:u w:val="none"/>
              </w:rPr>
            </w:pPr>
            <w:r>
              <w:rPr>
                <w:rFonts w:hint="default" w:ascii="Times New Roman" w:hAnsi="Times New Roman" w:eastAsia="仿宋" w:cs="Times New Roman"/>
                <w:b w:val="0"/>
                <w:bCs w:val="0"/>
                <w:i w:val="0"/>
                <w:iCs w:val="0"/>
                <w:color w:val="000000"/>
                <w:kern w:val="0"/>
                <w:sz w:val="28"/>
                <w:szCs w:val="28"/>
                <w:u w:val="none"/>
                <w:lang w:val="en-US" w:eastAsia="zh-CN" w:bidi="ar"/>
              </w:rPr>
              <w:t>综合指标评分</w:t>
            </w:r>
          </w:p>
        </w:tc>
        <w:tc>
          <w:tcPr>
            <w:tcW w:w="1545" w:type="dxa"/>
            <w:vMerge w:val="restart"/>
            <w:tcBorders>
              <w:top w:val="single" w:color="000000" w:sz="4" w:space="0"/>
              <w:left w:val="single" w:color="000000" w:sz="4" w:space="0"/>
              <w:right w:val="single" w:color="000000" w:sz="4" w:space="0"/>
            </w:tcBorders>
            <w:noWrap w:val="0"/>
            <w:vAlign w:val="center"/>
          </w:tcPr>
          <w:p w14:paraId="2B7193A1">
            <w:pPr>
              <w:jc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信息系统  (28分)</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102241F">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核查医疗机构药械进销存管理系统建设及运行情况（10分）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0C1F49FF">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核查是否建立药械进销存管理信息系统，近三月的运行记录是否完备（5分）；核查药品（耗材）购进、销售、使用环节追溯码全量采集上传系统支撑情况（5分）。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83F6C77">
            <w:pPr>
              <w:rPr>
                <w:rFonts w:hint="default" w:ascii="Times New Roman" w:hAnsi="Times New Roman" w:eastAsia="宋体" w:cs="Times New Roman"/>
                <w:b w:val="0"/>
                <w:bCs w:val="0"/>
                <w:i w:val="0"/>
                <w:iCs w:val="0"/>
                <w:color w:val="000000"/>
                <w:sz w:val="24"/>
                <w:szCs w:val="24"/>
                <w:u w:val="none"/>
              </w:rPr>
            </w:pPr>
          </w:p>
        </w:tc>
      </w:tr>
      <w:tr w14:paraId="6211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ED299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22</w:t>
            </w:r>
          </w:p>
        </w:tc>
        <w:tc>
          <w:tcPr>
            <w:tcW w:w="1080" w:type="dxa"/>
            <w:vMerge w:val="continue"/>
            <w:tcBorders>
              <w:left w:val="single" w:color="000000" w:sz="4" w:space="0"/>
              <w:right w:val="single" w:color="000000" w:sz="4" w:space="0"/>
            </w:tcBorders>
            <w:noWrap w:val="0"/>
            <w:vAlign w:val="center"/>
          </w:tcPr>
          <w:p w14:paraId="5C3AC252">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left w:val="single" w:color="000000" w:sz="4" w:space="0"/>
              <w:bottom w:val="single" w:color="000000" w:sz="4" w:space="0"/>
              <w:right w:val="single" w:color="000000" w:sz="4" w:space="0"/>
            </w:tcBorders>
            <w:noWrap w:val="0"/>
            <w:vAlign w:val="center"/>
          </w:tcPr>
          <w:p w14:paraId="79CD6156">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09F2E69">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核查医疗机构向医保部门联网传输相关数据的条件（6分）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2D773862">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按实际工作进程确定需联网传输的项目，每缺1项扣1分。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AB70B96">
            <w:pPr>
              <w:rPr>
                <w:rFonts w:hint="default" w:ascii="Times New Roman" w:hAnsi="Times New Roman" w:eastAsia="宋体" w:cs="Times New Roman"/>
                <w:b w:val="0"/>
                <w:bCs w:val="0"/>
                <w:i w:val="0"/>
                <w:iCs w:val="0"/>
                <w:color w:val="000000"/>
                <w:sz w:val="24"/>
                <w:szCs w:val="24"/>
                <w:u w:val="none"/>
              </w:rPr>
            </w:pPr>
          </w:p>
        </w:tc>
      </w:tr>
      <w:tr w14:paraId="5992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79E8F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23</w:t>
            </w:r>
          </w:p>
        </w:tc>
        <w:tc>
          <w:tcPr>
            <w:tcW w:w="1080" w:type="dxa"/>
            <w:vMerge w:val="continue"/>
            <w:tcBorders>
              <w:left w:val="single" w:color="000000" w:sz="4" w:space="0"/>
              <w:right w:val="single" w:color="000000" w:sz="4" w:space="0"/>
            </w:tcBorders>
            <w:noWrap w:val="0"/>
            <w:vAlign w:val="center"/>
          </w:tcPr>
          <w:p w14:paraId="2F0FBF10">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47C39E">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其他事项  (26分)</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CF3D379">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核查医疗机构药械进销存管理情况（10分）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444164D3">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抽查部分药械进销存记录与库存是否相符，有1种及以上药械进销存比率差异在+/-5%以上的不得分。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61F6D44">
            <w:pPr>
              <w:rPr>
                <w:rFonts w:hint="default" w:ascii="Times New Roman" w:hAnsi="Times New Roman" w:eastAsia="宋体" w:cs="Times New Roman"/>
                <w:b w:val="0"/>
                <w:bCs w:val="0"/>
                <w:i w:val="0"/>
                <w:iCs w:val="0"/>
                <w:color w:val="000000"/>
                <w:sz w:val="24"/>
                <w:szCs w:val="24"/>
                <w:u w:val="none"/>
              </w:rPr>
            </w:pPr>
          </w:p>
        </w:tc>
      </w:tr>
      <w:tr w14:paraId="188E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0CC3A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w:t>
            </w:r>
          </w:p>
        </w:tc>
        <w:tc>
          <w:tcPr>
            <w:tcW w:w="1080" w:type="dxa"/>
            <w:vMerge w:val="continue"/>
            <w:tcBorders>
              <w:left w:val="single" w:color="000000" w:sz="4" w:space="0"/>
              <w:right w:val="single" w:color="000000" w:sz="4" w:space="0"/>
            </w:tcBorders>
            <w:noWrap w:val="0"/>
            <w:vAlign w:val="center"/>
          </w:tcPr>
          <w:p w14:paraId="548798A9">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69E50">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F214FC6">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物价公示及政策执行情况（8分）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0BE4B243">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设立公示屏（牌）及时向公众公示药品和医疗服务价格信息（3分）；随机抽查相关收费（5分），有1项及以上不符合的不得分，非公立医疗机构药品和耗材销售价格高于同等级公立医疗机构价格水平的不得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5544CCE">
            <w:pPr>
              <w:rPr>
                <w:rFonts w:hint="default" w:ascii="Times New Roman" w:hAnsi="Times New Roman" w:eastAsia="宋体" w:cs="Times New Roman"/>
                <w:b w:val="0"/>
                <w:bCs w:val="0"/>
                <w:i w:val="0"/>
                <w:iCs w:val="0"/>
                <w:color w:val="000000"/>
                <w:sz w:val="24"/>
                <w:szCs w:val="24"/>
                <w:u w:val="none"/>
              </w:rPr>
            </w:pPr>
          </w:p>
        </w:tc>
      </w:tr>
      <w:tr w14:paraId="2B1E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BFC31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w:t>
            </w:r>
          </w:p>
        </w:tc>
        <w:tc>
          <w:tcPr>
            <w:tcW w:w="1080" w:type="dxa"/>
            <w:vMerge w:val="continue"/>
            <w:tcBorders>
              <w:left w:val="single" w:color="000000" w:sz="4" w:space="0"/>
              <w:bottom w:val="single" w:color="000000" w:sz="4" w:space="0"/>
              <w:right w:val="single" w:color="000000" w:sz="4" w:space="0"/>
            </w:tcBorders>
            <w:noWrap w:val="0"/>
            <w:vAlign w:val="center"/>
          </w:tcPr>
          <w:p w14:paraId="34E4832C">
            <w:pPr>
              <w:jc w:val="center"/>
              <w:rPr>
                <w:rFonts w:hint="default" w:ascii="Times New Roman" w:hAnsi="Times New Roman" w:eastAsia="仿宋" w:cs="Times New Roman"/>
                <w:b w:val="0"/>
                <w:bCs w:val="0"/>
                <w:i w:val="0"/>
                <w:iCs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4E9E">
            <w:pPr>
              <w:jc w:val="center"/>
              <w:rPr>
                <w:rFonts w:hint="default" w:ascii="Times New Roman" w:hAnsi="Times New Roman" w:eastAsia="仿宋" w:cs="Times New Roman"/>
                <w:b w:val="0"/>
                <w:bCs w:val="0"/>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DC8CC89">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核查医疗机构向患者提供医疗服务清单情况（8分）</w:t>
            </w:r>
          </w:p>
        </w:tc>
        <w:tc>
          <w:tcPr>
            <w:tcW w:w="6405" w:type="dxa"/>
            <w:gridSpan w:val="2"/>
            <w:tcBorders>
              <w:top w:val="single" w:color="000000" w:sz="4" w:space="0"/>
              <w:left w:val="single" w:color="000000" w:sz="4" w:space="0"/>
              <w:bottom w:val="single" w:color="000000" w:sz="4" w:space="0"/>
              <w:right w:val="single" w:color="000000" w:sz="4" w:space="0"/>
            </w:tcBorders>
            <w:noWrap w:val="0"/>
            <w:vAlign w:val="center"/>
          </w:tcPr>
          <w:p w14:paraId="79A241FA">
            <w:pPr>
              <w:keepNext w:val="0"/>
              <w:keepLines w:val="0"/>
              <w:widowControl/>
              <w:suppressLineNumbers w:val="0"/>
              <w:jc w:val="both"/>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核查是否按规定向患者提供药品、检查、治疗收费清单，自费项目是否经患者(或近亲属、监护人)同意并签字确认存档。未向患者提供相关收费清单的，扣4分，自费项目未经患者同意签字确认的，扣4分。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3A5CDAD">
            <w:pPr>
              <w:rPr>
                <w:rFonts w:hint="default" w:ascii="Times New Roman" w:hAnsi="Times New Roman" w:eastAsia="宋体" w:cs="Times New Roman"/>
                <w:b w:val="0"/>
                <w:bCs w:val="0"/>
                <w:i w:val="0"/>
                <w:iCs w:val="0"/>
                <w:color w:val="000000"/>
                <w:sz w:val="24"/>
                <w:szCs w:val="24"/>
                <w:u w:val="none"/>
              </w:rPr>
            </w:pPr>
          </w:p>
        </w:tc>
      </w:tr>
      <w:tr w14:paraId="5BB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30" w:type="dxa"/>
            <w:gridSpan w:val="7"/>
            <w:tcBorders>
              <w:top w:val="single" w:color="000000" w:sz="4" w:space="0"/>
              <w:left w:val="single" w:color="000000" w:sz="4" w:space="0"/>
              <w:bottom w:val="single" w:color="000000" w:sz="4" w:space="0"/>
              <w:right w:val="single" w:color="000000" w:sz="4" w:space="0"/>
            </w:tcBorders>
            <w:noWrap w:val="0"/>
            <w:vAlign w:val="center"/>
          </w:tcPr>
          <w:p w14:paraId="38BE1209">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合格 </w:t>
            </w:r>
            <w:r>
              <w:rPr>
                <w:rStyle w:val="7"/>
                <w:rFonts w:hint="default" w:ascii="Times New Roman" w:hAnsi="Times New Roman" w:eastAsia="仿宋" w:cs="Times New Roman"/>
                <w:b w:val="0"/>
                <w:bCs w:val="0"/>
                <w:color w:val="000000"/>
                <w:sz w:val="24"/>
                <w:szCs w:val="24"/>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 xml:space="preserve"> </w:t>
            </w:r>
            <w:r>
              <w:rPr>
                <w:rStyle w:val="8"/>
                <w:rFonts w:hint="default" w:ascii="Times New Roman" w:hAnsi="Times New Roman" w:eastAsia="仿宋" w:cs="Times New Roman"/>
                <w:b w:val="0"/>
                <w:bCs w:val="0"/>
                <w:color w:val="000000"/>
                <w:sz w:val="24"/>
                <w:szCs w:val="24"/>
                <w:lang w:val="en-US" w:eastAsia="zh-CN" w:bidi="ar"/>
              </w:rPr>
              <w:t>/</w:t>
            </w:r>
            <w:r>
              <w:rPr>
                <w:rFonts w:hint="default" w:ascii="Times New Roman" w:hAnsi="Times New Roman" w:eastAsia="仿宋" w:cs="Times New Roman"/>
                <w:b w:val="0"/>
                <w:bCs w:val="0"/>
                <w:i w:val="0"/>
                <w:iCs w:val="0"/>
                <w:color w:val="000000"/>
                <w:kern w:val="0"/>
                <w:sz w:val="24"/>
                <w:szCs w:val="24"/>
                <w:u w:val="none"/>
                <w:lang w:val="en-US" w:eastAsia="zh-CN" w:bidi="ar"/>
              </w:rPr>
              <w:t xml:space="preserve">不合格 </w:t>
            </w:r>
            <w:r>
              <w:rPr>
                <w:rStyle w:val="7"/>
                <w:rFonts w:hint="default" w:ascii="Times New Roman" w:hAnsi="Times New Roman" w:eastAsia="仿宋" w:cs="Times New Roman"/>
                <w:b w:val="0"/>
                <w:bCs w:val="0"/>
                <w:color w:val="000000"/>
                <w:sz w:val="24"/>
                <w:szCs w:val="24"/>
                <w:lang w:val="en-US" w:eastAsia="zh-CN" w:bidi="ar"/>
              </w:rPr>
              <w:t>□</w:t>
            </w:r>
          </w:p>
        </w:tc>
      </w:tr>
      <w:tr w14:paraId="7396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030" w:type="dxa"/>
            <w:gridSpan w:val="7"/>
            <w:tcBorders>
              <w:top w:val="single" w:color="000000" w:sz="4" w:space="0"/>
              <w:left w:val="single" w:color="000000" w:sz="4" w:space="0"/>
              <w:bottom w:val="single" w:color="000000" w:sz="4" w:space="0"/>
              <w:right w:val="single" w:color="000000" w:sz="4" w:space="0"/>
            </w:tcBorders>
            <w:noWrap w:val="0"/>
            <w:vAlign w:val="center"/>
          </w:tcPr>
          <w:p w14:paraId="4F0B9CC0">
            <w:pPr>
              <w:jc w:val="both"/>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备注：</w:t>
            </w:r>
          </w:p>
        </w:tc>
      </w:tr>
      <w:tr w14:paraId="79D5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5030" w:type="dxa"/>
            <w:gridSpan w:val="7"/>
            <w:tcBorders>
              <w:top w:val="nil"/>
              <w:left w:val="nil"/>
              <w:bottom w:val="nil"/>
              <w:right w:val="nil"/>
            </w:tcBorders>
            <w:noWrap w:val="0"/>
            <w:vAlign w:val="center"/>
          </w:tcPr>
          <w:p w14:paraId="25DDB97C">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说明：1.基本条件评定设置符合或不符合事项，任一项不符合即为不合格。2.综合指标评分项目总分100分，合格分数线为90分。</w:t>
            </w:r>
          </w:p>
        </w:tc>
      </w:tr>
      <w:tr w14:paraId="7286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7"/>
            <w:tcBorders>
              <w:top w:val="nil"/>
              <w:left w:val="nil"/>
              <w:bottom w:val="nil"/>
              <w:right w:val="nil"/>
            </w:tcBorders>
            <w:noWrap/>
            <w:vAlign w:val="center"/>
          </w:tcPr>
          <w:p w14:paraId="12C29C54">
            <w:pPr>
              <w:keepNext w:val="0"/>
              <w:keepLines w:val="0"/>
              <w:widowControl/>
              <w:suppressLineNumbers w:val="0"/>
              <w:jc w:val="left"/>
              <w:textAlignment w:val="center"/>
              <w:rPr>
                <w:rFonts w:hint="default" w:ascii="Times New Roman" w:hAnsi="Times New Roman" w:eastAsia="仿宋" w:cs="Times New Roman"/>
                <w:b w:val="0"/>
                <w:bCs w:val="0"/>
                <w:i w:val="0"/>
                <w:iCs w:val="0"/>
                <w:color w:val="000000"/>
                <w:sz w:val="24"/>
                <w:szCs w:val="24"/>
                <w:u w:val="none"/>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评估小组组长：                               评估人员：                       </w:t>
            </w:r>
          </w:p>
        </w:tc>
      </w:tr>
    </w:tbl>
    <w:p w14:paraId="1AC9E51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71656"/>
    <w:rsid w:val="68E7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customStyle="1" w:styleId="7">
    <w:name w:val="font171"/>
    <w:basedOn w:val="5"/>
    <w:uiPriority w:val="0"/>
    <w:rPr>
      <w:rFonts w:hint="default" w:ascii="Times New Roman" w:hAnsi="Times New Roman" w:cs="Times New Roman"/>
      <w:color w:val="000000"/>
      <w:sz w:val="52"/>
      <w:szCs w:val="52"/>
      <w:u w:val="none"/>
    </w:rPr>
  </w:style>
  <w:style w:type="character" w:customStyle="1" w:styleId="8">
    <w:name w:val="font181"/>
    <w:basedOn w:val="5"/>
    <w:uiPriority w:val="0"/>
    <w:rPr>
      <w:rFonts w:hint="default" w:ascii="Times New Roman" w:hAnsi="Times New Roman" w:cs="Times New Roman"/>
      <w:color w:val="000000"/>
      <w:sz w:val="44"/>
      <w:szCs w:val="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2025-06-03T06:58:00Z</dcterms:created>
  <dc:creator>谭爽Tanya</dc:creator>
  <cp:lastModifiedBy>谭爽Tanya</cp:lastModifiedBy>
  <dcterms:modified xsi:type="dcterms:W3CDTF">2025-06-03T07:00:51Z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3F3DB088F3044F66BA7DA07B437E873B_11</vt:lpwstr>
  </property>
  <property fmtid="{D5CDD505-2E9C-101B-9397-08002B2CF9AE}" pid="4" name="KSOTemplateDocerSaveRecord">
    <vt:lpwstr>eyJoZGlkIjoiMTk4ZjMzZGVlMjFmZmVkMTk0NDc5ZTk2MjE2OGYyMDYiLCJ1c2VySWQiOiI3ODk2Njc5MjcifQ==</vt:lpwstr>
  </property>
</Properties>
</file>