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6C112">
      <w:pPr>
        <w:spacing w:before="150" w:line="219" w:lineRule="auto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四川省医疗保障局</w:t>
      </w:r>
    </w:p>
    <w:p w14:paraId="5EDADB3E">
      <w:pPr>
        <w:spacing w:before="144" w:line="219" w:lineRule="auto"/>
        <w:ind w:left="723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关于将电子耳蜗植入术和人工耳蜗纳入</w:t>
      </w:r>
    </w:p>
    <w:p w14:paraId="7BBEA589">
      <w:pPr>
        <w:spacing w:before="41" w:line="219" w:lineRule="auto"/>
        <w:ind w:left="1583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基本医疗保险支付范围的通知</w:t>
      </w:r>
    </w:p>
    <w:p w14:paraId="46623115">
      <w:pPr>
        <w:spacing w:line="289" w:lineRule="auto"/>
        <w:rPr>
          <w:rFonts w:ascii="Arial"/>
          <w:sz w:val="21"/>
        </w:rPr>
      </w:pPr>
    </w:p>
    <w:p w14:paraId="6B0D6713">
      <w:pPr>
        <w:spacing w:line="289" w:lineRule="auto"/>
        <w:rPr>
          <w:rFonts w:ascii="Arial"/>
          <w:sz w:val="21"/>
        </w:rPr>
      </w:pPr>
    </w:p>
    <w:p w14:paraId="7AC0237B">
      <w:pPr>
        <w:pStyle w:val="2"/>
        <w:spacing w:before="100" w:line="221" w:lineRule="auto"/>
        <w:ind w:left="27"/>
      </w:pPr>
      <w:r>
        <w:rPr>
          <w:spacing w:val="17"/>
        </w:rPr>
        <w:t>各市(州)医疗保障局，省医疗保障事务中心：</w:t>
      </w:r>
    </w:p>
    <w:p w14:paraId="5E830097">
      <w:pPr>
        <w:spacing w:before="101" w:line="223" w:lineRule="auto"/>
        <w:ind w:firstLine="688" w:firstLineChars="200"/>
        <w:outlineLvl w:val="2"/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为贯彻落实《中共中央国务院关于深化医疗保障制度改革 的意见》、《国家医保局等八部委关于开展国家组织高值医用耗 材集中带量采购和使用的指导意见》精神，进一步提升我省医疗 保障水平，满足参保人员多层次的就医需求，减轻其医疗费用负 担，经专家评审，决定将医疗服务价格项目电子耳蜗植入术和医 用耗材人工耳蜗纳入基本医疗保险支付范围，现将有关事项通知 如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  <w:t>下：</w:t>
      </w:r>
    </w:p>
    <w:p w14:paraId="359AF1C9">
      <w:pPr>
        <w:spacing w:before="101" w:line="223" w:lineRule="auto"/>
        <w:ind w:firstLine="634" w:firstLineChars="20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一、支付范围</w:t>
      </w:r>
    </w:p>
    <w:p w14:paraId="5561B1A5">
      <w:pPr>
        <w:pStyle w:val="2"/>
        <w:spacing w:before="226" w:line="340" w:lineRule="auto"/>
        <w:ind w:right="23" w:firstLine="639"/>
        <w:jc w:val="both"/>
      </w:pPr>
      <w:r>
        <w:rPr>
          <w:spacing w:val="14"/>
        </w:rPr>
        <w:t>将医疗服务价格项目“电子耳蜗植入术”和直接用于</w:t>
      </w:r>
      <w:r>
        <w:rPr>
          <w:spacing w:val="13"/>
        </w:rPr>
        <w:t>手术</w:t>
      </w:r>
      <w:r>
        <w:t xml:space="preserve"> </w:t>
      </w:r>
      <w:r>
        <w:rPr>
          <w:spacing w:val="13"/>
        </w:rPr>
        <w:t>的医用耗材“人工耳蜗类(含植入体、言语处理器)”纳入基本</w:t>
      </w:r>
      <w:r>
        <w:rPr>
          <w:spacing w:val="3"/>
        </w:rPr>
        <w:t xml:space="preserve"> </w:t>
      </w:r>
      <w:r>
        <w:rPr>
          <w:spacing w:val="1"/>
        </w:rPr>
        <w:t>医疗保险支付范围，按乙类管理，各地医疗保障行政部门要根据</w:t>
      </w:r>
      <w:r>
        <w:rPr>
          <w:spacing w:val="11"/>
        </w:rPr>
        <w:t xml:space="preserve"> </w:t>
      </w:r>
      <w:r>
        <w:rPr>
          <w:spacing w:val="1"/>
        </w:rPr>
        <w:t>当地实际合理确定具体的个人自付比例。</w:t>
      </w:r>
    </w:p>
    <w:p w14:paraId="0FCFE924">
      <w:pPr>
        <w:spacing w:before="11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二、适用人群</w:t>
      </w:r>
    </w:p>
    <w:p w14:paraId="554EC591">
      <w:pPr>
        <w:pStyle w:val="2"/>
        <w:spacing w:before="200" w:line="343" w:lineRule="auto"/>
        <w:ind w:right="20" w:firstLine="639"/>
        <w:jc w:val="both"/>
      </w:pPr>
      <w:r>
        <w:rPr>
          <w:spacing w:val="1"/>
        </w:rPr>
        <w:t>我省职工基本医疗保险、城乡居民基本医疗保险参保人经相</w:t>
      </w:r>
      <w:r>
        <w:rPr>
          <w:spacing w:val="6"/>
        </w:rPr>
        <w:t xml:space="preserve"> </w:t>
      </w:r>
      <w:r>
        <w:rPr>
          <w:spacing w:val="2"/>
        </w:rPr>
        <w:t>关专业医疗机构评估，确诊为双侧重度或极重度耳聋，配戴助听</w:t>
      </w:r>
      <w:r>
        <w:rPr>
          <w:spacing w:val="5"/>
        </w:rPr>
        <w:t xml:space="preserve"> </w:t>
      </w:r>
      <w:r>
        <w:rPr>
          <w:spacing w:val="2"/>
        </w:rPr>
        <w:t>器或借助其他助听装置无法改善听力和言语理解力，且符合人工</w:t>
      </w:r>
      <w:r>
        <w:rPr>
          <w:spacing w:val="3"/>
        </w:rPr>
        <w:t xml:space="preserve"> </w:t>
      </w:r>
      <w:r>
        <w:t>耳蜗植入手术适应症的患者。</w:t>
      </w:r>
    </w:p>
    <w:p w14:paraId="73F90AB7">
      <w:pPr>
        <w:spacing w:before="1" w:line="223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三、支付标准</w:t>
      </w:r>
    </w:p>
    <w:p w14:paraId="123BBEB9">
      <w:pPr>
        <w:pStyle w:val="2"/>
        <w:spacing w:before="221" w:line="340" w:lineRule="auto"/>
        <w:ind w:firstLine="655"/>
        <w:jc w:val="both"/>
      </w:pPr>
      <w:r>
        <w:rPr>
          <w:spacing w:val="2"/>
        </w:rPr>
        <w:t>“人工耳蜗”中选产品按中选价格为支付标准，</w:t>
      </w:r>
      <w:r>
        <w:rPr>
          <w:spacing w:val="1"/>
        </w:rPr>
        <w:t>纳入医保支</w:t>
      </w:r>
      <w:r>
        <w:t xml:space="preserve"> </w:t>
      </w:r>
      <w:r>
        <w:rPr>
          <w:spacing w:val="2"/>
        </w:rPr>
        <w:t>付范围，医保基金按规定比例支付。非中选产品价格不高于类别</w:t>
      </w:r>
      <w:r>
        <w:rPr>
          <w:spacing w:val="3"/>
        </w:rPr>
        <w:t xml:space="preserve"> </w:t>
      </w:r>
      <w:r>
        <w:rPr>
          <w:spacing w:val="2"/>
        </w:rPr>
        <w:t>相同、功能相近中选产品最高中选价格的，以非中选产品实际价</w:t>
      </w:r>
      <w:r>
        <w:rPr>
          <w:spacing w:val="3"/>
        </w:rPr>
        <w:t xml:space="preserve"> </w:t>
      </w:r>
      <w:r>
        <w:rPr>
          <w:spacing w:val="2"/>
        </w:rPr>
        <w:t>格作为医保支付标准，医保基金据实按规定支付；非中选产品价</w:t>
      </w:r>
      <w:r>
        <w:rPr>
          <w:spacing w:val="3"/>
        </w:rPr>
        <w:t xml:space="preserve"> </w:t>
      </w:r>
      <w:r>
        <w:rPr>
          <w:spacing w:val="2"/>
        </w:rPr>
        <w:t>格高于类别相同、功能相近中选产品最高中选价格的，以中选产</w:t>
      </w:r>
      <w:r>
        <w:rPr>
          <w:spacing w:val="15"/>
        </w:rPr>
        <w:t xml:space="preserve"> </w:t>
      </w:r>
      <w:r>
        <w:rPr>
          <w:spacing w:val="1"/>
        </w:rPr>
        <w:t>品的最高中选价格为医保支付标准，医保基金按规定</w:t>
      </w:r>
      <w:r>
        <w:t>支付，超出 支付标准的部分由患者自付。</w:t>
      </w:r>
    </w:p>
    <w:p w14:paraId="17E679BD">
      <w:pPr>
        <w:spacing w:before="32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四、工作要求</w:t>
      </w:r>
    </w:p>
    <w:p w14:paraId="121B1CBB">
      <w:pPr>
        <w:pStyle w:val="2"/>
        <w:spacing w:before="204" w:line="351" w:lineRule="auto"/>
        <w:ind w:right="1" w:firstLine="639"/>
        <w:jc w:val="both"/>
      </w:pPr>
      <w:r>
        <w:rPr>
          <w:spacing w:val="15"/>
        </w:rPr>
        <w:t>各地要切实做好“电子耳蜗植入术”和“人工</w:t>
      </w:r>
      <w:r>
        <w:rPr>
          <w:spacing w:val="14"/>
        </w:rPr>
        <w:t>耳蜗”的基</w:t>
      </w:r>
      <w:r>
        <w:t xml:space="preserve"> </w:t>
      </w:r>
      <w:r>
        <w:rPr>
          <w:spacing w:val="2"/>
        </w:rPr>
        <w:t>金支付工作，指导定点医疗机构按照行业权威指南规范诊疗，优</w:t>
      </w:r>
      <w:r>
        <w:rPr>
          <w:spacing w:val="11"/>
        </w:rPr>
        <w:t xml:space="preserve"> </w:t>
      </w:r>
      <w:r>
        <w:rPr>
          <w:spacing w:val="14"/>
        </w:rPr>
        <w:t>先使用中选的人工耳蜗耗材产品，及时做好项目和耗材信息匹</w:t>
      </w:r>
    </w:p>
    <w:p w14:paraId="4A9E0B06">
      <w:pPr>
        <w:pStyle w:val="2"/>
        <w:spacing w:before="98" w:line="351" w:lineRule="auto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 xml:space="preserve">配，确保待遇支付结算。“电子耳蜗植入术”异地就医费用手工 </w:t>
      </w:r>
      <w:r>
        <w:rPr>
          <w:spacing w:val="23"/>
          <w:sz w:val="30"/>
          <w:szCs w:val="30"/>
        </w:rPr>
        <w:t>(零星)报销时，若参保地未制定该项目收费标准，则暂按照就</w:t>
      </w:r>
      <w:r>
        <w:rPr>
          <w:spacing w:val="1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医地收费标准执行。加强政策宣传，合理引导参保患者省内就医，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减轻经济负担。</w:t>
      </w:r>
    </w:p>
    <w:p w14:paraId="7935528B">
      <w:pPr>
        <w:pStyle w:val="2"/>
        <w:spacing w:before="48" w:line="345" w:lineRule="auto"/>
        <w:ind w:right="62" w:firstLine="619"/>
        <w:rPr>
          <w:sz w:val="30"/>
          <w:szCs w:val="30"/>
        </w:rPr>
      </w:pPr>
      <w:r>
        <w:rPr>
          <w:spacing w:val="40"/>
          <w:sz w:val="30"/>
          <w:szCs w:val="30"/>
        </w:rPr>
        <w:t>本通知自2025年6月1日起执行，有效期5年。人工耳蜗</w:t>
      </w:r>
      <w:r>
        <w:rPr>
          <w:spacing w:val="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医用耗材支付政策根据国家集采等相关政策适时调整。</w:t>
      </w:r>
    </w:p>
    <w:p w14:paraId="52837BBB">
      <w:pPr>
        <w:spacing w:line="281" w:lineRule="auto"/>
        <w:rPr>
          <w:rFonts w:ascii="Arial"/>
          <w:sz w:val="21"/>
        </w:rPr>
      </w:pPr>
    </w:p>
    <w:p w14:paraId="3C1EAEAA">
      <w:pPr>
        <w:spacing w:line="281" w:lineRule="auto"/>
        <w:rPr>
          <w:rFonts w:ascii="Arial"/>
          <w:sz w:val="21"/>
        </w:rPr>
      </w:pPr>
    </w:p>
    <w:p w14:paraId="73D09517">
      <w:pPr>
        <w:spacing w:line="281" w:lineRule="auto"/>
        <w:rPr>
          <w:rFonts w:ascii="Arial"/>
          <w:sz w:val="21"/>
        </w:rPr>
      </w:pPr>
    </w:p>
    <w:p w14:paraId="4EE0D6ED">
      <w:pPr>
        <w:spacing w:line="281" w:lineRule="auto"/>
        <w:rPr>
          <w:rFonts w:ascii="Arial"/>
          <w:sz w:val="21"/>
        </w:rPr>
      </w:pPr>
    </w:p>
    <w:p w14:paraId="5BD72E3B">
      <w:pPr>
        <w:pStyle w:val="2"/>
        <w:spacing w:before="98" w:line="221" w:lineRule="auto"/>
        <w:ind w:left="5099"/>
        <w:rPr>
          <w:sz w:val="30"/>
          <w:szCs w:val="30"/>
        </w:rPr>
      </w:pPr>
      <w:r>
        <w:rPr>
          <w:spacing w:val="7"/>
          <w:sz w:val="30"/>
          <w:szCs w:val="30"/>
        </w:rPr>
        <w:t>四川省医疗保障局</w:t>
      </w:r>
      <w:bookmarkStart w:id="0" w:name="_GoBack"/>
      <w:bookmarkEnd w:id="0"/>
    </w:p>
    <w:p w14:paraId="366A88B8">
      <w:pPr>
        <w:pStyle w:val="2"/>
        <w:spacing w:before="233" w:line="222" w:lineRule="auto"/>
        <w:ind w:left="5059"/>
        <w:rPr>
          <w:sz w:val="30"/>
          <w:szCs w:val="30"/>
        </w:rPr>
      </w:pPr>
      <w:r>
        <w:rPr>
          <w:spacing w:val="41"/>
          <w:w w:val="104"/>
          <w:sz w:val="30"/>
          <w:szCs w:val="30"/>
        </w:rPr>
        <w:t>2025年4月28日</w:t>
      </w:r>
    </w:p>
    <w:p w14:paraId="44F67F22">
      <w:pPr>
        <w:spacing w:line="222" w:lineRule="auto"/>
        <w:rPr>
          <w:sz w:val="30"/>
          <w:szCs w:val="30"/>
        </w:rPr>
        <w:sectPr>
          <w:headerReference r:id="rId5" w:type="default"/>
          <w:footerReference r:id="rId6" w:type="default"/>
          <w:pgSz w:w="11900" w:h="16830"/>
          <w:pgMar w:top="400" w:right="1379" w:bottom="1927" w:left="1700" w:header="0" w:footer="1538" w:gutter="0"/>
          <w:cols w:space="720" w:num="1"/>
        </w:sectPr>
      </w:pPr>
    </w:p>
    <w:p w14:paraId="37F07693">
      <w:pPr>
        <w:spacing w:line="351" w:lineRule="auto"/>
        <w:sectPr>
          <w:headerReference r:id="rId7" w:type="default"/>
          <w:footerReference r:id="rId8" w:type="default"/>
          <w:pgSz w:w="11900" w:h="16830"/>
          <w:pgMar w:top="400" w:right="1356" w:bottom="1961" w:left="1780" w:header="0" w:footer="1609" w:gutter="0"/>
          <w:cols w:space="720" w:num="1"/>
        </w:sectPr>
      </w:pPr>
    </w:p>
    <w:p w14:paraId="3312064A">
      <w:pPr>
        <w:pStyle w:val="2"/>
        <w:spacing w:before="219" w:line="340" w:lineRule="auto"/>
        <w:ind w:left="27" w:right="69" w:firstLine="659"/>
        <w:jc w:val="both"/>
        <w:rPr>
          <w:rFonts w:hint="eastAsia" w:eastAsia="仿宋"/>
          <w:lang w:eastAsia="zh-CN"/>
        </w:rPr>
        <w:sectPr>
          <w:headerReference r:id="rId9" w:type="default"/>
          <w:footerReference r:id="rId10" w:type="default"/>
          <w:pgSz w:w="11900" w:h="16830"/>
          <w:pgMar w:top="1880" w:right="1554" w:bottom="1913" w:left="1502" w:header="1766" w:footer="1574" w:gutter="0"/>
          <w:cols w:space="720" w:num="1"/>
        </w:sectPr>
      </w:pPr>
    </w:p>
    <w:p w14:paraId="4009DE0E">
      <w:pPr>
        <w:spacing w:line="266" w:lineRule="auto"/>
        <w:rPr>
          <w:rFonts w:ascii="Arial"/>
          <w:sz w:val="21"/>
        </w:rPr>
      </w:pPr>
    </w:p>
    <w:p w14:paraId="22308404">
      <w:pPr>
        <w:spacing w:line="266" w:lineRule="auto"/>
        <w:rPr>
          <w:rFonts w:ascii="Arial"/>
          <w:sz w:val="21"/>
        </w:rPr>
      </w:pPr>
    </w:p>
    <w:p w14:paraId="044BE5ED">
      <w:pPr>
        <w:spacing w:line="266" w:lineRule="auto"/>
        <w:rPr>
          <w:rFonts w:ascii="Arial"/>
          <w:sz w:val="21"/>
        </w:rPr>
      </w:pPr>
    </w:p>
    <w:p w14:paraId="63DBFC4C">
      <w:pPr>
        <w:spacing w:line="267" w:lineRule="auto"/>
        <w:rPr>
          <w:rFonts w:ascii="Arial"/>
          <w:sz w:val="21"/>
        </w:rPr>
      </w:pPr>
    </w:p>
    <w:p w14:paraId="6C96E625">
      <w:pPr>
        <w:spacing w:line="267" w:lineRule="auto"/>
        <w:rPr>
          <w:rFonts w:ascii="Arial"/>
          <w:sz w:val="21"/>
        </w:rPr>
      </w:pPr>
    </w:p>
    <w:p w14:paraId="5E859CF6">
      <w:pPr>
        <w:spacing w:line="267" w:lineRule="auto"/>
        <w:rPr>
          <w:rFonts w:ascii="Arial"/>
          <w:sz w:val="21"/>
        </w:rPr>
      </w:pPr>
    </w:p>
    <w:p w14:paraId="79E8D5DE">
      <w:pPr>
        <w:spacing w:line="241" w:lineRule="auto"/>
        <w:rPr>
          <w:rFonts w:ascii="Arial"/>
          <w:sz w:val="21"/>
        </w:rPr>
      </w:pPr>
    </w:p>
    <w:p w14:paraId="1F9FB9FC">
      <w:pPr>
        <w:spacing w:line="241" w:lineRule="auto"/>
        <w:rPr>
          <w:rFonts w:ascii="Arial"/>
          <w:sz w:val="21"/>
        </w:rPr>
      </w:pPr>
    </w:p>
    <w:p w14:paraId="6972204F">
      <w:pPr>
        <w:spacing w:line="241" w:lineRule="auto"/>
        <w:rPr>
          <w:rFonts w:ascii="Arial"/>
          <w:sz w:val="21"/>
        </w:rPr>
      </w:pPr>
    </w:p>
    <w:p w14:paraId="5ABB9BB4">
      <w:pPr>
        <w:spacing w:line="241" w:lineRule="auto"/>
        <w:rPr>
          <w:rFonts w:ascii="Arial"/>
          <w:sz w:val="21"/>
        </w:rPr>
      </w:pPr>
    </w:p>
    <w:p w14:paraId="53BF6611">
      <w:pPr>
        <w:spacing w:line="241" w:lineRule="auto"/>
        <w:rPr>
          <w:rFonts w:ascii="Arial"/>
          <w:sz w:val="21"/>
        </w:rPr>
      </w:pPr>
    </w:p>
    <w:p w14:paraId="7D17833A">
      <w:pPr>
        <w:spacing w:line="241" w:lineRule="auto"/>
        <w:rPr>
          <w:rFonts w:ascii="Arial"/>
          <w:sz w:val="21"/>
        </w:rPr>
      </w:pPr>
    </w:p>
    <w:p w14:paraId="3642A1E7">
      <w:pPr>
        <w:spacing w:line="241" w:lineRule="auto"/>
        <w:rPr>
          <w:rFonts w:ascii="Arial"/>
          <w:sz w:val="21"/>
        </w:rPr>
      </w:pPr>
    </w:p>
    <w:p w14:paraId="52E3ACC8">
      <w:pPr>
        <w:spacing w:line="241" w:lineRule="auto"/>
        <w:rPr>
          <w:rFonts w:ascii="Arial"/>
          <w:sz w:val="21"/>
        </w:rPr>
      </w:pPr>
    </w:p>
    <w:p w14:paraId="4EA93082">
      <w:pPr>
        <w:spacing w:line="241" w:lineRule="auto"/>
        <w:rPr>
          <w:rFonts w:ascii="Arial"/>
          <w:sz w:val="21"/>
        </w:rPr>
      </w:pPr>
    </w:p>
    <w:p w14:paraId="2F3CE017">
      <w:pPr>
        <w:spacing w:line="241" w:lineRule="auto"/>
        <w:rPr>
          <w:rFonts w:ascii="Arial"/>
          <w:sz w:val="21"/>
        </w:rPr>
      </w:pPr>
    </w:p>
    <w:p w14:paraId="19531E12">
      <w:pPr>
        <w:spacing w:line="241" w:lineRule="auto"/>
        <w:rPr>
          <w:rFonts w:ascii="Arial"/>
          <w:sz w:val="21"/>
        </w:rPr>
      </w:pPr>
    </w:p>
    <w:p w14:paraId="538CB547">
      <w:pPr>
        <w:spacing w:line="241" w:lineRule="auto"/>
        <w:rPr>
          <w:rFonts w:ascii="Arial"/>
          <w:sz w:val="21"/>
        </w:rPr>
      </w:pPr>
    </w:p>
    <w:p w14:paraId="20A431D9">
      <w:pPr>
        <w:spacing w:line="241" w:lineRule="auto"/>
        <w:rPr>
          <w:rFonts w:ascii="Arial"/>
          <w:sz w:val="21"/>
        </w:rPr>
      </w:pPr>
    </w:p>
    <w:p w14:paraId="29635CFE">
      <w:pPr>
        <w:spacing w:line="241" w:lineRule="auto"/>
        <w:rPr>
          <w:rFonts w:ascii="Arial"/>
          <w:sz w:val="21"/>
        </w:rPr>
      </w:pPr>
    </w:p>
    <w:p w14:paraId="1E0079CC">
      <w:pPr>
        <w:spacing w:line="241" w:lineRule="auto"/>
        <w:rPr>
          <w:rFonts w:ascii="Arial"/>
          <w:sz w:val="21"/>
        </w:rPr>
      </w:pPr>
    </w:p>
    <w:p w14:paraId="46E4B2D1">
      <w:pPr>
        <w:spacing w:line="241" w:lineRule="auto"/>
        <w:rPr>
          <w:rFonts w:ascii="Arial"/>
          <w:sz w:val="21"/>
        </w:rPr>
      </w:pPr>
    </w:p>
    <w:p w14:paraId="710EE6A9">
      <w:pPr>
        <w:spacing w:line="241" w:lineRule="auto"/>
        <w:rPr>
          <w:rFonts w:ascii="Arial"/>
          <w:sz w:val="21"/>
        </w:rPr>
      </w:pPr>
    </w:p>
    <w:p w14:paraId="161077FB">
      <w:pPr>
        <w:spacing w:line="241" w:lineRule="auto"/>
        <w:rPr>
          <w:rFonts w:ascii="Arial"/>
          <w:sz w:val="21"/>
        </w:rPr>
      </w:pPr>
    </w:p>
    <w:p w14:paraId="458C67F9">
      <w:pPr>
        <w:spacing w:line="241" w:lineRule="auto"/>
        <w:rPr>
          <w:rFonts w:ascii="Arial"/>
          <w:sz w:val="21"/>
        </w:rPr>
      </w:pPr>
    </w:p>
    <w:p w14:paraId="33699EA8">
      <w:pPr>
        <w:spacing w:line="241" w:lineRule="auto"/>
        <w:rPr>
          <w:rFonts w:ascii="Arial"/>
          <w:sz w:val="21"/>
        </w:rPr>
      </w:pPr>
    </w:p>
    <w:p w14:paraId="1EBD83D2">
      <w:pPr>
        <w:spacing w:line="241" w:lineRule="auto"/>
        <w:rPr>
          <w:rFonts w:ascii="Arial"/>
          <w:sz w:val="21"/>
        </w:rPr>
      </w:pPr>
    </w:p>
    <w:p w14:paraId="499B2B45">
      <w:pPr>
        <w:spacing w:line="241" w:lineRule="auto"/>
        <w:rPr>
          <w:rFonts w:ascii="Arial"/>
          <w:sz w:val="21"/>
        </w:rPr>
      </w:pPr>
    </w:p>
    <w:p w14:paraId="00CFE1DE">
      <w:pPr>
        <w:spacing w:line="241" w:lineRule="auto"/>
        <w:rPr>
          <w:rFonts w:ascii="Arial"/>
          <w:sz w:val="21"/>
        </w:rPr>
      </w:pPr>
    </w:p>
    <w:p w14:paraId="5734E368">
      <w:pPr>
        <w:spacing w:line="241" w:lineRule="auto"/>
        <w:rPr>
          <w:rFonts w:ascii="Arial"/>
          <w:sz w:val="21"/>
        </w:rPr>
      </w:pPr>
    </w:p>
    <w:p w14:paraId="57FADCA3">
      <w:pPr>
        <w:spacing w:line="241" w:lineRule="auto"/>
        <w:rPr>
          <w:rFonts w:ascii="Arial"/>
          <w:sz w:val="21"/>
        </w:rPr>
      </w:pPr>
    </w:p>
    <w:p w14:paraId="351AE0CF">
      <w:pPr>
        <w:spacing w:line="241" w:lineRule="auto"/>
        <w:rPr>
          <w:rFonts w:ascii="Arial"/>
          <w:sz w:val="21"/>
        </w:rPr>
      </w:pPr>
    </w:p>
    <w:p w14:paraId="0AA101C2">
      <w:pPr>
        <w:spacing w:line="241" w:lineRule="auto"/>
        <w:rPr>
          <w:rFonts w:ascii="Arial"/>
          <w:sz w:val="21"/>
        </w:rPr>
      </w:pPr>
    </w:p>
    <w:p w14:paraId="0528A533">
      <w:pPr>
        <w:spacing w:line="241" w:lineRule="auto"/>
        <w:rPr>
          <w:rFonts w:ascii="Arial"/>
          <w:sz w:val="21"/>
        </w:rPr>
      </w:pPr>
    </w:p>
    <w:p w14:paraId="47EA4083">
      <w:pPr>
        <w:spacing w:line="241" w:lineRule="auto"/>
        <w:rPr>
          <w:rFonts w:ascii="Arial"/>
          <w:sz w:val="21"/>
        </w:rPr>
      </w:pPr>
    </w:p>
    <w:p w14:paraId="05A45FA7">
      <w:pPr>
        <w:spacing w:line="241" w:lineRule="auto"/>
        <w:rPr>
          <w:rFonts w:ascii="Arial"/>
          <w:sz w:val="21"/>
        </w:rPr>
      </w:pPr>
    </w:p>
    <w:p w14:paraId="0B3A1841">
      <w:pPr>
        <w:spacing w:line="241" w:lineRule="auto"/>
        <w:rPr>
          <w:rFonts w:ascii="Arial"/>
          <w:sz w:val="21"/>
        </w:rPr>
      </w:pPr>
    </w:p>
    <w:p w14:paraId="3D74BC4D">
      <w:pPr>
        <w:spacing w:line="241" w:lineRule="auto"/>
        <w:rPr>
          <w:rFonts w:ascii="Arial"/>
          <w:sz w:val="21"/>
        </w:rPr>
      </w:pPr>
    </w:p>
    <w:p w14:paraId="5CAD73CE">
      <w:pPr>
        <w:spacing w:line="241" w:lineRule="auto"/>
        <w:rPr>
          <w:rFonts w:ascii="Arial"/>
          <w:sz w:val="21"/>
        </w:rPr>
      </w:pPr>
    </w:p>
    <w:p w14:paraId="7481C84E">
      <w:pPr>
        <w:spacing w:line="241" w:lineRule="auto"/>
        <w:rPr>
          <w:rFonts w:ascii="Arial"/>
          <w:sz w:val="21"/>
        </w:rPr>
      </w:pPr>
    </w:p>
    <w:p w14:paraId="670483C4">
      <w:pPr>
        <w:spacing w:line="241" w:lineRule="auto"/>
        <w:rPr>
          <w:rFonts w:ascii="Arial"/>
          <w:sz w:val="21"/>
        </w:rPr>
      </w:pPr>
    </w:p>
    <w:p w14:paraId="2F251260">
      <w:pPr>
        <w:spacing w:line="241" w:lineRule="auto"/>
        <w:rPr>
          <w:rFonts w:ascii="Arial"/>
          <w:sz w:val="21"/>
        </w:rPr>
      </w:pPr>
    </w:p>
    <w:p w14:paraId="467D4446">
      <w:pPr>
        <w:spacing w:line="241" w:lineRule="auto"/>
        <w:rPr>
          <w:rFonts w:ascii="Arial"/>
          <w:sz w:val="21"/>
        </w:rPr>
      </w:pPr>
    </w:p>
    <w:p w14:paraId="7BF67A82">
      <w:pPr>
        <w:spacing w:line="241" w:lineRule="auto"/>
        <w:rPr>
          <w:rFonts w:ascii="Arial"/>
          <w:sz w:val="21"/>
        </w:rPr>
      </w:pPr>
    </w:p>
    <w:p w14:paraId="000BD9B1">
      <w:pPr>
        <w:spacing w:line="242" w:lineRule="auto"/>
        <w:rPr>
          <w:rFonts w:ascii="Arial"/>
          <w:sz w:val="21"/>
        </w:rPr>
      </w:pPr>
    </w:p>
    <w:p w14:paraId="0CBA9549">
      <w:pPr>
        <w:spacing w:line="242" w:lineRule="auto"/>
        <w:rPr>
          <w:rFonts w:ascii="Arial"/>
          <w:sz w:val="21"/>
        </w:rPr>
      </w:pPr>
    </w:p>
    <w:p w14:paraId="516FCF8A">
      <w:pPr>
        <w:spacing w:line="242" w:lineRule="auto"/>
        <w:rPr>
          <w:rFonts w:ascii="Arial"/>
          <w:sz w:val="21"/>
        </w:rPr>
      </w:pPr>
    </w:p>
    <w:p w14:paraId="516B4E27">
      <w:pPr>
        <w:spacing w:line="242" w:lineRule="auto"/>
        <w:rPr>
          <w:rFonts w:ascii="Arial"/>
          <w:sz w:val="21"/>
        </w:rPr>
      </w:pPr>
    </w:p>
    <w:p w14:paraId="5493CAB9">
      <w:pPr>
        <w:spacing w:line="242" w:lineRule="auto"/>
        <w:rPr>
          <w:rFonts w:ascii="Arial"/>
          <w:sz w:val="21"/>
        </w:rPr>
      </w:pPr>
    </w:p>
    <w:p w14:paraId="1AC757EF">
      <w:pPr>
        <w:spacing w:line="242" w:lineRule="auto"/>
        <w:rPr>
          <w:rFonts w:ascii="Arial"/>
          <w:sz w:val="21"/>
        </w:rPr>
      </w:pPr>
    </w:p>
    <w:p w14:paraId="2A4C145C">
      <w:pPr>
        <w:spacing w:line="242" w:lineRule="auto"/>
        <w:rPr>
          <w:rFonts w:ascii="Arial"/>
          <w:sz w:val="21"/>
        </w:rPr>
      </w:pPr>
    </w:p>
    <w:p w14:paraId="6B130180">
      <w:pPr>
        <w:spacing w:line="242" w:lineRule="auto"/>
        <w:rPr>
          <w:rFonts w:ascii="Arial"/>
          <w:sz w:val="21"/>
        </w:rPr>
      </w:pPr>
    </w:p>
    <w:p w14:paraId="0D2935DD">
      <w:pPr>
        <w:rPr>
          <w:rFonts w:ascii="Arial"/>
          <w:sz w:val="21"/>
        </w:rPr>
      </w:pPr>
    </w:p>
    <w:sectPr>
      <w:headerReference r:id="rId11" w:type="default"/>
      <w:footerReference r:id="rId12" w:type="default"/>
      <w:pgSz w:w="11900" w:h="16830"/>
      <w:pgMar w:top="1910" w:right="1460" w:bottom="1893" w:left="1670" w:header="1710" w:footer="15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A804">
    <w:pPr>
      <w:spacing w:line="233" w:lineRule="auto"/>
      <w:ind w:left="80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2B10A">
    <w:pPr>
      <w:spacing w:line="234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AB57D">
    <w:pPr>
      <w:spacing w:before="1" w:line="233" w:lineRule="auto"/>
      <w:ind w:left="807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18AC5">
    <w:pPr>
      <w:spacing w:before="1" w:line="233" w:lineRule="auto"/>
      <w:ind w:left="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68024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BDE9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9AE26">
    <w:pPr>
      <w:spacing w:line="103" w:lineRule="exact"/>
      <w:rPr>
        <w:rFonts w:ascii="Arial"/>
        <w:sz w:val="9"/>
      </w:rPr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6113780</wp:posOffset>
              </wp:positionH>
              <wp:positionV relativeFrom="page">
                <wp:posOffset>1091565</wp:posOffset>
              </wp:positionV>
              <wp:extent cx="97790" cy="1320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6114276" y="1091929"/>
                        <a:ext cx="97789" cy="132079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67B1F">
                          <w:pPr>
                            <w:spacing w:before="43" w:line="221" w:lineRule="auto"/>
                            <w:ind w:left="20"/>
                            <w:rPr>
                              <w:rFonts w:ascii="宋体" w:hAnsi="宋体" w:eastAsia="宋体" w:cs="宋体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2"/>
                              <w:szCs w:val="12"/>
                            </w:rPr>
                            <w:t>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481.4pt;margin-top:85.95pt;height:10.4pt;width:7.7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xVpux2AAAAAsBAAAPAAAA&#10;AAAAAAEAIAAAACIAAABkcnMvZG93bnJldi54bWxQSwECFAAUAAAACACHTuJA1gnx1k4CAACgBAAA&#10;DgAAAAAAAAABACAAAAAnAQAAZHJzL2Uyb0RvYy54bWxQSwUGAAAAAAYABgBZAQAA5wUAAAAA&#10;">
              <v:fill on="f" focussize="0,0"/>
              <v:stroke on="f" weight="0pt" miterlimit="0" joinstyle="miter"/>
              <v:imagedata o:title=""/>
              <o:lock v:ext="edit" aspectratio="f"/>
              <v:textbox inset="0mm,0mm,0mm,0mm">
                <w:txbxContent>
                  <w:p w14:paraId="64A67B1F">
                    <w:pPr>
                      <w:spacing w:before="43" w:line="221" w:lineRule="auto"/>
                      <w:ind w:left="20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z w:val="12"/>
                        <w:szCs w:val="12"/>
                      </w:rPr>
                      <w:t>性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0C23">
    <w:pPr>
      <w:spacing w:before="33" w:line="222" w:lineRule="auto"/>
      <w:ind w:left="7969"/>
      <w:rPr>
        <w:rFonts w:ascii="黑体" w:hAnsi="黑体" w:eastAsia="黑体" w:cs="黑体"/>
        <w:sz w:val="13"/>
        <w:szCs w:val="13"/>
      </w:rPr>
    </w:pPr>
    <w:r>
      <w:rPr>
        <w:rFonts w:ascii="黑体" w:hAnsi="黑体" w:eastAsia="黑体" w:cs="黑体"/>
        <w:sz w:val="13"/>
        <w:szCs w:val="13"/>
      </w:rPr>
      <w:t>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2F4DEF"/>
    <w:rsid w:val="7D1FF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858</Words>
  <Characters>865</Characters>
  <TotalTime>2</TotalTime>
  <ScaleCrop>false</ScaleCrop>
  <LinksUpToDate>false</LinksUpToDate>
  <CharactersWithSpaces>889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2025-05-26T18:35:00Z</dcterms:created>
  <dc:creator>kylin</dc:creator>
  <cp:lastModifiedBy>明春艳</cp:lastModifiedBy>
  <dcterms:modified xsi:type="dcterms:W3CDTF">2025-05-26T02:39:46Z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2025-05-26T10:35:02Z</vt:filetime>
  </property>
  <property fmtid="{D5CDD505-2E9C-101B-9397-08002B2CF9AE}" pid="4" name="UsrData">
    <vt:lpwstr>6833d354f9d9c8001fa77625wl</vt:lpwstr>
  </property>
  <property fmtid="{D5CDD505-2E9C-101B-9397-08002B2CF9AE}" pid="5" name="KSOProductBuildVer">
    <vt:lpwstr>2052-12.1.0.21171</vt:lpwstr>
  </property>
  <property fmtid="{D5CDD505-2E9C-101B-9397-08002B2CF9AE}" pid="6" name="ICV">
    <vt:lpwstr>9BB375F01B474CDDA8A1E56DC8154054_13</vt:lpwstr>
  </property>
</Properties>
</file>