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  <w:t>航空医疗转运医疗服务价格项目表</w:t>
      </w:r>
    </w:p>
    <w:tbl>
      <w:tblPr>
        <w:tblStyle w:val="2"/>
        <w:tblW w:w="5217" w:type="pct"/>
        <w:tblInd w:w="-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15"/>
        <w:gridCol w:w="1800"/>
        <w:gridCol w:w="1875"/>
        <w:gridCol w:w="737"/>
        <w:gridCol w:w="700"/>
        <w:gridCol w:w="600"/>
        <w:gridCol w:w="1913"/>
        <w:gridCol w:w="700"/>
        <w:gridCol w:w="725"/>
        <w:gridCol w:w="650"/>
        <w:gridCol w:w="1112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服务产出</w:t>
            </w:r>
          </w:p>
        </w:tc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价格构成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加收项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扩展项</w:t>
            </w:r>
          </w:p>
        </w:tc>
        <w:tc>
          <w:tcPr>
            <w:tcW w:w="2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bookmarkStart w:id="0" w:name="_GoBack"/>
            <w:bookmarkEnd w:id="0"/>
          </w:p>
        </w:tc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基金支付类型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011109000030000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航空医疗转运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指医疗机构(含120急救中心 )利用各类航空器转运患者的的使用费用。</w:t>
            </w:r>
          </w:p>
        </w:tc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所定价格涵盖航空器交通往返相关管理费 、折旧费、消毒费、油耗、司机劳务等所需的人力资源和基本物质资源消耗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航空医疗转运实行市场调节价 ，由医院自主制定收费标准。单次收费水平按照转运距离分档制定，其中距离≤240km的，费用按不高于1.5万元+0.98万元/小时，距离≥240km的，费用按不高于2.5万元+0.98万元/小时。</w:t>
            </w:r>
          </w:p>
        </w:tc>
        <w:tc>
          <w:tcPr>
            <w:tcW w:w="2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医疗机构自主定价</w:t>
            </w:r>
          </w:p>
        </w:tc>
        <w:tc>
          <w:tcPr>
            <w:tcW w:w="2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E986B2F"/>
    <w:rsid w:val="469586D8"/>
    <w:rsid w:val="4E986B2F"/>
    <w:rsid w:val="65E391B8"/>
    <w:rsid w:val="77BB9D82"/>
    <w:rsid w:val="7D3D3F46"/>
    <w:rsid w:val="7EED5E09"/>
    <w:rsid w:val="7F7F095B"/>
    <w:rsid w:val="9FA84BFC"/>
    <w:rsid w:val="BDC7A1D8"/>
    <w:rsid w:val="D6BDC69F"/>
    <w:rsid w:val="D7F7D377"/>
    <w:rsid w:val="EE7B42E0"/>
    <w:rsid w:val="EF573451"/>
    <w:rsid w:val="F0D6FEC0"/>
    <w:rsid w:val="F7B9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2024-11-22T05:34:00Z</dcterms:created>
  <dc:creator>释怀</dc:creator>
  <cp:lastModifiedBy>greatwall</cp:lastModifiedBy>
  <dcterms:modified xsi:type="dcterms:W3CDTF">2025-05-08T08:54:59Z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00302CC817E54997867878C00712DB74_11</vt:lpwstr>
  </property>
</Properties>
</file>