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598B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黑体" w:hAnsi="黑体" w:eastAsia="黑体" w:cs="黑体"/>
          <w:color w:val="auto"/>
          <w:sz w:val="32"/>
          <w:szCs w:val="32"/>
          <w:highlight w:val="none"/>
          <w:lang w:val="en-US" w:eastAsia="zh-CN"/>
        </w:rPr>
        <w:t>附件1</w:t>
      </w:r>
    </w:p>
    <w:p w14:paraId="7B4B5559">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规范</w:t>
      </w:r>
      <w:r>
        <w:rPr>
          <w:rFonts w:hint="eastAsia" w:ascii="方正小标宋简体" w:hAnsi="方正小标宋简体" w:eastAsia="方正小标宋简体" w:cs="方正小标宋简体"/>
          <w:b w:val="0"/>
          <w:bCs w:val="0"/>
          <w:color w:val="auto"/>
          <w:sz w:val="44"/>
          <w:szCs w:val="44"/>
          <w:highlight w:val="none"/>
        </w:rPr>
        <w:t>护理类医疗服务</w:t>
      </w:r>
      <w:r>
        <w:rPr>
          <w:rFonts w:hint="eastAsia" w:ascii="方正小标宋简体" w:hAnsi="方正小标宋简体" w:eastAsia="方正小标宋简体" w:cs="方正小标宋简体"/>
          <w:b w:val="0"/>
          <w:bCs w:val="0"/>
          <w:color w:val="auto"/>
          <w:sz w:val="44"/>
          <w:szCs w:val="44"/>
          <w:highlight w:val="none"/>
          <w:lang w:eastAsia="zh-CN"/>
        </w:rPr>
        <w:t>项目</w:t>
      </w:r>
      <w:bookmarkStart w:id="0" w:name="_GoBack"/>
      <w:bookmarkEnd w:id="0"/>
      <w:r>
        <w:rPr>
          <w:rFonts w:hint="eastAsia" w:ascii="方正小标宋简体" w:hAnsi="方正小标宋简体" w:eastAsia="方正小标宋简体" w:cs="方正小标宋简体"/>
          <w:b w:val="0"/>
          <w:bCs w:val="0"/>
          <w:color w:val="auto"/>
          <w:sz w:val="44"/>
          <w:szCs w:val="44"/>
          <w:highlight w:val="none"/>
        </w:rPr>
        <w:t>价格及医保支付类别表</w:t>
      </w:r>
    </w:p>
    <w:tbl>
      <w:tblPr>
        <w:tblStyle w:val="35"/>
        <w:tblW w:w="564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17"/>
      </w:tblGrid>
      <w:tr w14:paraId="4ADB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tblHeader/>
          <w:jc w:val="center"/>
        </w:trPr>
        <w:tc>
          <w:tcPr>
            <w:tcW w:w="5000" w:type="pct"/>
            <w:vAlign w:val="center"/>
          </w:tcPr>
          <w:p w14:paraId="4B0D51C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使用说明：</w:t>
            </w:r>
          </w:p>
          <w:p w14:paraId="5A6C5818">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医疗服务的政府指导价为最高限价，下浮不限；同时，医疗机构、医务人员实施护理过程中有关创新改良，“服务产出”与现有项目一致，可采取“现有项目兼容”的方式简化处理，直接按照对应的项目执行即可。</w:t>
            </w:r>
          </w:p>
          <w:p w14:paraId="44D65C89">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5FA574A2">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p>
          <w:p w14:paraId="1C531276">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4.“扩展项”指同一项目下以不同方式提供或在不同场景应用时，只扩展价格项目适用范围、不额外加价的一类子项，子项的价格按主项目执行。</w:t>
            </w:r>
          </w:p>
          <w:p w14:paraId="6BBC47B6">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w:t>
            </w:r>
          </w:p>
          <w:p w14:paraId="1F79EB74">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6.“分级护理”含一般传染病护理，纳入价格构成中，不再单独计费。</w:t>
            </w:r>
          </w:p>
          <w:p w14:paraId="6B522620">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p>
          <w:p w14:paraId="58B5890F">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8.对“互联网+护理服务”不单设医疗服务价格项目，按照“上门服务费+护理项目价格”的方式计费。</w:t>
            </w:r>
          </w:p>
          <w:p w14:paraId="7922D04B">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9.涉及“包括……”“……等”的，属于开放型表述，所指对象不仅局限于表述中列明的事项，也包括未列明的同类事项。</w:t>
            </w:r>
          </w:p>
          <w:p w14:paraId="32927466">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管·日”指每日每管，即按照每日实际护理管路数量计费。如一名患者既行尿管护理又行胃肠减压管路护理，可按照“引流管护理”×2的方式计费，并在医嘱中体现的，医疗机构可自行在收费单据中备注，方便患方理解。</w:t>
            </w:r>
          </w:p>
          <w:p w14:paraId="2F86CA4E">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11.除有特殊规定不能同时收取外，专科护理可以与分级护理、专项护理同时收取。</w:t>
            </w:r>
          </w:p>
          <w:p w14:paraId="7412D1AA">
            <w:pPr>
              <w:pStyle w:val="3"/>
              <w:keepNext w:val="0"/>
              <w:keepLines w:val="0"/>
              <w:pageBreakBefore w:val="0"/>
              <w:widowControl w:val="0"/>
              <w:kinsoku/>
              <w:wordWrap/>
              <w:overflowPunct/>
              <w:topLinePunct w:val="0"/>
              <w:autoSpaceDE/>
              <w:autoSpaceDN/>
              <w:bidi w:val="0"/>
              <w:adjustRightInd/>
              <w:snapToGrid/>
              <w:spacing w:before="0" w:line="2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12.按日收取的各项护理费用按“计入不计出”原则计收，即入院当天计收一次，出院当天不收。</w:t>
            </w:r>
          </w:p>
          <w:p w14:paraId="1B564433">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textAlignment w:val="auto"/>
              <w:rPr>
                <w:rFonts w:hint="eastAsia" w:ascii="黑体" w:hAnsi="黑体" w:eastAsia="黑体" w:cs="黑体"/>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21"/>
                <w:szCs w:val="21"/>
                <w:highlight w:val="none"/>
                <w:lang w:eastAsia="zh-CN"/>
              </w:rPr>
              <w:t>13.“儿童”指6周岁及以下。周岁的计算方法以法律的相关规定为准。</w:t>
            </w:r>
          </w:p>
        </w:tc>
      </w:tr>
    </w:tbl>
    <w:p w14:paraId="41923FBF">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color w:val="auto"/>
        </w:rPr>
      </w:pPr>
    </w:p>
    <w:tbl>
      <w:tblPr>
        <w:tblStyle w:val="35"/>
        <w:tblW w:w="56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484"/>
        <w:gridCol w:w="1350"/>
        <w:gridCol w:w="1951"/>
        <w:gridCol w:w="3243"/>
        <w:gridCol w:w="797"/>
        <w:gridCol w:w="605"/>
        <w:gridCol w:w="512"/>
        <w:gridCol w:w="1893"/>
        <w:gridCol w:w="562"/>
        <w:gridCol w:w="562"/>
        <w:gridCol w:w="562"/>
        <w:gridCol w:w="562"/>
        <w:gridCol w:w="534"/>
        <w:gridCol w:w="775"/>
      </w:tblGrid>
      <w:tr w14:paraId="3594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tblHeader/>
          <w:jc w:val="center"/>
        </w:trPr>
        <w:tc>
          <w:tcPr>
            <w:tcW w:w="129" w:type="pct"/>
            <w:vMerge w:val="restart"/>
            <w:tcBorders>
              <w:bottom w:val="nil"/>
            </w:tcBorders>
            <w:vAlign w:val="center"/>
          </w:tcPr>
          <w:p w14:paraId="44D80EC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序号</w:t>
            </w:r>
          </w:p>
        </w:tc>
        <w:tc>
          <w:tcPr>
            <w:tcW w:w="469" w:type="pct"/>
            <w:vMerge w:val="restart"/>
            <w:vAlign w:val="center"/>
          </w:tcPr>
          <w:p w14:paraId="4A6DCA7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项目编码</w:t>
            </w:r>
          </w:p>
        </w:tc>
        <w:tc>
          <w:tcPr>
            <w:tcW w:w="427" w:type="pct"/>
            <w:vMerge w:val="restart"/>
            <w:tcBorders>
              <w:bottom w:val="nil"/>
            </w:tcBorders>
            <w:vAlign w:val="center"/>
          </w:tcPr>
          <w:p w14:paraId="690F94A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项目名称</w:t>
            </w:r>
          </w:p>
        </w:tc>
        <w:tc>
          <w:tcPr>
            <w:tcW w:w="617" w:type="pct"/>
            <w:vMerge w:val="restart"/>
            <w:tcBorders>
              <w:bottom w:val="nil"/>
            </w:tcBorders>
            <w:vAlign w:val="center"/>
          </w:tcPr>
          <w:p w14:paraId="5E6EEAC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服务产出</w:t>
            </w:r>
          </w:p>
        </w:tc>
        <w:tc>
          <w:tcPr>
            <w:tcW w:w="1026" w:type="pct"/>
            <w:vMerge w:val="restart"/>
            <w:tcBorders>
              <w:bottom w:val="nil"/>
            </w:tcBorders>
            <w:vAlign w:val="center"/>
          </w:tcPr>
          <w:p w14:paraId="292346A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价格构成</w:t>
            </w:r>
          </w:p>
        </w:tc>
        <w:tc>
          <w:tcPr>
            <w:tcW w:w="252" w:type="pct"/>
            <w:vMerge w:val="restart"/>
            <w:tcBorders>
              <w:bottom w:val="nil"/>
            </w:tcBorders>
            <w:vAlign w:val="center"/>
          </w:tcPr>
          <w:p w14:paraId="375DF94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加收项</w:t>
            </w:r>
          </w:p>
        </w:tc>
        <w:tc>
          <w:tcPr>
            <w:tcW w:w="191" w:type="pct"/>
            <w:vMerge w:val="restart"/>
            <w:tcBorders>
              <w:bottom w:val="nil"/>
            </w:tcBorders>
            <w:vAlign w:val="center"/>
          </w:tcPr>
          <w:p w14:paraId="5C1D80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扩展项</w:t>
            </w:r>
          </w:p>
        </w:tc>
        <w:tc>
          <w:tcPr>
            <w:tcW w:w="162" w:type="pct"/>
            <w:vMerge w:val="restart"/>
            <w:tcBorders>
              <w:bottom w:val="nil"/>
            </w:tcBorders>
            <w:vAlign w:val="center"/>
          </w:tcPr>
          <w:p w14:paraId="25A6514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计价</w:t>
            </w:r>
          </w:p>
          <w:p w14:paraId="61B9E97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单位</w:t>
            </w:r>
          </w:p>
        </w:tc>
        <w:tc>
          <w:tcPr>
            <w:tcW w:w="599" w:type="pct"/>
            <w:vMerge w:val="restart"/>
            <w:tcBorders>
              <w:bottom w:val="nil"/>
            </w:tcBorders>
            <w:vAlign w:val="center"/>
          </w:tcPr>
          <w:p w14:paraId="4F68C45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计价说明</w:t>
            </w:r>
          </w:p>
        </w:tc>
        <w:tc>
          <w:tcPr>
            <w:tcW w:w="879" w:type="pct"/>
            <w:gridSpan w:val="5"/>
            <w:vAlign w:val="center"/>
          </w:tcPr>
          <w:p w14:paraId="79A5C5A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我市公立医疗机构价格（元）</w:t>
            </w:r>
          </w:p>
        </w:tc>
        <w:tc>
          <w:tcPr>
            <w:tcW w:w="245" w:type="pct"/>
            <w:vMerge w:val="restart"/>
            <w:vAlign w:val="center"/>
          </w:tcPr>
          <w:p w14:paraId="77B3EE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医保支付</w:t>
            </w:r>
          </w:p>
          <w:p w14:paraId="792D893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类别</w:t>
            </w:r>
          </w:p>
        </w:tc>
      </w:tr>
      <w:tr w14:paraId="0E16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tblHeader/>
          <w:jc w:val="center"/>
        </w:trPr>
        <w:tc>
          <w:tcPr>
            <w:tcW w:w="129" w:type="pct"/>
            <w:vMerge w:val="continue"/>
            <w:tcBorders>
              <w:top w:val="nil"/>
            </w:tcBorders>
            <w:vAlign w:val="center"/>
          </w:tcPr>
          <w:p w14:paraId="04099BC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469" w:type="pct"/>
            <w:vMerge w:val="continue"/>
            <w:vAlign w:val="center"/>
          </w:tcPr>
          <w:p w14:paraId="4988B47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427" w:type="pct"/>
            <w:vMerge w:val="continue"/>
            <w:tcBorders>
              <w:top w:val="nil"/>
            </w:tcBorders>
            <w:vAlign w:val="center"/>
          </w:tcPr>
          <w:p w14:paraId="5858AF0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617" w:type="pct"/>
            <w:vMerge w:val="continue"/>
            <w:tcBorders>
              <w:top w:val="nil"/>
            </w:tcBorders>
            <w:vAlign w:val="center"/>
          </w:tcPr>
          <w:p w14:paraId="674B78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1026" w:type="pct"/>
            <w:vMerge w:val="continue"/>
            <w:tcBorders>
              <w:top w:val="nil"/>
            </w:tcBorders>
            <w:vAlign w:val="center"/>
          </w:tcPr>
          <w:p w14:paraId="695B1F9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252" w:type="pct"/>
            <w:vMerge w:val="continue"/>
            <w:tcBorders>
              <w:top w:val="nil"/>
            </w:tcBorders>
            <w:vAlign w:val="center"/>
          </w:tcPr>
          <w:p w14:paraId="6893CB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191" w:type="pct"/>
            <w:vMerge w:val="continue"/>
            <w:tcBorders>
              <w:top w:val="nil"/>
            </w:tcBorders>
            <w:vAlign w:val="center"/>
          </w:tcPr>
          <w:p w14:paraId="37B53D6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162" w:type="pct"/>
            <w:vMerge w:val="continue"/>
            <w:tcBorders>
              <w:top w:val="nil"/>
            </w:tcBorders>
            <w:vAlign w:val="center"/>
          </w:tcPr>
          <w:p w14:paraId="1ED902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599" w:type="pct"/>
            <w:vMerge w:val="continue"/>
            <w:tcBorders>
              <w:top w:val="nil"/>
            </w:tcBorders>
            <w:vAlign w:val="center"/>
          </w:tcPr>
          <w:p w14:paraId="7E90C46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黑体" w:hAnsi="黑体" w:eastAsia="黑体" w:cs="黑体"/>
                <w:i w:val="0"/>
                <w:iCs w:val="0"/>
                <w:color w:val="auto"/>
                <w:kern w:val="0"/>
                <w:sz w:val="18"/>
                <w:szCs w:val="18"/>
                <w:highlight w:val="none"/>
                <w:u w:val="none"/>
                <w:lang w:val="en-US" w:eastAsia="zh-CN" w:bidi="ar"/>
              </w:rPr>
            </w:pPr>
          </w:p>
        </w:tc>
        <w:tc>
          <w:tcPr>
            <w:tcW w:w="177" w:type="pct"/>
            <w:vAlign w:val="center"/>
          </w:tcPr>
          <w:p w14:paraId="046D0F7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三甲</w:t>
            </w:r>
          </w:p>
        </w:tc>
        <w:tc>
          <w:tcPr>
            <w:tcW w:w="177" w:type="pct"/>
            <w:vAlign w:val="center"/>
          </w:tcPr>
          <w:p w14:paraId="70600A4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三乙</w:t>
            </w:r>
          </w:p>
        </w:tc>
        <w:tc>
          <w:tcPr>
            <w:tcW w:w="177" w:type="pct"/>
            <w:vAlign w:val="center"/>
          </w:tcPr>
          <w:p w14:paraId="3C0972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二甲</w:t>
            </w:r>
          </w:p>
        </w:tc>
        <w:tc>
          <w:tcPr>
            <w:tcW w:w="177" w:type="pct"/>
            <w:vAlign w:val="center"/>
          </w:tcPr>
          <w:p w14:paraId="34957C8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二乙</w:t>
            </w:r>
          </w:p>
        </w:tc>
        <w:tc>
          <w:tcPr>
            <w:tcW w:w="168" w:type="pct"/>
            <w:vAlign w:val="center"/>
          </w:tcPr>
          <w:p w14:paraId="2D87E32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r>
              <w:rPr>
                <w:rFonts w:hint="eastAsia" w:ascii="黑体" w:hAnsi="黑体" w:eastAsia="黑体" w:cs="黑体"/>
                <w:i w:val="0"/>
                <w:iCs w:val="0"/>
                <w:color w:val="auto"/>
                <w:kern w:val="0"/>
                <w:sz w:val="18"/>
                <w:szCs w:val="18"/>
                <w:highlight w:val="none"/>
                <w:u w:val="none"/>
                <w:lang w:val="en-US" w:eastAsia="zh-CN" w:bidi="ar"/>
              </w:rPr>
              <w:t>二乙以下</w:t>
            </w:r>
          </w:p>
        </w:tc>
        <w:tc>
          <w:tcPr>
            <w:tcW w:w="245" w:type="pct"/>
            <w:vMerge w:val="continue"/>
            <w:vAlign w:val="center"/>
          </w:tcPr>
          <w:p w14:paraId="339174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i w:val="0"/>
                <w:iCs w:val="0"/>
                <w:color w:val="auto"/>
                <w:kern w:val="0"/>
                <w:sz w:val="18"/>
                <w:szCs w:val="18"/>
                <w:highlight w:val="none"/>
                <w:u w:val="none"/>
                <w:lang w:val="en-US" w:eastAsia="zh-CN" w:bidi="ar"/>
              </w:rPr>
            </w:pPr>
          </w:p>
        </w:tc>
      </w:tr>
      <w:tr w14:paraId="40BA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5000" w:type="pct"/>
            <w:gridSpan w:val="15"/>
            <w:vAlign w:val="center"/>
          </w:tcPr>
          <w:p w14:paraId="3EC0683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分级护理</w:t>
            </w:r>
          </w:p>
        </w:tc>
      </w:tr>
      <w:tr w14:paraId="0139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340EBB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469" w:type="pct"/>
            <w:shd w:val="clear" w:color="auto" w:fill="auto"/>
            <w:vAlign w:val="center"/>
          </w:tcPr>
          <w:p w14:paraId="7719D4D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011301000010000</w:t>
            </w:r>
          </w:p>
        </w:tc>
        <w:tc>
          <w:tcPr>
            <w:tcW w:w="427" w:type="pct"/>
            <w:vAlign w:val="center"/>
          </w:tcPr>
          <w:p w14:paraId="7490589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特级护理</w:t>
            </w:r>
          </w:p>
        </w:tc>
        <w:tc>
          <w:tcPr>
            <w:tcW w:w="617" w:type="pct"/>
            <w:vAlign w:val="center"/>
          </w:tcPr>
          <w:p w14:paraId="605391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指为病情危重，随时可能发生病情变化需要进行监护、抢救的患者；各种复杂或大手术后、严重创伤或大面积烧伤的患者提供的相关护理。</w:t>
            </w:r>
          </w:p>
        </w:tc>
        <w:tc>
          <w:tcPr>
            <w:tcW w:w="1026" w:type="pct"/>
            <w:vAlign w:val="center"/>
          </w:tcPr>
          <w:p w14:paraId="52AD7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52" w:type="pct"/>
            <w:vAlign w:val="center"/>
          </w:tcPr>
          <w:p w14:paraId="4F6D269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01儿童加收</w:t>
            </w:r>
          </w:p>
        </w:tc>
        <w:tc>
          <w:tcPr>
            <w:tcW w:w="191" w:type="pct"/>
            <w:vAlign w:val="center"/>
          </w:tcPr>
          <w:p w14:paraId="5CE6B4F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56C1E02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17D47A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51E1408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119</w:t>
            </w:r>
          </w:p>
        </w:tc>
        <w:tc>
          <w:tcPr>
            <w:tcW w:w="177" w:type="pct"/>
            <w:vAlign w:val="center"/>
          </w:tcPr>
          <w:p w14:paraId="0822FAE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109</w:t>
            </w:r>
          </w:p>
        </w:tc>
        <w:tc>
          <w:tcPr>
            <w:tcW w:w="177" w:type="pct"/>
            <w:vAlign w:val="center"/>
          </w:tcPr>
          <w:p w14:paraId="30D9722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99</w:t>
            </w:r>
          </w:p>
        </w:tc>
        <w:tc>
          <w:tcPr>
            <w:tcW w:w="177" w:type="pct"/>
            <w:vAlign w:val="center"/>
          </w:tcPr>
          <w:p w14:paraId="276EAC5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94</w:t>
            </w:r>
          </w:p>
        </w:tc>
        <w:tc>
          <w:tcPr>
            <w:tcW w:w="168" w:type="pct"/>
            <w:vAlign w:val="center"/>
          </w:tcPr>
          <w:p w14:paraId="5CC05D4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w:t>
            </w:r>
          </w:p>
        </w:tc>
        <w:tc>
          <w:tcPr>
            <w:tcW w:w="245" w:type="pct"/>
            <w:vAlign w:val="center"/>
          </w:tcPr>
          <w:p w14:paraId="7D77DA1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4570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6B96039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6284420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011301000010001</w:t>
            </w:r>
          </w:p>
        </w:tc>
        <w:tc>
          <w:tcPr>
            <w:tcW w:w="427" w:type="pct"/>
            <w:vAlign w:val="center"/>
          </w:tcPr>
          <w:p w14:paraId="05BCDB4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特级护理-儿童（加收）</w:t>
            </w:r>
          </w:p>
        </w:tc>
        <w:tc>
          <w:tcPr>
            <w:tcW w:w="617" w:type="pct"/>
            <w:vAlign w:val="center"/>
          </w:tcPr>
          <w:p w14:paraId="5A5A69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指为病情危重，随时可能发生病情变化需要进行监护、抢救的患者；各种复杂或大手术后、严重创伤或大面积烧伤的患者提供的相关护理。</w:t>
            </w:r>
          </w:p>
        </w:tc>
        <w:tc>
          <w:tcPr>
            <w:tcW w:w="1026" w:type="pct"/>
            <w:vAlign w:val="center"/>
          </w:tcPr>
          <w:p w14:paraId="7D457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52" w:type="pct"/>
            <w:vAlign w:val="center"/>
          </w:tcPr>
          <w:p w14:paraId="758678C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18B90C5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7E2D9A7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28DF67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48228E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08EFB6B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1E029EC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36C572D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68" w:type="pct"/>
            <w:vAlign w:val="center"/>
          </w:tcPr>
          <w:p w14:paraId="082DC64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5" w:type="pct"/>
            <w:vAlign w:val="center"/>
          </w:tcPr>
          <w:p w14:paraId="6FBF0A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243E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7252D0D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w:t>
            </w:r>
          </w:p>
        </w:tc>
        <w:tc>
          <w:tcPr>
            <w:tcW w:w="469" w:type="pct"/>
            <w:shd w:val="clear" w:color="auto" w:fill="auto"/>
            <w:vAlign w:val="center"/>
          </w:tcPr>
          <w:p w14:paraId="6A8A5F3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011301000020000</w:t>
            </w:r>
          </w:p>
        </w:tc>
        <w:tc>
          <w:tcPr>
            <w:tcW w:w="427" w:type="pct"/>
            <w:vAlign w:val="center"/>
          </w:tcPr>
          <w:p w14:paraId="5F07E0B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Ⅰ级护理</w:t>
            </w:r>
          </w:p>
        </w:tc>
        <w:tc>
          <w:tcPr>
            <w:tcW w:w="617" w:type="pct"/>
            <w:vAlign w:val="center"/>
          </w:tcPr>
          <w:p w14:paraId="0FBA988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1026" w:type="pct"/>
            <w:vAlign w:val="center"/>
          </w:tcPr>
          <w:p w14:paraId="1535F66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52" w:type="pct"/>
            <w:vAlign w:val="center"/>
          </w:tcPr>
          <w:p w14:paraId="17BB593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01儿童加收</w:t>
            </w:r>
          </w:p>
        </w:tc>
        <w:tc>
          <w:tcPr>
            <w:tcW w:w="191" w:type="pct"/>
            <w:vAlign w:val="center"/>
          </w:tcPr>
          <w:p w14:paraId="7FE8D91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10E253E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1107089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0FAAE56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w:t>
            </w:r>
          </w:p>
        </w:tc>
        <w:tc>
          <w:tcPr>
            <w:tcW w:w="177" w:type="pct"/>
            <w:vAlign w:val="center"/>
          </w:tcPr>
          <w:p w14:paraId="10BBBF4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41</w:t>
            </w:r>
          </w:p>
        </w:tc>
        <w:tc>
          <w:tcPr>
            <w:tcW w:w="177" w:type="pct"/>
            <w:vAlign w:val="center"/>
          </w:tcPr>
          <w:p w14:paraId="7C3B63A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37</w:t>
            </w:r>
          </w:p>
        </w:tc>
        <w:tc>
          <w:tcPr>
            <w:tcW w:w="177" w:type="pct"/>
            <w:vAlign w:val="center"/>
          </w:tcPr>
          <w:p w14:paraId="196C653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35</w:t>
            </w:r>
          </w:p>
        </w:tc>
        <w:tc>
          <w:tcPr>
            <w:tcW w:w="168" w:type="pct"/>
            <w:vAlign w:val="center"/>
          </w:tcPr>
          <w:p w14:paraId="396A15D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w:t>
            </w:r>
          </w:p>
        </w:tc>
        <w:tc>
          <w:tcPr>
            <w:tcW w:w="245" w:type="pct"/>
            <w:vAlign w:val="center"/>
          </w:tcPr>
          <w:p w14:paraId="49223C4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69B8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52946E1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385EEC9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001201000030000</w:t>
            </w:r>
          </w:p>
        </w:tc>
        <w:tc>
          <w:tcPr>
            <w:tcW w:w="427" w:type="pct"/>
            <w:vAlign w:val="center"/>
          </w:tcPr>
          <w:p w14:paraId="5100899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Ⅰ级护理(县级公立医院取消药品加成后加收9元)</w:t>
            </w:r>
          </w:p>
        </w:tc>
        <w:tc>
          <w:tcPr>
            <w:tcW w:w="617" w:type="pct"/>
            <w:vAlign w:val="center"/>
          </w:tcPr>
          <w:p w14:paraId="1D4A32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026" w:type="pct"/>
            <w:vAlign w:val="center"/>
          </w:tcPr>
          <w:p w14:paraId="58E13CE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52" w:type="pct"/>
            <w:vAlign w:val="center"/>
          </w:tcPr>
          <w:p w14:paraId="2F0076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24F768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A06521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30BC80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09488A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418521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2D856F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78418C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vAlign w:val="center"/>
          </w:tcPr>
          <w:p w14:paraId="1F2954E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p>
        </w:tc>
        <w:tc>
          <w:tcPr>
            <w:tcW w:w="245" w:type="pct"/>
            <w:vAlign w:val="center"/>
          </w:tcPr>
          <w:p w14:paraId="59A9456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579D2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0037E2B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12F2315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011301000020001</w:t>
            </w:r>
          </w:p>
        </w:tc>
        <w:tc>
          <w:tcPr>
            <w:tcW w:w="427" w:type="pct"/>
            <w:vAlign w:val="center"/>
          </w:tcPr>
          <w:p w14:paraId="78844A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Ⅰ级护理-儿童（加收）</w:t>
            </w:r>
          </w:p>
        </w:tc>
        <w:tc>
          <w:tcPr>
            <w:tcW w:w="617" w:type="pct"/>
            <w:vAlign w:val="center"/>
          </w:tcPr>
          <w:p w14:paraId="0A1E5BA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1026" w:type="pct"/>
            <w:vAlign w:val="center"/>
          </w:tcPr>
          <w:p w14:paraId="4BE297F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52" w:type="pct"/>
            <w:vAlign w:val="center"/>
          </w:tcPr>
          <w:p w14:paraId="3F69FE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1C1D58D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75150D7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47D43C6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7F2A075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3748324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12E1495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47E6A0E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68" w:type="pct"/>
            <w:vAlign w:val="center"/>
          </w:tcPr>
          <w:p w14:paraId="6083C27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5" w:type="pct"/>
            <w:vAlign w:val="center"/>
          </w:tcPr>
          <w:p w14:paraId="01AB013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3ABF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70" w:hRule="atLeast"/>
          <w:jc w:val="center"/>
        </w:trPr>
        <w:tc>
          <w:tcPr>
            <w:tcW w:w="129" w:type="pct"/>
            <w:vMerge w:val="restart"/>
            <w:vAlign w:val="center"/>
          </w:tcPr>
          <w:p w14:paraId="29E3FE5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469" w:type="pct"/>
            <w:shd w:val="clear" w:color="auto" w:fill="auto"/>
            <w:vAlign w:val="center"/>
          </w:tcPr>
          <w:p w14:paraId="271656D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011301000030000</w:t>
            </w:r>
          </w:p>
        </w:tc>
        <w:tc>
          <w:tcPr>
            <w:tcW w:w="427" w:type="pct"/>
            <w:vAlign w:val="center"/>
          </w:tcPr>
          <w:p w14:paraId="381D9C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Ⅱ级护理</w:t>
            </w:r>
          </w:p>
        </w:tc>
        <w:tc>
          <w:tcPr>
            <w:tcW w:w="617" w:type="pct"/>
            <w:vAlign w:val="center"/>
          </w:tcPr>
          <w:p w14:paraId="4CDB495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1026" w:type="pct"/>
            <w:vAlign w:val="center"/>
          </w:tcPr>
          <w:p w14:paraId="59198F8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52" w:type="pct"/>
            <w:vAlign w:val="center"/>
          </w:tcPr>
          <w:p w14:paraId="7B0B23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01D0AEA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6E1AF62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E758A9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5439362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77" w:type="pct"/>
            <w:vAlign w:val="center"/>
          </w:tcPr>
          <w:p w14:paraId="588E876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38C646D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177" w:type="pct"/>
            <w:vAlign w:val="center"/>
          </w:tcPr>
          <w:p w14:paraId="160396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168" w:type="pct"/>
            <w:vAlign w:val="center"/>
          </w:tcPr>
          <w:p w14:paraId="742504B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245" w:type="pct"/>
            <w:vAlign w:val="center"/>
          </w:tcPr>
          <w:p w14:paraId="4D4022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3780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vAlign w:val="center"/>
          </w:tcPr>
          <w:p w14:paraId="08B87E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68EAF17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001201000040000</w:t>
            </w:r>
          </w:p>
        </w:tc>
        <w:tc>
          <w:tcPr>
            <w:tcW w:w="427" w:type="pct"/>
            <w:shd w:val="clear" w:color="auto" w:fill="auto"/>
            <w:vAlign w:val="center"/>
          </w:tcPr>
          <w:p w14:paraId="1D2FBE7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Ⅱ级护理(县级公立医院取消药品加成后加收9元)</w:t>
            </w:r>
          </w:p>
        </w:tc>
        <w:tc>
          <w:tcPr>
            <w:tcW w:w="617" w:type="pct"/>
            <w:shd w:val="clear" w:color="auto" w:fill="auto"/>
            <w:vAlign w:val="center"/>
          </w:tcPr>
          <w:p w14:paraId="54890BE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026" w:type="pct"/>
            <w:shd w:val="clear" w:color="auto" w:fill="auto"/>
            <w:vAlign w:val="center"/>
          </w:tcPr>
          <w:p w14:paraId="31771E0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52" w:type="pct"/>
            <w:shd w:val="clear" w:color="auto" w:fill="auto"/>
            <w:vAlign w:val="center"/>
          </w:tcPr>
          <w:p w14:paraId="35E28B7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shd w:val="clear" w:color="auto" w:fill="auto"/>
            <w:vAlign w:val="center"/>
          </w:tcPr>
          <w:p w14:paraId="3D1D064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shd w:val="clear" w:color="auto" w:fill="auto"/>
            <w:vAlign w:val="center"/>
          </w:tcPr>
          <w:p w14:paraId="2131A83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shd w:val="clear" w:color="auto" w:fill="auto"/>
            <w:vAlign w:val="center"/>
          </w:tcPr>
          <w:p w14:paraId="6F0EEAC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shd w:val="clear" w:color="auto" w:fill="auto"/>
            <w:vAlign w:val="center"/>
          </w:tcPr>
          <w:p w14:paraId="30046CF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58B75C7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1D1968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0A5673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shd w:val="clear" w:color="auto" w:fill="auto"/>
            <w:vAlign w:val="center"/>
          </w:tcPr>
          <w:p w14:paraId="100B57E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45" w:type="pct"/>
            <w:shd w:val="clear" w:color="auto" w:fill="auto"/>
            <w:vAlign w:val="center"/>
          </w:tcPr>
          <w:p w14:paraId="7FD173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6D98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vAlign w:val="center"/>
          </w:tcPr>
          <w:p w14:paraId="195197E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469" w:type="pct"/>
            <w:vAlign w:val="center"/>
          </w:tcPr>
          <w:p w14:paraId="397D264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011301000040000</w:t>
            </w:r>
          </w:p>
        </w:tc>
        <w:tc>
          <w:tcPr>
            <w:tcW w:w="427" w:type="pct"/>
            <w:vAlign w:val="center"/>
          </w:tcPr>
          <w:p w14:paraId="75BB471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Ⅲ级护理</w:t>
            </w:r>
          </w:p>
        </w:tc>
        <w:tc>
          <w:tcPr>
            <w:tcW w:w="617" w:type="pct"/>
            <w:vAlign w:val="center"/>
          </w:tcPr>
          <w:p w14:paraId="1B8A44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指病情稳定或处于康复期，且自理能力轻度依赖或无依赖的患者提供的相关护理。</w:t>
            </w:r>
          </w:p>
        </w:tc>
        <w:tc>
          <w:tcPr>
            <w:tcW w:w="1026" w:type="pct"/>
            <w:vAlign w:val="center"/>
          </w:tcPr>
          <w:p w14:paraId="0FA283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52" w:type="pct"/>
            <w:vAlign w:val="center"/>
          </w:tcPr>
          <w:p w14:paraId="2086092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05F6C26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E0C71A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3C8A0D9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48D049D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77" w:type="pct"/>
            <w:vAlign w:val="center"/>
          </w:tcPr>
          <w:p w14:paraId="4B94BC4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77" w:type="pct"/>
            <w:vAlign w:val="center"/>
          </w:tcPr>
          <w:p w14:paraId="66B269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77" w:type="pct"/>
            <w:vAlign w:val="center"/>
          </w:tcPr>
          <w:p w14:paraId="30FF7A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68" w:type="pct"/>
            <w:vAlign w:val="center"/>
          </w:tcPr>
          <w:p w14:paraId="22F1AF1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245" w:type="pct"/>
            <w:vAlign w:val="center"/>
          </w:tcPr>
          <w:p w14:paraId="7C4B37D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7B40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vAlign w:val="center"/>
          </w:tcPr>
          <w:p w14:paraId="75A376A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6E6BD63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001201000050000</w:t>
            </w:r>
          </w:p>
        </w:tc>
        <w:tc>
          <w:tcPr>
            <w:tcW w:w="427" w:type="pct"/>
            <w:shd w:val="clear" w:color="auto" w:fill="auto"/>
            <w:vAlign w:val="center"/>
          </w:tcPr>
          <w:p w14:paraId="673F7B3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Ⅲ级护理(县级公立医院取消药品加成后加收9元)</w:t>
            </w:r>
          </w:p>
        </w:tc>
        <w:tc>
          <w:tcPr>
            <w:tcW w:w="617" w:type="pct"/>
            <w:shd w:val="clear" w:color="auto" w:fill="auto"/>
            <w:vAlign w:val="center"/>
          </w:tcPr>
          <w:p w14:paraId="2D1A204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026" w:type="pct"/>
            <w:shd w:val="clear" w:color="auto" w:fill="auto"/>
            <w:vAlign w:val="center"/>
          </w:tcPr>
          <w:p w14:paraId="2A56F2F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52" w:type="pct"/>
            <w:shd w:val="clear" w:color="auto" w:fill="auto"/>
            <w:vAlign w:val="center"/>
          </w:tcPr>
          <w:p w14:paraId="2C8D34F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shd w:val="clear" w:color="auto" w:fill="auto"/>
            <w:vAlign w:val="center"/>
          </w:tcPr>
          <w:p w14:paraId="5B82616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shd w:val="clear" w:color="auto" w:fill="auto"/>
            <w:vAlign w:val="center"/>
          </w:tcPr>
          <w:p w14:paraId="5E0070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shd w:val="clear" w:color="auto" w:fill="auto"/>
            <w:vAlign w:val="center"/>
          </w:tcPr>
          <w:p w14:paraId="515B1EF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shd w:val="clear" w:color="auto" w:fill="auto"/>
            <w:vAlign w:val="center"/>
          </w:tcPr>
          <w:p w14:paraId="3804E50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0F687CB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49B5EBA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0062B2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shd w:val="clear" w:color="auto" w:fill="auto"/>
            <w:vAlign w:val="center"/>
          </w:tcPr>
          <w:p w14:paraId="30E984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45" w:type="pct"/>
            <w:shd w:val="clear" w:color="auto" w:fill="auto"/>
            <w:vAlign w:val="center"/>
          </w:tcPr>
          <w:p w14:paraId="111D785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2AF1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5000" w:type="pct"/>
            <w:gridSpan w:val="15"/>
            <w:vAlign w:val="center"/>
          </w:tcPr>
          <w:p w14:paraId="5A725D6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专科护理</w:t>
            </w:r>
          </w:p>
        </w:tc>
      </w:tr>
      <w:tr w14:paraId="5786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10" w:hRule="atLeast"/>
          <w:jc w:val="center"/>
        </w:trPr>
        <w:tc>
          <w:tcPr>
            <w:tcW w:w="129" w:type="pct"/>
            <w:vAlign w:val="center"/>
          </w:tcPr>
          <w:p w14:paraId="07F0579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469" w:type="pct"/>
            <w:shd w:val="clear" w:color="auto" w:fill="auto"/>
            <w:vAlign w:val="center"/>
          </w:tcPr>
          <w:p w14:paraId="273B7F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011302000010000</w:t>
            </w:r>
          </w:p>
        </w:tc>
        <w:tc>
          <w:tcPr>
            <w:tcW w:w="427" w:type="pct"/>
            <w:vAlign w:val="center"/>
          </w:tcPr>
          <w:p w14:paraId="251806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急诊留观护理</w:t>
            </w:r>
          </w:p>
        </w:tc>
        <w:tc>
          <w:tcPr>
            <w:tcW w:w="617" w:type="pct"/>
            <w:vAlign w:val="center"/>
          </w:tcPr>
          <w:p w14:paraId="6996BC5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指为需留在急诊进行观察的患者提供的相关护理。</w:t>
            </w:r>
          </w:p>
        </w:tc>
        <w:tc>
          <w:tcPr>
            <w:tcW w:w="1026" w:type="pct"/>
            <w:vAlign w:val="center"/>
          </w:tcPr>
          <w:p w14:paraId="751614A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52" w:type="pct"/>
            <w:vAlign w:val="center"/>
          </w:tcPr>
          <w:p w14:paraId="48F48F8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558AB47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11FB72E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220AAE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当天转住院的，急诊留观与分级护理费用不得同时收取。</w:t>
            </w:r>
          </w:p>
        </w:tc>
        <w:tc>
          <w:tcPr>
            <w:tcW w:w="177" w:type="pct"/>
            <w:vAlign w:val="center"/>
          </w:tcPr>
          <w:p w14:paraId="45A662F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w:t>
            </w:r>
          </w:p>
        </w:tc>
        <w:tc>
          <w:tcPr>
            <w:tcW w:w="177" w:type="pct"/>
            <w:vAlign w:val="center"/>
          </w:tcPr>
          <w:p w14:paraId="549B925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w:t>
            </w:r>
          </w:p>
        </w:tc>
        <w:tc>
          <w:tcPr>
            <w:tcW w:w="177" w:type="pct"/>
            <w:vAlign w:val="center"/>
          </w:tcPr>
          <w:p w14:paraId="6B7395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177" w:type="pct"/>
            <w:vAlign w:val="center"/>
          </w:tcPr>
          <w:p w14:paraId="2189D3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27</w:t>
            </w:r>
          </w:p>
        </w:tc>
        <w:tc>
          <w:tcPr>
            <w:tcW w:w="168" w:type="pct"/>
            <w:vAlign w:val="center"/>
          </w:tcPr>
          <w:p w14:paraId="6233A3A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245" w:type="pct"/>
            <w:vAlign w:val="center"/>
          </w:tcPr>
          <w:p w14:paraId="0C66425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自费</w:t>
            </w:r>
          </w:p>
        </w:tc>
      </w:tr>
      <w:tr w14:paraId="4BC6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0C374CA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469" w:type="pct"/>
            <w:shd w:val="clear" w:color="auto" w:fill="auto"/>
            <w:vAlign w:val="center"/>
          </w:tcPr>
          <w:p w14:paraId="2359EE9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011302000020000</w:t>
            </w:r>
          </w:p>
        </w:tc>
        <w:tc>
          <w:tcPr>
            <w:tcW w:w="427" w:type="pct"/>
            <w:vAlign w:val="center"/>
          </w:tcPr>
          <w:p w14:paraId="1F05515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重症监护护理</w:t>
            </w:r>
          </w:p>
        </w:tc>
        <w:tc>
          <w:tcPr>
            <w:tcW w:w="617" w:type="pct"/>
            <w:vAlign w:val="center"/>
          </w:tcPr>
          <w:p w14:paraId="3D1E72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指在重症监护病房内，护理人员为重症监护患者提供的相关护理。</w:t>
            </w:r>
          </w:p>
        </w:tc>
        <w:tc>
          <w:tcPr>
            <w:tcW w:w="1026" w:type="pct"/>
            <w:vAlign w:val="center"/>
          </w:tcPr>
          <w:p w14:paraId="483E6DF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52" w:type="pct"/>
            <w:vAlign w:val="center"/>
          </w:tcPr>
          <w:p w14:paraId="5AF1A49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01儿童加收</w:t>
            </w:r>
          </w:p>
        </w:tc>
        <w:tc>
          <w:tcPr>
            <w:tcW w:w="191" w:type="pct"/>
            <w:vAlign w:val="center"/>
          </w:tcPr>
          <w:p w14:paraId="2146A4F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16EE582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小时</w:t>
            </w:r>
          </w:p>
        </w:tc>
        <w:tc>
          <w:tcPr>
            <w:tcW w:w="599" w:type="pct"/>
            <w:vAlign w:val="center"/>
          </w:tcPr>
          <w:p w14:paraId="7235FFA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1.指在重症监护病房内实施的护理操作，不可与分级护理同时收费，可以与严密隔离护理/保护性隔离护理同时收费，不包含监测项目费用。</w:t>
            </w:r>
          </w:p>
          <w:p w14:paraId="40F1447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2.转入重症监护病房后按“小时”收取重症监护护理费用，转入普通病房后，当日可按“日”收取分级护理费用。</w:t>
            </w:r>
          </w:p>
        </w:tc>
        <w:tc>
          <w:tcPr>
            <w:tcW w:w="177" w:type="pct"/>
            <w:vAlign w:val="center"/>
          </w:tcPr>
          <w:p w14:paraId="5EA4F6C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2A4E43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177" w:type="pct"/>
            <w:vAlign w:val="center"/>
          </w:tcPr>
          <w:p w14:paraId="132731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177" w:type="pct"/>
            <w:vAlign w:val="center"/>
          </w:tcPr>
          <w:p w14:paraId="37BC54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168" w:type="pct"/>
            <w:vAlign w:val="center"/>
          </w:tcPr>
          <w:p w14:paraId="6EE452A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245" w:type="pct"/>
            <w:vAlign w:val="center"/>
          </w:tcPr>
          <w:p w14:paraId="0A6517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5AEE9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420616A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6D7141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011302000020001</w:t>
            </w:r>
          </w:p>
        </w:tc>
        <w:tc>
          <w:tcPr>
            <w:tcW w:w="427" w:type="pct"/>
            <w:vAlign w:val="center"/>
          </w:tcPr>
          <w:p w14:paraId="12F94D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重症监护护理-儿童（加收）</w:t>
            </w:r>
          </w:p>
        </w:tc>
        <w:tc>
          <w:tcPr>
            <w:tcW w:w="617" w:type="pct"/>
            <w:vAlign w:val="center"/>
          </w:tcPr>
          <w:p w14:paraId="5CC292A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指在重症监护病房内，护理人员为重症监护患者提供的相关护理。</w:t>
            </w:r>
          </w:p>
        </w:tc>
        <w:tc>
          <w:tcPr>
            <w:tcW w:w="1026" w:type="pct"/>
            <w:vAlign w:val="center"/>
          </w:tcPr>
          <w:p w14:paraId="6EDCD7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52" w:type="pct"/>
            <w:vAlign w:val="center"/>
          </w:tcPr>
          <w:p w14:paraId="4851F1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139C70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392AB4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小时</w:t>
            </w:r>
          </w:p>
        </w:tc>
        <w:tc>
          <w:tcPr>
            <w:tcW w:w="599" w:type="pct"/>
            <w:vAlign w:val="center"/>
          </w:tcPr>
          <w:p w14:paraId="6D423F7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1.指在重症监护病房内实施的护理操作，不可与分级护理同时收费，可以与严密隔离护理/保护性隔离护理同时收费，不包含监测项目费用。</w:t>
            </w:r>
          </w:p>
          <w:p w14:paraId="0BD2C67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2.转入重症监护病房后按“小时”收取重症监护护理费用，转入普通病房后，当日可按“日”收取分级护理费用。</w:t>
            </w:r>
          </w:p>
        </w:tc>
        <w:tc>
          <w:tcPr>
            <w:tcW w:w="177" w:type="pct"/>
            <w:vAlign w:val="center"/>
          </w:tcPr>
          <w:p w14:paraId="034A7C8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1663C1F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7D4AA6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34BB54F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68" w:type="pct"/>
            <w:vAlign w:val="center"/>
          </w:tcPr>
          <w:p w14:paraId="0E262D6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5" w:type="pct"/>
            <w:vAlign w:val="center"/>
          </w:tcPr>
          <w:p w14:paraId="196DC62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08EC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421C55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469" w:type="pct"/>
            <w:shd w:val="clear" w:color="auto" w:fill="auto"/>
            <w:vAlign w:val="center"/>
          </w:tcPr>
          <w:p w14:paraId="186B901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011302000030000</w:t>
            </w:r>
          </w:p>
        </w:tc>
        <w:tc>
          <w:tcPr>
            <w:tcW w:w="427" w:type="pct"/>
            <w:vAlign w:val="center"/>
          </w:tcPr>
          <w:p w14:paraId="3C2BF18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精神病人护理</w:t>
            </w:r>
          </w:p>
        </w:tc>
        <w:tc>
          <w:tcPr>
            <w:tcW w:w="617" w:type="pct"/>
            <w:vAlign w:val="center"/>
          </w:tcPr>
          <w:p w14:paraId="0B4EF0C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指对精神病患者提供的护理。</w:t>
            </w:r>
          </w:p>
        </w:tc>
        <w:tc>
          <w:tcPr>
            <w:tcW w:w="1026" w:type="pct"/>
            <w:vAlign w:val="center"/>
          </w:tcPr>
          <w:p w14:paraId="7A8A59D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52" w:type="pct"/>
            <w:vAlign w:val="center"/>
          </w:tcPr>
          <w:p w14:paraId="743D5F1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437165C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5813C7B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0D2AE50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4ABB22A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w:t>
            </w:r>
          </w:p>
        </w:tc>
        <w:tc>
          <w:tcPr>
            <w:tcW w:w="177" w:type="pct"/>
            <w:vAlign w:val="center"/>
          </w:tcPr>
          <w:p w14:paraId="3E149A5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27</w:t>
            </w:r>
          </w:p>
        </w:tc>
        <w:tc>
          <w:tcPr>
            <w:tcW w:w="177" w:type="pct"/>
            <w:vAlign w:val="center"/>
          </w:tcPr>
          <w:p w14:paraId="71F766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w:t>
            </w:r>
          </w:p>
        </w:tc>
        <w:tc>
          <w:tcPr>
            <w:tcW w:w="177" w:type="pct"/>
            <w:vAlign w:val="center"/>
          </w:tcPr>
          <w:p w14:paraId="2E37A1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24</w:t>
            </w:r>
          </w:p>
        </w:tc>
        <w:tc>
          <w:tcPr>
            <w:tcW w:w="168" w:type="pct"/>
            <w:vAlign w:val="center"/>
          </w:tcPr>
          <w:p w14:paraId="4A5167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w:t>
            </w:r>
          </w:p>
        </w:tc>
        <w:tc>
          <w:tcPr>
            <w:tcW w:w="245" w:type="pct"/>
            <w:vAlign w:val="center"/>
          </w:tcPr>
          <w:p w14:paraId="6D1CB62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1CFD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6E90FB6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469" w:type="pct"/>
            <w:shd w:val="clear" w:color="auto" w:fill="auto"/>
            <w:vAlign w:val="center"/>
          </w:tcPr>
          <w:p w14:paraId="4BC298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011302000040000</w:t>
            </w:r>
          </w:p>
        </w:tc>
        <w:tc>
          <w:tcPr>
            <w:tcW w:w="427" w:type="pct"/>
            <w:vAlign w:val="center"/>
          </w:tcPr>
          <w:p w14:paraId="602C57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严密隔离护理</w:t>
            </w:r>
          </w:p>
        </w:tc>
        <w:tc>
          <w:tcPr>
            <w:tcW w:w="617" w:type="pct"/>
            <w:vAlign w:val="center"/>
          </w:tcPr>
          <w:p w14:paraId="30356DF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指对甲类、乙类传染病患者在严密隔离条件下提供的护理。</w:t>
            </w:r>
          </w:p>
        </w:tc>
        <w:tc>
          <w:tcPr>
            <w:tcW w:w="1026" w:type="pct"/>
            <w:vAlign w:val="center"/>
          </w:tcPr>
          <w:p w14:paraId="0A63543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所定价格涵盖穿戴个人防护用品、标识、患者排出物消毒处理、生活垃圾及医疗垃圾处理、消毒及细菌采样等所需的人力资源和基本物质资源消耗。</w:t>
            </w:r>
          </w:p>
        </w:tc>
        <w:tc>
          <w:tcPr>
            <w:tcW w:w="252" w:type="pct"/>
            <w:vAlign w:val="center"/>
          </w:tcPr>
          <w:p w14:paraId="37E7A7D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01儿童加收</w:t>
            </w:r>
          </w:p>
        </w:tc>
        <w:tc>
          <w:tcPr>
            <w:tcW w:w="191" w:type="pct"/>
            <w:vAlign w:val="center"/>
          </w:tcPr>
          <w:p w14:paraId="40998C4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4CBF2E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5FB3F3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严密隔离护理条件参照《全国医疗服务项目技术规范(2023年版)》。</w:t>
            </w:r>
          </w:p>
        </w:tc>
        <w:tc>
          <w:tcPr>
            <w:tcW w:w="177" w:type="pct"/>
            <w:vAlign w:val="center"/>
          </w:tcPr>
          <w:p w14:paraId="04DA2B9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32</w:t>
            </w:r>
          </w:p>
        </w:tc>
        <w:tc>
          <w:tcPr>
            <w:tcW w:w="177" w:type="pct"/>
            <w:vAlign w:val="center"/>
          </w:tcPr>
          <w:p w14:paraId="33F7762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177" w:type="pct"/>
            <w:vAlign w:val="center"/>
          </w:tcPr>
          <w:p w14:paraId="33439C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177" w:type="pct"/>
            <w:vAlign w:val="center"/>
          </w:tcPr>
          <w:p w14:paraId="216EFC7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w:t>
            </w:r>
          </w:p>
        </w:tc>
        <w:tc>
          <w:tcPr>
            <w:tcW w:w="168" w:type="pct"/>
            <w:vAlign w:val="center"/>
          </w:tcPr>
          <w:p w14:paraId="3AB20C0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24</w:t>
            </w:r>
          </w:p>
        </w:tc>
        <w:tc>
          <w:tcPr>
            <w:tcW w:w="245" w:type="pct"/>
            <w:vAlign w:val="center"/>
          </w:tcPr>
          <w:p w14:paraId="51F37B0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6981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2DCD7FA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760B1EC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011302000040001</w:t>
            </w:r>
          </w:p>
        </w:tc>
        <w:tc>
          <w:tcPr>
            <w:tcW w:w="427" w:type="pct"/>
            <w:vAlign w:val="center"/>
          </w:tcPr>
          <w:p w14:paraId="0A9498F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严密隔离护理-儿童（加收）</w:t>
            </w:r>
          </w:p>
        </w:tc>
        <w:tc>
          <w:tcPr>
            <w:tcW w:w="617" w:type="pct"/>
            <w:vAlign w:val="center"/>
          </w:tcPr>
          <w:p w14:paraId="5543DBB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指对甲类、乙类传染病患者在严密隔离条件下提供的护理。</w:t>
            </w:r>
          </w:p>
        </w:tc>
        <w:tc>
          <w:tcPr>
            <w:tcW w:w="1026" w:type="pct"/>
            <w:vAlign w:val="center"/>
          </w:tcPr>
          <w:p w14:paraId="2922F50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所定价格涵盖穿戴个人防护用品、标识、患者排出物消毒处理、生活垃圾及医疗垃圾处理、消毒及细菌采样等所需的人力资源和基本物质资源消耗。</w:t>
            </w:r>
          </w:p>
        </w:tc>
        <w:tc>
          <w:tcPr>
            <w:tcW w:w="252" w:type="pct"/>
            <w:vAlign w:val="center"/>
          </w:tcPr>
          <w:p w14:paraId="5FC6188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6CBDD13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4F663C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6ED4155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严密隔离护理条件参照《全国医疗服务项目技术规范(2023年版)》。</w:t>
            </w:r>
          </w:p>
        </w:tc>
        <w:tc>
          <w:tcPr>
            <w:tcW w:w="177" w:type="pct"/>
            <w:vAlign w:val="center"/>
          </w:tcPr>
          <w:p w14:paraId="39D5A1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213786F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6BDDF1D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42E1412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68" w:type="pct"/>
            <w:vAlign w:val="center"/>
          </w:tcPr>
          <w:p w14:paraId="6E2BC0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5" w:type="pct"/>
            <w:vAlign w:val="center"/>
          </w:tcPr>
          <w:p w14:paraId="5E018CF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7D4B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1E89BCE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469" w:type="pct"/>
            <w:shd w:val="clear" w:color="auto" w:fill="auto"/>
            <w:vAlign w:val="center"/>
          </w:tcPr>
          <w:p w14:paraId="350C9C7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011302000050000</w:t>
            </w:r>
          </w:p>
        </w:tc>
        <w:tc>
          <w:tcPr>
            <w:tcW w:w="427" w:type="pct"/>
            <w:vAlign w:val="center"/>
          </w:tcPr>
          <w:p w14:paraId="4B9F6FF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保护性隔离护理</w:t>
            </w:r>
          </w:p>
        </w:tc>
        <w:tc>
          <w:tcPr>
            <w:tcW w:w="617" w:type="pct"/>
            <w:vAlign w:val="center"/>
          </w:tcPr>
          <w:p w14:paraId="1B3F3DB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指对抵抗力低、极易感染患者在保护性隔离条件下的护理。</w:t>
            </w:r>
          </w:p>
        </w:tc>
        <w:tc>
          <w:tcPr>
            <w:tcW w:w="1026" w:type="pct"/>
            <w:vAlign w:val="center"/>
          </w:tcPr>
          <w:p w14:paraId="7AEFCC3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所定价格涵盖观察病情及生命体征、评估、评定、防护用品、消毒清洁及细菌采样等所需的人力资源和基本物质资源消耗。</w:t>
            </w:r>
          </w:p>
        </w:tc>
        <w:tc>
          <w:tcPr>
            <w:tcW w:w="252" w:type="pct"/>
            <w:vAlign w:val="center"/>
          </w:tcPr>
          <w:p w14:paraId="68A2BC7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01儿童加收</w:t>
            </w:r>
          </w:p>
        </w:tc>
        <w:tc>
          <w:tcPr>
            <w:tcW w:w="191" w:type="pct"/>
            <w:vAlign w:val="center"/>
          </w:tcPr>
          <w:p w14:paraId="35FE890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24D070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65D9D73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保护性隔离条件参照《全国医疗服务项目技术规范(2023年版)》。</w:t>
            </w:r>
          </w:p>
        </w:tc>
        <w:tc>
          <w:tcPr>
            <w:tcW w:w="177" w:type="pct"/>
            <w:shd w:val="clear" w:color="auto" w:fill="auto"/>
            <w:vAlign w:val="center"/>
          </w:tcPr>
          <w:p w14:paraId="56C1EDF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32</w:t>
            </w:r>
          </w:p>
        </w:tc>
        <w:tc>
          <w:tcPr>
            <w:tcW w:w="177" w:type="pct"/>
            <w:shd w:val="clear" w:color="auto" w:fill="auto"/>
            <w:vAlign w:val="center"/>
          </w:tcPr>
          <w:p w14:paraId="1EEA76E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177" w:type="pct"/>
            <w:shd w:val="clear" w:color="auto" w:fill="auto"/>
            <w:vAlign w:val="center"/>
          </w:tcPr>
          <w:p w14:paraId="25A0B39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177" w:type="pct"/>
            <w:shd w:val="clear" w:color="auto" w:fill="auto"/>
            <w:vAlign w:val="center"/>
          </w:tcPr>
          <w:p w14:paraId="64EB8A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w:t>
            </w:r>
          </w:p>
        </w:tc>
        <w:tc>
          <w:tcPr>
            <w:tcW w:w="168" w:type="pct"/>
            <w:shd w:val="clear" w:color="auto" w:fill="auto"/>
            <w:vAlign w:val="center"/>
          </w:tcPr>
          <w:p w14:paraId="4220051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24</w:t>
            </w:r>
          </w:p>
        </w:tc>
        <w:tc>
          <w:tcPr>
            <w:tcW w:w="245" w:type="pct"/>
            <w:shd w:val="clear" w:color="auto" w:fill="auto"/>
            <w:vAlign w:val="center"/>
          </w:tcPr>
          <w:p w14:paraId="497D65E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6FFB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40" w:hRule="atLeast"/>
          <w:jc w:val="center"/>
        </w:trPr>
        <w:tc>
          <w:tcPr>
            <w:tcW w:w="129" w:type="pct"/>
            <w:vMerge w:val="continue"/>
            <w:tcBorders>
              <w:top w:val="nil"/>
            </w:tcBorders>
            <w:vAlign w:val="center"/>
          </w:tcPr>
          <w:p w14:paraId="3FF3FFE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5A63E6B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011302000050001</w:t>
            </w:r>
          </w:p>
        </w:tc>
        <w:tc>
          <w:tcPr>
            <w:tcW w:w="427" w:type="pct"/>
            <w:vAlign w:val="center"/>
          </w:tcPr>
          <w:p w14:paraId="702E0FE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保护性隔离护理-儿童（加收）</w:t>
            </w:r>
          </w:p>
        </w:tc>
        <w:tc>
          <w:tcPr>
            <w:tcW w:w="617" w:type="pct"/>
            <w:vAlign w:val="center"/>
          </w:tcPr>
          <w:p w14:paraId="231E096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026" w:type="pct"/>
            <w:vAlign w:val="center"/>
          </w:tcPr>
          <w:p w14:paraId="163235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252" w:type="pct"/>
            <w:vAlign w:val="center"/>
          </w:tcPr>
          <w:p w14:paraId="77AA6B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4B1444D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D3E30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7F32D85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2345498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402D242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77BC422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079CDBB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68" w:type="pct"/>
            <w:vAlign w:val="center"/>
          </w:tcPr>
          <w:p w14:paraId="63621ED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5" w:type="pct"/>
            <w:vAlign w:val="center"/>
          </w:tcPr>
          <w:p w14:paraId="2309CBB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1B1D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7C457A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469" w:type="pct"/>
            <w:shd w:val="clear" w:color="auto" w:fill="auto"/>
            <w:vAlign w:val="center"/>
          </w:tcPr>
          <w:p w14:paraId="6F6001B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011302000060000</w:t>
            </w:r>
          </w:p>
        </w:tc>
        <w:tc>
          <w:tcPr>
            <w:tcW w:w="427" w:type="pct"/>
            <w:vAlign w:val="center"/>
          </w:tcPr>
          <w:p w14:paraId="304F0B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新生儿护理</w:t>
            </w:r>
          </w:p>
        </w:tc>
        <w:tc>
          <w:tcPr>
            <w:tcW w:w="617" w:type="pct"/>
            <w:vAlign w:val="center"/>
          </w:tcPr>
          <w:p w14:paraId="0CAE2E6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指对从胎儿娩出、脐带结扎后至28天的婴儿进行的相关护理。</w:t>
            </w:r>
          </w:p>
        </w:tc>
        <w:tc>
          <w:tcPr>
            <w:tcW w:w="1026" w:type="pct"/>
            <w:vAlign w:val="center"/>
          </w:tcPr>
          <w:p w14:paraId="76E3C8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252" w:type="pct"/>
            <w:vAlign w:val="center"/>
          </w:tcPr>
          <w:p w14:paraId="6F14C9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7ADDA7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615FFC8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7E0C7C8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不与分级护理同时收取。</w:t>
            </w:r>
          </w:p>
        </w:tc>
        <w:tc>
          <w:tcPr>
            <w:tcW w:w="177" w:type="pct"/>
            <w:vAlign w:val="center"/>
          </w:tcPr>
          <w:p w14:paraId="5111AD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73</w:t>
            </w:r>
          </w:p>
        </w:tc>
        <w:tc>
          <w:tcPr>
            <w:tcW w:w="177" w:type="pct"/>
            <w:vAlign w:val="center"/>
          </w:tcPr>
          <w:p w14:paraId="0E6FB0F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67</w:t>
            </w:r>
          </w:p>
        </w:tc>
        <w:tc>
          <w:tcPr>
            <w:tcW w:w="177" w:type="pct"/>
            <w:vAlign w:val="center"/>
          </w:tcPr>
          <w:p w14:paraId="665437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61</w:t>
            </w:r>
          </w:p>
        </w:tc>
        <w:tc>
          <w:tcPr>
            <w:tcW w:w="177" w:type="pct"/>
            <w:vAlign w:val="center"/>
          </w:tcPr>
          <w:p w14:paraId="5E59A0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58</w:t>
            </w:r>
          </w:p>
        </w:tc>
        <w:tc>
          <w:tcPr>
            <w:tcW w:w="168" w:type="pct"/>
            <w:vAlign w:val="center"/>
          </w:tcPr>
          <w:p w14:paraId="3BD7BBD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55</w:t>
            </w:r>
          </w:p>
        </w:tc>
        <w:tc>
          <w:tcPr>
            <w:tcW w:w="245" w:type="pct"/>
            <w:vAlign w:val="center"/>
          </w:tcPr>
          <w:p w14:paraId="23A0AE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3D5E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1908040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469" w:type="pct"/>
            <w:shd w:val="clear" w:color="auto" w:fill="auto"/>
            <w:vAlign w:val="center"/>
          </w:tcPr>
          <w:p w14:paraId="74891D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011302000070000</w:t>
            </w:r>
          </w:p>
        </w:tc>
        <w:tc>
          <w:tcPr>
            <w:tcW w:w="427" w:type="pct"/>
            <w:vAlign w:val="center"/>
          </w:tcPr>
          <w:p w14:paraId="317E6FB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早产儿护理</w:t>
            </w:r>
          </w:p>
        </w:tc>
        <w:tc>
          <w:tcPr>
            <w:tcW w:w="617" w:type="pct"/>
            <w:vAlign w:val="center"/>
          </w:tcPr>
          <w:p w14:paraId="6287AC3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指对出生时胎龄小于37周，纠正胎龄至44周的早产儿进行的相关护理。</w:t>
            </w:r>
          </w:p>
        </w:tc>
        <w:tc>
          <w:tcPr>
            <w:tcW w:w="1026" w:type="pct"/>
            <w:vAlign w:val="center"/>
          </w:tcPr>
          <w:p w14:paraId="10727B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252" w:type="pct"/>
            <w:vAlign w:val="center"/>
          </w:tcPr>
          <w:p w14:paraId="220681C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1C7F15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4E5DD0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9A9317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不与分级护理、重症监护护理同时收取。</w:t>
            </w:r>
          </w:p>
        </w:tc>
        <w:tc>
          <w:tcPr>
            <w:tcW w:w="177" w:type="pct"/>
            <w:vAlign w:val="center"/>
          </w:tcPr>
          <w:p w14:paraId="50D7B37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w:t>
            </w:r>
          </w:p>
        </w:tc>
        <w:tc>
          <w:tcPr>
            <w:tcW w:w="177" w:type="pct"/>
            <w:vAlign w:val="center"/>
          </w:tcPr>
          <w:p w14:paraId="59B085D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82</w:t>
            </w:r>
          </w:p>
        </w:tc>
        <w:tc>
          <w:tcPr>
            <w:tcW w:w="177" w:type="pct"/>
            <w:vAlign w:val="center"/>
          </w:tcPr>
          <w:p w14:paraId="33C0A5F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74</w:t>
            </w:r>
          </w:p>
        </w:tc>
        <w:tc>
          <w:tcPr>
            <w:tcW w:w="177" w:type="pct"/>
            <w:vAlign w:val="center"/>
          </w:tcPr>
          <w:p w14:paraId="10DB848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71</w:t>
            </w:r>
          </w:p>
        </w:tc>
        <w:tc>
          <w:tcPr>
            <w:tcW w:w="168" w:type="pct"/>
            <w:vAlign w:val="center"/>
          </w:tcPr>
          <w:p w14:paraId="1AC8198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67</w:t>
            </w:r>
          </w:p>
        </w:tc>
        <w:tc>
          <w:tcPr>
            <w:tcW w:w="245" w:type="pct"/>
            <w:vAlign w:val="center"/>
          </w:tcPr>
          <w:p w14:paraId="37C637A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0195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5000" w:type="pct"/>
            <w:gridSpan w:val="15"/>
            <w:vAlign w:val="center"/>
          </w:tcPr>
          <w:p w14:paraId="60381D6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专项护理</w:t>
            </w:r>
          </w:p>
        </w:tc>
      </w:tr>
      <w:tr w14:paraId="3EBA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479D606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469" w:type="pct"/>
            <w:vAlign w:val="center"/>
          </w:tcPr>
          <w:p w14:paraId="1D25417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011303000010000</w:t>
            </w:r>
          </w:p>
        </w:tc>
        <w:tc>
          <w:tcPr>
            <w:tcW w:w="427" w:type="pct"/>
            <w:vAlign w:val="center"/>
          </w:tcPr>
          <w:p w14:paraId="6E12E81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口腔护理</w:t>
            </w:r>
          </w:p>
        </w:tc>
        <w:tc>
          <w:tcPr>
            <w:tcW w:w="617" w:type="pct"/>
            <w:vAlign w:val="center"/>
          </w:tcPr>
          <w:p w14:paraId="72ACC09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指为高热、鼻饲、不能经口进食、人工气道等患者进行的口腔清洁护理。</w:t>
            </w:r>
          </w:p>
        </w:tc>
        <w:tc>
          <w:tcPr>
            <w:tcW w:w="1026" w:type="pct"/>
            <w:vAlign w:val="center"/>
          </w:tcPr>
          <w:p w14:paraId="1271D89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52" w:type="pct"/>
            <w:vAlign w:val="center"/>
          </w:tcPr>
          <w:p w14:paraId="7A758AC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5A5BB94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2EBC3C7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次</w:t>
            </w:r>
          </w:p>
        </w:tc>
        <w:tc>
          <w:tcPr>
            <w:tcW w:w="599" w:type="pct"/>
            <w:vAlign w:val="center"/>
          </w:tcPr>
          <w:p w14:paraId="54DF00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177" w:type="pct"/>
            <w:vAlign w:val="center"/>
          </w:tcPr>
          <w:p w14:paraId="4F2C53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77" w:type="pct"/>
            <w:vAlign w:val="center"/>
          </w:tcPr>
          <w:p w14:paraId="083D6C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77" w:type="pct"/>
            <w:vAlign w:val="center"/>
          </w:tcPr>
          <w:p w14:paraId="70D47D6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vAlign w:val="center"/>
          </w:tcPr>
          <w:p w14:paraId="61CAC96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vAlign w:val="center"/>
          </w:tcPr>
          <w:p w14:paraId="2CB7BFE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245" w:type="pct"/>
            <w:vAlign w:val="center"/>
          </w:tcPr>
          <w:p w14:paraId="3683797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4C53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3B6E712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w:t>
            </w:r>
          </w:p>
        </w:tc>
        <w:tc>
          <w:tcPr>
            <w:tcW w:w="469" w:type="pct"/>
            <w:shd w:val="clear" w:color="auto" w:fill="auto"/>
            <w:vAlign w:val="center"/>
          </w:tcPr>
          <w:p w14:paraId="6ED85F5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011303000020000</w:t>
            </w:r>
          </w:p>
        </w:tc>
        <w:tc>
          <w:tcPr>
            <w:tcW w:w="427" w:type="pct"/>
            <w:vAlign w:val="center"/>
          </w:tcPr>
          <w:p w14:paraId="10C6A69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会阴护理</w:t>
            </w:r>
          </w:p>
        </w:tc>
        <w:tc>
          <w:tcPr>
            <w:tcW w:w="617" w:type="pct"/>
            <w:vAlign w:val="center"/>
          </w:tcPr>
          <w:p w14:paraId="6898F1C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指为泌尿生殖系统感染、大小便失禁、会阴部皮肤破损、留置导尿、产后及各种会阴部术后的患者进行的会阴清洁护理。</w:t>
            </w:r>
          </w:p>
        </w:tc>
        <w:tc>
          <w:tcPr>
            <w:tcW w:w="1026" w:type="pct"/>
            <w:vAlign w:val="center"/>
          </w:tcPr>
          <w:p w14:paraId="0F91485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所定价格涵盖评估病情、核对信息、排空膀胱、擦洗或冲洗会阴、尿管，处理用物，给予做好健康教育及心理护理等所需的人力资源和基本物质资源消耗。</w:t>
            </w:r>
          </w:p>
        </w:tc>
        <w:tc>
          <w:tcPr>
            <w:tcW w:w="252" w:type="pct"/>
            <w:vAlign w:val="center"/>
          </w:tcPr>
          <w:p w14:paraId="42071B1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058B6A1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0FC9FC0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次</w:t>
            </w:r>
          </w:p>
        </w:tc>
        <w:tc>
          <w:tcPr>
            <w:tcW w:w="599" w:type="pct"/>
            <w:vAlign w:val="center"/>
          </w:tcPr>
          <w:p w14:paraId="05F3BEE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177" w:type="pct"/>
            <w:shd w:val="clear" w:color="auto" w:fill="auto"/>
            <w:vAlign w:val="center"/>
          </w:tcPr>
          <w:p w14:paraId="4D52460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77" w:type="pct"/>
            <w:shd w:val="clear" w:color="auto" w:fill="auto"/>
            <w:vAlign w:val="center"/>
          </w:tcPr>
          <w:p w14:paraId="26A0D8E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77" w:type="pct"/>
            <w:shd w:val="clear" w:color="auto" w:fill="auto"/>
            <w:vAlign w:val="center"/>
          </w:tcPr>
          <w:p w14:paraId="191D993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3D96DA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shd w:val="clear" w:color="auto" w:fill="auto"/>
            <w:vAlign w:val="center"/>
          </w:tcPr>
          <w:p w14:paraId="0D43B4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245" w:type="pct"/>
            <w:shd w:val="clear" w:color="auto" w:fill="auto"/>
            <w:vAlign w:val="center"/>
          </w:tcPr>
          <w:p w14:paraId="3F4951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25D4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40" w:hRule="atLeast"/>
          <w:jc w:val="center"/>
        </w:trPr>
        <w:tc>
          <w:tcPr>
            <w:tcW w:w="129" w:type="pct"/>
            <w:vAlign w:val="center"/>
          </w:tcPr>
          <w:p w14:paraId="0678C0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w:t>
            </w:r>
          </w:p>
        </w:tc>
        <w:tc>
          <w:tcPr>
            <w:tcW w:w="469" w:type="pct"/>
            <w:shd w:val="clear" w:color="auto" w:fill="auto"/>
            <w:vAlign w:val="center"/>
          </w:tcPr>
          <w:p w14:paraId="3B54500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011303000030000</w:t>
            </w:r>
          </w:p>
        </w:tc>
        <w:tc>
          <w:tcPr>
            <w:tcW w:w="427" w:type="pct"/>
            <w:vAlign w:val="center"/>
          </w:tcPr>
          <w:p w14:paraId="129B1F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肛周护理</w:t>
            </w:r>
          </w:p>
        </w:tc>
        <w:tc>
          <w:tcPr>
            <w:tcW w:w="617" w:type="pct"/>
            <w:vAlign w:val="center"/>
          </w:tcPr>
          <w:p w14:paraId="5B9E697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指为肛周脓肿、大便失禁等患者进行的肛周护理。</w:t>
            </w:r>
          </w:p>
        </w:tc>
        <w:tc>
          <w:tcPr>
            <w:tcW w:w="1026" w:type="pct"/>
            <w:vAlign w:val="center"/>
          </w:tcPr>
          <w:p w14:paraId="0729F99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所定价格涵盖核对信息、准备、观察肛周皮肤黏膜、清洁，涂药或湿敷等所需的人力资源和基本物质资源消耗。</w:t>
            </w:r>
          </w:p>
        </w:tc>
        <w:tc>
          <w:tcPr>
            <w:tcW w:w="252" w:type="pct"/>
            <w:vAlign w:val="center"/>
          </w:tcPr>
          <w:p w14:paraId="7B8B9F3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5DB2E98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7EAABE4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次</w:t>
            </w:r>
          </w:p>
        </w:tc>
        <w:tc>
          <w:tcPr>
            <w:tcW w:w="599" w:type="pct"/>
            <w:vAlign w:val="center"/>
          </w:tcPr>
          <w:p w14:paraId="2983BDF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177" w:type="pct"/>
            <w:shd w:val="clear" w:color="auto" w:fill="auto"/>
            <w:vAlign w:val="center"/>
          </w:tcPr>
          <w:p w14:paraId="15C3E5B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77" w:type="pct"/>
            <w:shd w:val="clear" w:color="auto" w:fill="auto"/>
            <w:vAlign w:val="center"/>
          </w:tcPr>
          <w:p w14:paraId="37DC1FD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77" w:type="pct"/>
            <w:shd w:val="clear" w:color="auto" w:fill="auto"/>
            <w:vAlign w:val="center"/>
          </w:tcPr>
          <w:p w14:paraId="4B46F2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77" w:type="pct"/>
            <w:shd w:val="clear" w:color="auto" w:fill="auto"/>
            <w:vAlign w:val="center"/>
          </w:tcPr>
          <w:p w14:paraId="22A4366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shd w:val="clear" w:color="auto" w:fill="auto"/>
            <w:vAlign w:val="center"/>
          </w:tcPr>
          <w:p w14:paraId="05C3093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245" w:type="pct"/>
            <w:shd w:val="clear" w:color="auto" w:fill="auto"/>
            <w:vAlign w:val="center"/>
          </w:tcPr>
          <w:p w14:paraId="5F59A8C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7213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07993A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w:t>
            </w:r>
          </w:p>
        </w:tc>
        <w:tc>
          <w:tcPr>
            <w:tcW w:w="469" w:type="pct"/>
            <w:shd w:val="clear" w:color="auto" w:fill="auto"/>
            <w:vAlign w:val="center"/>
          </w:tcPr>
          <w:p w14:paraId="3644F99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011303000040000</w:t>
            </w:r>
          </w:p>
        </w:tc>
        <w:tc>
          <w:tcPr>
            <w:tcW w:w="427" w:type="pct"/>
            <w:vAlign w:val="center"/>
          </w:tcPr>
          <w:p w14:paraId="2FDB55A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置管护理（深静脉/动脉）</w:t>
            </w:r>
          </w:p>
        </w:tc>
        <w:tc>
          <w:tcPr>
            <w:tcW w:w="617" w:type="pct"/>
            <w:vAlign w:val="center"/>
          </w:tcPr>
          <w:p w14:paraId="63DE88F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对深静脉置管/动脉置管管路实施维护，使管路维持正常功能。</w:t>
            </w:r>
          </w:p>
        </w:tc>
        <w:tc>
          <w:tcPr>
            <w:tcW w:w="1026" w:type="pct"/>
            <w:vAlign w:val="center"/>
          </w:tcPr>
          <w:p w14:paraId="41CCAB3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所定价格涵盖导管状态评估、管路疏通、封管，必要时更换输液接头等所需的人力资源和基本物质资源消耗。不含创口换药。</w:t>
            </w:r>
          </w:p>
        </w:tc>
        <w:tc>
          <w:tcPr>
            <w:tcW w:w="252" w:type="pct"/>
            <w:vAlign w:val="center"/>
          </w:tcPr>
          <w:p w14:paraId="13A9725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27E2BA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04C9E2F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管·日</w:t>
            </w:r>
          </w:p>
        </w:tc>
        <w:tc>
          <w:tcPr>
            <w:tcW w:w="599" w:type="pct"/>
            <w:vAlign w:val="center"/>
          </w:tcPr>
          <w:p w14:paraId="33D7AF9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1.深静脉置管包括中心静脉导管(CVC)、经外周静脉置入的中心静脉导管(PICC)、输液港(PORT）等。</w:t>
            </w:r>
          </w:p>
          <w:p w14:paraId="04E5D29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2.外周静脉置管护理含在注射费价格构成中，不单独计费。</w:t>
            </w:r>
          </w:p>
        </w:tc>
        <w:tc>
          <w:tcPr>
            <w:tcW w:w="177" w:type="pct"/>
            <w:vAlign w:val="center"/>
          </w:tcPr>
          <w:p w14:paraId="7998CCD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77" w:type="pct"/>
            <w:vAlign w:val="center"/>
          </w:tcPr>
          <w:p w14:paraId="7FE4E47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177" w:type="pct"/>
            <w:vAlign w:val="center"/>
          </w:tcPr>
          <w:p w14:paraId="2676A13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77" w:type="pct"/>
            <w:vAlign w:val="center"/>
          </w:tcPr>
          <w:p w14:paraId="5D78E51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168" w:type="pct"/>
            <w:vAlign w:val="center"/>
          </w:tcPr>
          <w:p w14:paraId="6BBC88A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w:t>
            </w:r>
          </w:p>
        </w:tc>
        <w:tc>
          <w:tcPr>
            <w:tcW w:w="245" w:type="pct"/>
            <w:vAlign w:val="center"/>
          </w:tcPr>
          <w:p w14:paraId="546BFC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1356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1C4077B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469" w:type="pct"/>
            <w:shd w:val="clear" w:color="auto" w:fill="auto"/>
            <w:vAlign w:val="center"/>
          </w:tcPr>
          <w:p w14:paraId="13E2E2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011303000050000</w:t>
            </w:r>
          </w:p>
        </w:tc>
        <w:tc>
          <w:tcPr>
            <w:tcW w:w="427" w:type="pct"/>
            <w:vAlign w:val="center"/>
          </w:tcPr>
          <w:p w14:paraId="12A9FF2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气管插管护理</w:t>
            </w:r>
          </w:p>
        </w:tc>
        <w:tc>
          <w:tcPr>
            <w:tcW w:w="617" w:type="pct"/>
            <w:vAlign w:val="center"/>
          </w:tcPr>
          <w:p w14:paraId="03C751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对气管插管实施维护，维持正常通气功能。</w:t>
            </w:r>
          </w:p>
        </w:tc>
        <w:tc>
          <w:tcPr>
            <w:tcW w:w="1026" w:type="pct"/>
            <w:vAlign w:val="center"/>
          </w:tcPr>
          <w:p w14:paraId="51F8D9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252" w:type="pct"/>
            <w:vAlign w:val="center"/>
          </w:tcPr>
          <w:p w14:paraId="708C0DE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00A777D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BE7833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097335A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5537F56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w:t>
            </w:r>
          </w:p>
        </w:tc>
        <w:tc>
          <w:tcPr>
            <w:tcW w:w="177" w:type="pct"/>
            <w:vAlign w:val="center"/>
          </w:tcPr>
          <w:p w14:paraId="08D8EA7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w:t>
            </w:r>
          </w:p>
        </w:tc>
        <w:tc>
          <w:tcPr>
            <w:tcW w:w="177" w:type="pct"/>
            <w:vAlign w:val="center"/>
          </w:tcPr>
          <w:p w14:paraId="5D6BE0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77" w:type="pct"/>
            <w:vAlign w:val="center"/>
          </w:tcPr>
          <w:p w14:paraId="1A53BF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w:t>
            </w:r>
          </w:p>
        </w:tc>
        <w:tc>
          <w:tcPr>
            <w:tcW w:w="168" w:type="pct"/>
            <w:vAlign w:val="center"/>
          </w:tcPr>
          <w:p w14:paraId="742AD88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245" w:type="pct"/>
            <w:vAlign w:val="center"/>
          </w:tcPr>
          <w:p w14:paraId="6B4C59B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3AF6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78F72A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17</w:t>
            </w:r>
          </w:p>
        </w:tc>
        <w:tc>
          <w:tcPr>
            <w:tcW w:w="469" w:type="pct"/>
            <w:shd w:val="clear" w:color="auto" w:fill="auto"/>
            <w:vAlign w:val="center"/>
          </w:tcPr>
          <w:p w14:paraId="492EB1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011303000060000</w:t>
            </w:r>
          </w:p>
        </w:tc>
        <w:tc>
          <w:tcPr>
            <w:tcW w:w="427" w:type="pct"/>
            <w:vAlign w:val="center"/>
          </w:tcPr>
          <w:p w14:paraId="4E7619C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气管切开护理</w:t>
            </w:r>
          </w:p>
        </w:tc>
        <w:tc>
          <w:tcPr>
            <w:tcW w:w="617" w:type="pct"/>
            <w:vAlign w:val="center"/>
          </w:tcPr>
          <w:p w14:paraId="2EE82E9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对气管切开套管（含经皮气切插管）实施维护，维持正常通气功能。</w:t>
            </w:r>
          </w:p>
        </w:tc>
        <w:tc>
          <w:tcPr>
            <w:tcW w:w="1026" w:type="pct"/>
            <w:vAlign w:val="center"/>
          </w:tcPr>
          <w:p w14:paraId="795D48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252" w:type="pct"/>
            <w:vAlign w:val="center"/>
          </w:tcPr>
          <w:p w14:paraId="03CBC8A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7A3E9C0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3768E60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461770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更换套管是置管的延伸服务，按照医生医嘱更换套管，单独收取耗材费用。</w:t>
            </w:r>
          </w:p>
        </w:tc>
        <w:tc>
          <w:tcPr>
            <w:tcW w:w="177" w:type="pct"/>
            <w:shd w:val="clear" w:color="auto" w:fill="auto"/>
            <w:vAlign w:val="center"/>
          </w:tcPr>
          <w:p w14:paraId="2B99458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w:t>
            </w:r>
          </w:p>
        </w:tc>
        <w:tc>
          <w:tcPr>
            <w:tcW w:w="177" w:type="pct"/>
            <w:shd w:val="clear" w:color="auto" w:fill="auto"/>
            <w:vAlign w:val="center"/>
          </w:tcPr>
          <w:p w14:paraId="651327F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w:t>
            </w:r>
          </w:p>
        </w:tc>
        <w:tc>
          <w:tcPr>
            <w:tcW w:w="177" w:type="pct"/>
            <w:shd w:val="clear" w:color="auto" w:fill="auto"/>
            <w:vAlign w:val="center"/>
          </w:tcPr>
          <w:p w14:paraId="787CF95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77" w:type="pct"/>
            <w:shd w:val="clear" w:color="auto" w:fill="auto"/>
            <w:vAlign w:val="center"/>
          </w:tcPr>
          <w:p w14:paraId="4102EFB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31</w:t>
            </w:r>
          </w:p>
        </w:tc>
        <w:tc>
          <w:tcPr>
            <w:tcW w:w="168" w:type="pct"/>
            <w:shd w:val="clear" w:color="auto" w:fill="auto"/>
            <w:vAlign w:val="center"/>
          </w:tcPr>
          <w:p w14:paraId="795C07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29</w:t>
            </w:r>
          </w:p>
        </w:tc>
        <w:tc>
          <w:tcPr>
            <w:tcW w:w="245" w:type="pct"/>
            <w:shd w:val="clear" w:color="auto" w:fill="auto"/>
            <w:vAlign w:val="center"/>
          </w:tcPr>
          <w:p w14:paraId="196AC19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5FE4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restart"/>
            <w:tcBorders>
              <w:bottom w:val="nil"/>
            </w:tcBorders>
            <w:vAlign w:val="center"/>
          </w:tcPr>
          <w:p w14:paraId="23FEB7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18</w:t>
            </w:r>
          </w:p>
        </w:tc>
        <w:tc>
          <w:tcPr>
            <w:tcW w:w="469" w:type="pct"/>
            <w:shd w:val="clear" w:color="auto" w:fill="auto"/>
            <w:vAlign w:val="center"/>
          </w:tcPr>
          <w:p w14:paraId="1391A3E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011303000070000</w:t>
            </w:r>
          </w:p>
        </w:tc>
        <w:tc>
          <w:tcPr>
            <w:tcW w:w="427" w:type="pct"/>
            <w:vAlign w:val="center"/>
          </w:tcPr>
          <w:p w14:paraId="3769D54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引流管护理</w:t>
            </w:r>
          </w:p>
        </w:tc>
        <w:tc>
          <w:tcPr>
            <w:tcW w:w="617" w:type="pct"/>
            <w:vAlign w:val="center"/>
          </w:tcPr>
          <w:p w14:paraId="0E3FF4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对各种引流管路（含尿管、胃肠减压管路等）实施维护，保持引流通畅。</w:t>
            </w:r>
          </w:p>
        </w:tc>
        <w:tc>
          <w:tcPr>
            <w:tcW w:w="1026" w:type="pct"/>
            <w:vAlign w:val="center"/>
          </w:tcPr>
          <w:p w14:paraId="1533138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所定价格涵盖观察引流液性状及记量、检查引流管位置并固定、冲洗、更换引流袋等所需的人力资源和基本物质资源消耗。不含创口换药。</w:t>
            </w:r>
          </w:p>
        </w:tc>
        <w:tc>
          <w:tcPr>
            <w:tcW w:w="252" w:type="pct"/>
            <w:vAlign w:val="center"/>
          </w:tcPr>
          <w:p w14:paraId="2170E33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01闭式引流护理</w:t>
            </w:r>
          </w:p>
        </w:tc>
        <w:tc>
          <w:tcPr>
            <w:tcW w:w="191" w:type="pct"/>
            <w:vAlign w:val="center"/>
          </w:tcPr>
          <w:p w14:paraId="6515493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402EAD4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管·日</w:t>
            </w:r>
          </w:p>
        </w:tc>
        <w:tc>
          <w:tcPr>
            <w:tcW w:w="599" w:type="pct"/>
            <w:vAlign w:val="center"/>
          </w:tcPr>
          <w:p w14:paraId="58C2EE6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51DF1BE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77" w:type="pct"/>
            <w:vAlign w:val="center"/>
          </w:tcPr>
          <w:p w14:paraId="70C8B31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177" w:type="pct"/>
            <w:vAlign w:val="center"/>
          </w:tcPr>
          <w:p w14:paraId="6F8AC48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177" w:type="pct"/>
            <w:vAlign w:val="center"/>
          </w:tcPr>
          <w:p w14:paraId="28C327B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168" w:type="pct"/>
            <w:vAlign w:val="center"/>
          </w:tcPr>
          <w:p w14:paraId="21312B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w:t>
            </w:r>
          </w:p>
        </w:tc>
        <w:tc>
          <w:tcPr>
            <w:tcW w:w="245" w:type="pct"/>
            <w:vAlign w:val="center"/>
          </w:tcPr>
          <w:p w14:paraId="6DF713A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0126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Merge w:val="continue"/>
            <w:tcBorders>
              <w:top w:val="nil"/>
            </w:tcBorders>
            <w:vAlign w:val="center"/>
          </w:tcPr>
          <w:p w14:paraId="12ABC1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469" w:type="pct"/>
            <w:shd w:val="clear" w:color="auto" w:fill="auto"/>
            <w:vAlign w:val="center"/>
          </w:tcPr>
          <w:p w14:paraId="4AD158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011303000070001</w:t>
            </w:r>
          </w:p>
        </w:tc>
        <w:tc>
          <w:tcPr>
            <w:tcW w:w="427" w:type="pct"/>
            <w:vAlign w:val="center"/>
          </w:tcPr>
          <w:p w14:paraId="71AD84E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引流管护理-闭式引流护理（加收）</w:t>
            </w:r>
          </w:p>
        </w:tc>
        <w:tc>
          <w:tcPr>
            <w:tcW w:w="617" w:type="pct"/>
            <w:vAlign w:val="center"/>
          </w:tcPr>
          <w:p w14:paraId="195B1C2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对各种引流管路（含尿管、胃肠减压管路等）实施维护，保持引流通畅。</w:t>
            </w:r>
          </w:p>
        </w:tc>
        <w:tc>
          <w:tcPr>
            <w:tcW w:w="1026" w:type="pct"/>
            <w:vAlign w:val="center"/>
          </w:tcPr>
          <w:p w14:paraId="021EB91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所定价格涵盖观察引流液性状及记量、检查引流管位置并固定、冲洗、更换引流袋等所需的人力资源和基本物质资源消耗。不含创口换药。</w:t>
            </w:r>
          </w:p>
        </w:tc>
        <w:tc>
          <w:tcPr>
            <w:tcW w:w="252" w:type="pct"/>
            <w:vAlign w:val="center"/>
          </w:tcPr>
          <w:p w14:paraId="744B607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5D641E3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2346FC0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管·日</w:t>
            </w:r>
          </w:p>
        </w:tc>
        <w:tc>
          <w:tcPr>
            <w:tcW w:w="599" w:type="pct"/>
            <w:vAlign w:val="center"/>
          </w:tcPr>
          <w:p w14:paraId="7D4F488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7BE38AB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77" w:type="pct"/>
            <w:vAlign w:val="center"/>
          </w:tcPr>
          <w:p w14:paraId="6B0325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77" w:type="pct"/>
            <w:vAlign w:val="center"/>
          </w:tcPr>
          <w:p w14:paraId="05E3B5B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77" w:type="pct"/>
            <w:vAlign w:val="center"/>
          </w:tcPr>
          <w:p w14:paraId="32F6163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168" w:type="pct"/>
            <w:vAlign w:val="center"/>
          </w:tcPr>
          <w:p w14:paraId="4282D58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33%</w:t>
            </w:r>
          </w:p>
        </w:tc>
        <w:tc>
          <w:tcPr>
            <w:tcW w:w="245" w:type="pct"/>
            <w:vAlign w:val="center"/>
          </w:tcPr>
          <w:p w14:paraId="70F4BD3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0A27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29B3245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w:t>
            </w:r>
          </w:p>
        </w:tc>
        <w:tc>
          <w:tcPr>
            <w:tcW w:w="469" w:type="pct"/>
            <w:shd w:val="clear" w:color="auto" w:fill="auto"/>
            <w:vAlign w:val="center"/>
          </w:tcPr>
          <w:p w14:paraId="10CE857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011303000080000</w:t>
            </w:r>
          </w:p>
        </w:tc>
        <w:tc>
          <w:tcPr>
            <w:tcW w:w="427" w:type="pct"/>
            <w:vAlign w:val="center"/>
          </w:tcPr>
          <w:p w14:paraId="3492AFC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肠内营养输注护理</w:t>
            </w:r>
          </w:p>
        </w:tc>
        <w:tc>
          <w:tcPr>
            <w:tcW w:w="617" w:type="pct"/>
            <w:vAlign w:val="center"/>
          </w:tcPr>
          <w:p w14:paraId="38BD08D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指经鼻胃/肠管、造瘘等途径灌注药物或要素饮食的患者的护理</w:t>
            </w:r>
          </w:p>
          <w:p w14:paraId="58114D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p>
        </w:tc>
        <w:tc>
          <w:tcPr>
            <w:tcW w:w="1026" w:type="pct"/>
            <w:vAlign w:val="center"/>
          </w:tcPr>
          <w:p w14:paraId="576A9DE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52" w:type="pct"/>
            <w:vAlign w:val="center"/>
          </w:tcPr>
          <w:p w14:paraId="69F3430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37D6C8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550D1EE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16021C4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2F27A73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14</w:t>
            </w:r>
          </w:p>
        </w:tc>
        <w:tc>
          <w:tcPr>
            <w:tcW w:w="177" w:type="pct"/>
            <w:vAlign w:val="center"/>
          </w:tcPr>
          <w:p w14:paraId="439A900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13</w:t>
            </w:r>
          </w:p>
        </w:tc>
        <w:tc>
          <w:tcPr>
            <w:tcW w:w="177" w:type="pct"/>
            <w:vAlign w:val="center"/>
          </w:tcPr>
          <w:p w14:paraId="40C57D8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12</w:t>
            </w:r>
          </w:p>
        </w:tc>
        <w:tc>
          <w:tcPr>
            <w:tcW w:w="177" w:type="pct"/>
            <w:vAlign w:val="center"/>
          </w:tcPr>
          <w:p w14:paraId="5BA508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168" w:type="pct"/>
            <w:vAlign w:val="center"/>
          </w:tcPr>
          <w:p w14:paraId="11AAF0A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245" w:type="pct"/>
            <w:vAlign w:val="center"/>
          </w:tcPr>
          <w:p w14:paraId="7CE6F78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自费</w:t>
            </w:r>
          </w:p>
        </w:tc>
      </w:tr>
      <w:tr w14:paraId="1B3A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7817A60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469" w:type="pct"/>
            <w:shd w:val="clear" w:color="auto" w:fill="auto"/>
            <w:vAlign w:val="center"/>
          </w:tcPr>
          <w:p w14:paraId="006CB95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011303000090000</w:t>
            </w:r>
          </w:p>
        </w:tc>
        <w:tc>
          <w:tcPr>
            <w:tcW w:w="427" w:type="pct"/>
            <w:vAlign w:val="center"/>
          </w:tcPr>
          <w:p w14:paraId="4788D19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造口/造瘘护理</w:t>
            </w:r>
          </w:p>
        </w:tc>
        <w:tc>
          <w:tcPr>
            <w:tcW w:w="617" w:type="pct"/>
            <w:vAlign w:val="center"/>
          </w:tcPr>
          <w:p w14:paraId="5B02733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指对造口/造瘘实施维护，维持患者排泄通畅的护理。</w:t>
            </w:r>
          </w:p>
        </w:tc>
        <w:tc>
          <w:tcPr>
            <w:tcW w:w="1026" w:type="pct"/>
            <w:vAlign w:val="center"/>
          </w:tcPr>
          <w:p w14:paraId="0B334D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52" w:type="pct"/>
            <w:vAlign w:val="center"/>
          </w:tcPr>
          <w:p w14:paraId="0A6BCF8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6606506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777B00F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每造口/每造瘘·日</w:t>
            </w:r>
          </w:p>
        </w:tc>
        <w:tc>
          <w:tcPr>
            <w:tcW w:w="599" w:type="pct"/>
            <w:vAlign w:val="center"/>
          </w:tcPr>
          <w:p w14:paraId="2664EA4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2DF482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62E15FF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177" w:type="pct"/>
            <w:vAlign w:val="center"/>
          </w:tcPr>
          <w:p w14:paraId="35883A4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177" w:type="pct"/>
            <w:vAlign w:val="center"/>
          </w:tcPr>
          <w:p w14:paraId="37A74AE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168" w:type="pct"/>
            <w:vAlign w:val="center"/>
          </w:tcPr>
          <w:p w14:paraId="3A902FB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16</w:t>
            </w:r>
          </w:p>
        </w:tc>
        <w:tc>
          <w:tcPr>
            <w:tcW w:w="245" w:type="pct"/>
            <w:vAlign w:val="center"/>
          </w:tcPr>
          <w:p w14:paraId="7C56C43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63BF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7B209B0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w:t>
            </w:r>
          </w:p>
        </w:tc>
        <w:tc>
          <w:tcPr>
            <w:tcW w:w="469" w:type="pct"/>
            <w:shd w:val="clear" w:color="auto" w:fill="auto"/>
            <w:vAlign w:val="center"/>
          </w:tcPr>
          <w:p w14:paraId="665A59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011303000100000</w:t>
            </w:r>
          </w:p>
        </w:tc>
        <w:tc>
          <w:tcPr>
            <w:tcW w:w="427" w:type="pct"/>
            <w:vAlign w:val="center"/>
          </w:tcPr>
          <w:p w14:paraId="5FCA587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压力性损伤护理</w:t>
            </w:r>
          </w:p>
        </w:tc>
        <w:tc>
          <w:tcPr>
            <w:tcW w:w="617" w:type="pct"/>
            <w:vAlign w:val="center"/>
          </w:tcPr>
          <w:p w14:paraId="78372C2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指对有压力性损伤风险或已出现压力性损伤患者，实施预防或护理。</w:t>
            </w:r>
          </w:p>
        </w:tc>
        <w:tc>
          <w:tcPr>
            <w:tcW w:w="1026" w:type="pct"/>
            <w:vAlign w:val="center"/>
          </w:tcPr>
          <w:p w14:paraId="3E79A9A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52" w:type="pct"/>
            <w:vAlign w:val="center"/>
          </w:tcPr>
          <w:p w14:paraId="2EEA71D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71B0D34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02B565D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572908E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77" w:type="pct"/>
            <w:vAlign w:val="center"/>
          </w:tcPr>
          <w:p w14:paraId="3053BF8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46</w:t>
            </w:r>
          </w:p>
        </w:tc>
        <w:tc>
          <w:tcPr>
            <w:tcW w:w="177" w:type="pct"/>
            <w:vAlign w:val="center"/>
          </w:tcPr>
          <w:p w14:paraId="7CC53AE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42</w:t>
            </w:r>
          </w:p>
        </w:tc>
        <w:tc>
          <w:tcPr>
            <w:tcW w:w="177" w:type="pct"/>
            <w:vAlign w:val="center"/>
          </w:tcPr>
          <w:p w14:paraId="5470F77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38</w:t>
            </w:r>
          </w:p>
        </w:tc>
        <w:tc>
          <w:tcPr>
            <w:tcW w:w="177" w:type="pct"/>
            <w:vAlign w:val="center"/>
          </w:tcPr>
          <w:p w14:paraId="4CDA44A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36</w:t>
            </w:r>
          </w:p>
        </w:tc>
        <w:tc>
          <w:tcPr>
            <w:tcW w:w="168" w:type="pct"/>
            <w:vAlign w:val="center"/>
          </w:tcPr>
          <w:p w14:paraId="6A4432B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w:t>
            </w:r>
          </w:p>
        </w:tc>
        <w:tc>
          <w:tcPr>
            <w:tcW w:w="245" w:type="pct"/>
            <w:vAlign w:val="center"/>
          </w:tcPr>
          <w:p w14:paraId="6C7143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甲类</w:t>
            </w:r>
          </w:p>
        </w:tc>
      </w:tr>
      <w:tr w14:paraId="53F4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40" w:hRule="atLeast"/>
          <w:jc w:val="center"/>
        </w:trPr>
        <w:tc>
          <w:tcPr>
            <w:tcW w:w="129" w:type="pct"/>
            <w:vAlign w:val="center"/>
          </w:tcPr>
          <w:p w14:paraId="748B21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22</w:t>
            </w:r>
          </w:p>
        </w:tc>
        <w:tc>
          <w:tcPr>
            <w:tcW w:w="469" w:type="pct"/>
            <w:shd w:val="clear" w:color="auto" w:fill="auto"/>
            <w:vAlign w:val="center"/>
          </w:tcPr>
          <w:p w14:paraId="764C350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color w:val="auto"/>
                <w:kern w:val="2"/>
                <w:sz w:val="17"/>
                <w:szCs w:val="17"/>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011303000110000</w:t>
            </w:r>
          </w:p>
        </w:tc>
        <w:tc>
          <w:tcPr>
            <w:tcW w:w="427" w:type="pct"/>
            <w:vAlign w:val="center"/>
          </w:tcPr>
          <w:p w14:paraId="1F934CE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免陪照护服务</w:t>
            </w:r>
          </w:p>
        </w:tc>
        <w:tc>
          <w:tcPr>
            <w:tcW w:w="617" w:type="pct"/>
            <w:vAlign w:val="center"/>
          </w:tcPr>
          <w:p w14:paraId="1CD60B2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指公立医疗机构提供的服务事项，指在没有家属和护工参与的情况下，完全由护士、护理员承担患者全部生活护理。</w:t>
            </w:r>
          </w:p>
        </w:tc>
        <w:tc>
          <w:tcPr>
            <w:tcW w:w="1026" w:type="pct"/>
            <w:vAlign w:val="center"/>
          </w:tcPr>
          <w:p w14:paraId="58C93FC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所定价格涵盖生活照顾等所需的人力资源和基本物质资源消耗。</w:t>
            </w:r>
          </w:p>
        </w:tc>
        <w:tc>
          <w:tcPr>
            <w:tcW w:w="252" w:type="pct"/>
            <w:vAlign w:val="center"/>
          </w:tcPr>
          <w:p w14:paraId="1FFFFDC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91" w:type="pct"/>
            <w:vAlign w:val="center"/>
          </w:tcPr>
          <w:p w14:paraId="6A4345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162" w:type="pct"/>
            <w:vAlign w:val="center"/>
          </w:tcPr>
          <w:p w14:paraId="6952F4C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日</w:t>
            </w:r>
          </w:p>
        </w:tc>
        <w:tc>
          <w:tcPr>
            <w:tcW w:w="599" w:type="pct"/>
            <w:vAlign w:val="center"/>
          </w:tcPr>
          <w:p w14:paraId="1F3F48B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1.指在特级护理、I级护理服务的基础上同时开展免陪照护服务的，可在特级护理、I级护理收费的同时，加收该项目收费；</w:t>
            </w:r>
          </w:p>
          <w:p w14:paraId="35464E7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2.免陪照护患者家庭根据自身需要自行雇佣护理员，通过市场化解决，不属于医疗服务价格项目管理范畴。</w:t>
            </w:r>
          </w:p>
        </w:tc>
        <w:tc>
          <w:tcPr>
            <w:tcW w:w="177" w:type="pct"/>
            <w:vAlign w:val="center"/>
          </w:tcPr>
          <w:p w14:paraId="6B7533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1名护士或护理员照护1名患者：228元；</w:t>
            </w:r>
          </w:p>
          <w:p w14:paraId="54466F4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1名护士或护理员照护多名患者：</w:t>
            </w:r>
          </w:p>
          <w:p w14:paraId="6B5BED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95元。</w:t>
            </w:r>
          </w:p>
        </w:tc>
        <w:tc>
          <w:tcPr>
            <w:tcW w:w="177" w:type="pct"/>
            <w:vAlign w:val="center"/>
          </w:tcPr>
          <w:p w14:paraId="7C702C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1名护士或护理员照护1名患者：209元；</w:t>
            </w:r>
          </w:p>
          <w:p w14:paraId="214B8B0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1名护士或护理员照护多名患者：87元。</w:t>
            </w:r>
          </w:p>
        </w:tc>
        <w:tc>
          <w:tcPr>
            <w:tcW w:w="177" w:type="pct"/>
            <w:vAlign w:val="center"/>
          </w:tcPr>
          <w:p w14:paraId="656346D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1名护士或护理员照护1名患者：190元；</w:t>
            </w:r>
          </w:p>
          <w:p w14:paraId="5E29A2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1名护士或护理员照护多名患者：79元。</w:t>
            </w:r>
          </w:p>
        </w:tc>
        <w:tc>
          <w:tcPr>
            <w:tcW w:w="177" w:type="pct"/>
            <w:vAlign w:val="center"/>
          </w:tcPr>
          <w:p w14:paraId="35ACB79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1名护士或护理员照护1名患者：181元；</w:t>
            </w:r>
          </w:p>
          <w:p w14:paraId="7DAD4F3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1名护士或护理员照护多名患者：75元。</w:t>
            </w:r>
          </w:p>
        </w:tc>
        <w:tc>
          <w:tcPr>
            <w:tcW w:w="168" w:type="pct"/>
            <w:vAlign w:val="center"/>
          </w:tcPr>
          <w:p w14:paraId="49B2C6E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1名护士或护理员照护1名患者：171元；</w:t>
            </w:r>
          </w:p>
          <w:p w14:paraId="4D41AA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1名护士或护理员照护多名患者：71元。</w:t>
            </w:r>
          </w:p>
        </w:tc>
        <w:tc>
          <w:tcPr>
            <w:tcW w:w="245" w:type="pct"/>
            <w:vAlign w:val="center"/>
          </w:tcPr>
          <w:p w14:paraId="389968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自费</w:t>
            </w:r>
          </w:p>
        </w:tc>
      </w:tr>
    </w:tbl>
    <w:p w14:paraId="3D748069">
      <w:pPr>
        <w:rPr>
          <w:rFonts w:hint="eastAsia" w:ascii="仿宋_GB2312" w:hAnsi="宋体" w:eastAsia="仿宋_GB2312" w:cs="宋体"/>
          <w:color w:val="auto"/>
          <w:sz w:val="24"/>
          <w:szCs w:val="2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417" w:bottom="1417" w:left="1417" w:header="709" w:footer="1417" w:gutter="0"/>
      <w:pgBorders>
        <w:top w:val="none" w:sz="0" w:space="0"/>
        <w:left w:val="none" w:sz="0" w:space="0"/>
        <w:bottom w:val="none" w:sz="0" w:space="0"/>
        <w:right w:val="none" w:sz="0" w:space="0"/>
      </w:pgBorders>
      <w:cols w:space="0" w:num="1"/>
      <w:docGrid w:type="lines" w:linePitch="3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6564">
    <w:pPr>
      <w:pStyle w:val="8"/>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hAnsi="宋体" w:cs="宋体"/>
        <w:sz w:val="28"/>
        <w:szCs w:val="28"/>
      </w:rPr>
      <w:t xml:space="preserve"> —</w:t>
    </w:r>
  </w:p>
  <w:p w14:paraId="38150981">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9599">
    <w:pPr>
      <w:pStyle w:val="8"/>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4</w:t>
    </w:r>
    <w:r>
      <w:rPr>
        <w:rFonts w:ascii="宋体" w:hAnsi="宋体" w:cs="宋体"/>
        <w:sz w:val="28"/>
        <w:szCs w:val="28"/>
      </w:rPr>
      <w:fldChar w:fldCharType="end"/>
    </w:r>
    <w:r>
      <w:rPr>
        <w:rFonts w:ascii="宋体" w:hAnsi="宋体" w:cs="宋体"/>
        <w:sz w:val="28"/>
        <w:szCs w:val="28"/>
      </w:rPr>
      <w:t xml:space="preserve"> —</w:t>
    </w:r>
  </w:p>
  <w:p w14:paraId="6A7B7D6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6AC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98A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7679">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BF6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83"/>
  <w:displayHorizontalDrawingGridEvery w:val="1"/>
  <w:displayVerticalDrawingGridEvery w:val="1"/>
  <w:noPunctuationKerning w:val="1"/>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YTkyYzc0YWJkYzdjYmYyMTZlMDYyODRhOWJkMzIifQ=="/>
  </w:docVars>
  <w:rsids>
    <w:rsidRoot w:val="000442E6"/>
    <w:rsid w:val="00013798"/>
    <w:rsid w:val="000245FB"/>
    <w:rsid w:val="000442E6"/>
    <w:rsid w:val="00073398"/>
    <w:rsid w:val="0008144D"/>
    <w:rsid w:val="00084820"/>
    <w:rsid w:val="00087EB8"/>
    <w:rsid w:val="000A083D"/>
    <w:rsid w:val="000C2A29"/>
    <w:rsid w:val="000D414F"/>
    <w:rsid w:val="000E1A3F"/>
    <w:rsid w:val="000F3EED"/>
    <w:rsid w:val="000F4752"/>
    <w:rsid w:val="0011362B"/>
    <w:rsid w:val="0011752F"/>
    <w:rsid w:val="001429CF"/>
    <w:rsid w:val="00160C1C"/>
    <w:rsid w:val="00161582"/>
    <w:rsid w:val="00190D73"/>
    <w:rsid w:val="002124D8"/>
    <w:rsid w:val="00230C2C"/>
    <w:rsid w:val="00284544"/>
    <w:rsid w:val="002B4AD6"/>
    <w:rsid w:val="002B6A79"/>
    <w:rsid w:val="002E0103"/>
    <w:rsid w:val="002E40B3"/>
    <w:rsid w:val="00323B43"/>
    <w:rsid w:val="003574B7"/>
    <w:rsid w:val="00391CDB"/>
    <w:rsid w:val="003C11D7"/>
    <w:rsid w:val="003D37D8"/>
    <w:rsid w:val="003D78C8"/>
    <w:rsid w:val="003F3E04"/>
    <w:rsid w:val="004358AB"/>
    <w:rsid w:val="00462CD5"/>
    <w:rsid w:val="004A120B"/>
    <w:rsid w:val="004C093E"/>
    <w:rsid w:val="004C27F2"/>
    <w:rsid w:val="004D6F08"/>
    <w:rsid w:val="0051437F"/>
    <w:rsid w:val="00517929"/>
    <w:rsid w:val="00527237"/>
    <w:rsid w:val="00540C33"/>
    <w:rsid w:val="00541D80"/>
    <w:rsid w:val="0054695A"/>
    <w:rsid w:val="00555A9B"/>
    <w:rsid w:val="00560839"/>
    <w:rsid w:val="00567FCD"/>
    <w:rsid w:val="00582FE2"/>
    <w:rsid w:val="005B7593"/>
    <w:rsid w:val="005C28EC"/>
    <w:rsid w:val="005E71D9"/>
    <w:rsid w:val="005F38B9"/>
    <w:rsid w:val="00604A94"/>
    <w:rsid w:val="00610929"/>
    <w:rsid w:val="00640270"/>
    <w:rsid w:val="00641BE6"/>
    <w:rsid w:val="006C2BE8"/>
    <w:rsid w:val="006C63A3"/>
    <w:rsid w:val="006D6958"/>
    <w:rsid w:val="006E3B86"/>
    <w:rsid w:val="006E668C"/>
    <w:rsid w:val="006F01D6"/>
    <w:rsid w:val="00724DBF"/>
    <w:rsid w:val="00734C97"/>
    <w:rsid w:val="007748FD"/>
    <w:rsid w:val="00774F52"/>
    <w:rsid w:val="00792E9B"/>
    <w:rsid w:val="007A1EDC"/>
    <w:rsid w:val="007B24BE"/>
    <w:rsid w:val="007C53F2"/>
    <w:rsid w:val="007D6358"/>
    <w:rsid w:val="007E2F1E"/>
    <w:rsid w:val="007E32B0"/>
    <w:rsid w:val="008005E6"/>
    <w:rsid w:val="0083069F"/>
    <w:rsid w:val="00837E65"/>
    <w:rsid w:val="008450A6"/>
    <w:rsid w:val="008704DB"/>
    <w:rsid w:val="00896EBD"/>
    <w:rsid w:val="008A7235"/>
    <w:rsid w:val="008B7726"/>
    <w:rsid w:val="008B7B2E"/>
    <w:rsid w:val="008C31C8"/>
    <w:rsid w:val="008F338F"/>
    <w:rsid w:val="00901858"/>
    <w:rsid w:val="00904E5B"/>
    <w:rsid w:val="00941200"/>
    <w:rsid w:val="009627FC"/>
    <w:rsid w:val="0099017B"/>
    <w:rsid w:val="009A7C73"/>
    <w:rsid w:val="009B2894"/>
    <w:rsid w:val="009C11B6"/>
    <w:rsid w:val="009F570A"/>
    <w:rsid w:val="00A10DE6"/>
    <w:rsid w:val="00A21F36"/>
    <w:rsid w:val="00A246D7"/>
    <w:rsid w:val="00A3245A"/>
    <w:rsid w:val="00A7099B"/>
    <w:rsid w:val="00A838D9"/>
    <w:rsid w:val="00A84524"/>
    <w:rsid w:val="00AC11DD"/>
    <w:rsid w:val="00B46F17"/>
    <w:rsid w:val="00B505E6"/>
    <w:rsid w:val="00C03EBF"/>
    <w:rsid w:val="00C0468B"/>
    <w:rsid w:val="00C110C0"/>
    <w:rsid w:val="00C409A1"/>
    <w:rsid w:val="00C46755"/>
    <w:rsid w:val="00C64BB5"/>
    <w:rsid w:val="00C65091"/>
    <w:rsid w:val="00C70E6B"/>
    <w:rsid w:val="00C7456A"/>
    <w:rsid w:val="00C9028D"/>
    <w:rsid w:val="00D06B4F"/>
    <w:rsid w:val="00D346F0"/>
    <w:rsid w:val="00D530F0"/>
    <w:rsid w:val="00D5634D"/>
    <w:rsid w:val="00D65D46"/>
    <w:rsid w:val="00D83059"/>
    <w:rsid w:val="00E2259F"/>
    <w:rsid w:val="00E2550E"/>
    <w:rsid w:val="00E71876"/>
    <w:rsid w:val="00F31A71"/>
    <w:rsid w:val="00F361A6"/>
    <w:rsid w:val="00F507D8"/>
    <w:rsid w:val="00F54647"/>
    <w:rsid w:val="00F54941"/>
    <w:rsid w:val="00F54E94"/>
    <w:rsid w:val="00F95F3A"/>
    <w:rsid w:val="00FB3357"/>
    <w:rsid w:val="00FE2D1E"/>
    <w:rsid w:val="02EFB951"/>
    <w:rsid w:val="03267C34"/>
    <w:rsid w:val="059B636C"/>
    <w:rsid w:val="12EC06D5"/>
    <w:rsid w:val="139C2F54"/>
    <w:rsid w:val="157F80C2"/>
    <w:rsid w:val="16E75359"/>
    <w:rsid w:val="17DD2A31"/>
    <w:rsid w:val="1B7F5840"/>
    <w:rsid w:val="1CBFD904"/>
    <w:rsid w:val="1D5E1A20"/>
    <w:rsid w:val="1D7D409D"/>
    <w:rsid w:val="1D9DF4B1"/>
    <w:rsid w:val="1DCAB5AC"/>
    <w:rsid w:val="1EAEBBF4"/>
    <w:rsid w:val="1F4FF96E"/>
    <w:rsid w:val="1F6ABF42"/>
    <w:rsid w:val="1FFB308C"/>
    <w:rsid w:val="25F6E647"/>
    <w:rsid w:val="2B3B81EC"/>
    <w:rsid w:val="2EF92714"/>
    <w:rsid w:val="2F9FDCF4"/>
    <w:rsid w:val="2FB58877"/>
    <w:rsid w:val="2FE84C6D"/>
    <w:rsid w:val="2FFBBC65"/>
    <w:rsid w:val="33113887"/>
    <w:rsid w:val="337F5043"/>
    <w:rsid w:val="33F26E0D"/>
    <w:rsid w:val="36E9793F"/>
    <w:rsid w:val="3BF3DC97"/>
    <w:rsid w:val="3BFF7E3E"/>
    <w:rsid w:val="3D5BCE38"/>
    <w:rsid w:val="3D8CE489"/>
    <w:rsid w:val="3DF7E9C6"/>
    <w:rsid w:val="3DF919BB"/>
    <w:rsid w:val="3DFFE4A9"/>
    <w:rsid w:val="3ECFAABD"/>
    <w:rsid w:val="3FBEFE0B"/>
    <w:rsid w:val="3FD40099"/>
    <w:rsid w:val="3FDD4A79"/>
    <w:rsid w:val="3FEB54B9"/>
    <w:rsid w:val="3FFE6A08"/>
    <w:rsid w:val="3FFE6AAD"/>
    <w:rsid w:val="3FFE7101"/>
    <w:rsid w:val="47DB0715"/>
    <w:rsid w:val="4BFEB7E4"/>
    <w:rsid w:val="4C967A45"/>
    <w:rsid w:val="4CF39658"/>
    <w:rsid w:val="4D3FA735"/>
    <w:rsid w:val="4EFBBFDD"/>
    <w:rsid w:val="4F583068"/>
    <w:rsid w:val="4F7DEDC1"/>
    <w:rsid w:val="4FD7A43B"/>
    <w:rsid w:val="4FF11D7C"/>
    <w:rsid w:val="525E623B"/>
    <w:rsid w:val="548F521C"/>
    <w:rsid w:val="54FFB017"/>
    <w:rsid w:val="57FEBE24"/>
    <w:rsid w:val="595743A9"/>
    <w:rsid w:val="597E76FF"/>
    <w:rsid w:val="59BFC560"/>
    <w:rsid w:val="5A9DBFDE"/>
    <w:rsid w:val="5AD2499A"/>
    <w:rsid w:val="5B2F6EBC"/>
    <w:rsid w:val="5B3F882B"/>
    <w:rsid w:val="5E728D2F"/>
    <w:rsid w:val="5EFFD512"/>
    <w:rsid w:val="5F9DBC65"/>
    <w:rsid w:val="5FBD815E"/>
    <w:rsid w:val="5FBFA57B"/>
    <w:rsid w:val="633BC2F6"/>
    <w:rsid w:val="63DD6EBF"/>
    <w:rsid w:val="66DF1BA4"/>
    <w:rsid w:val="67593E6C"/>
    <w:rsid w:val="68CA5F16"/>
    <w:rsid w:val="6B6FC6CE"/>
    <w:rsid w:val="6B77C220"/>
    <w:rsid w:val="6B866ABB"/>
    <w:rsid w:val="6BDF913E"/>
    <w:rsid w:val="6BEE92E8"/>
    <w:rsid w:val="6BFF6B70"/>
    <w:rsid w:val="6CBF6616"/>
    <w:rsid w:val="6CF71395"/>
    <w:rsid w:val="6DA038C4"/>
    <w:rsid w:val="6EDEF763"/>
    <w:rsid w:val="6F3D7C2A"/>
    <w:rsid w:val="6F5FF910"/>
    <w:rsid w:val="6F7F25B8"/>
    <w:rsid w:val="6FBF9C08"/>
    <w:rsid w:val="6FE464C0"/>
    <w:rsid w:val="6FE767A3"/>
    <w:rsid w:val="728A814D"/>
    <w:rsid w:val="72A442E1"/>
    <w:rsid w:val="73A7FAFB"/>
    <w:rsid w:val="73F7BCD7"/>
    <w:rsid w:val="757FAC7E"/>
    <w:rsid w:val="76EEA87A"/>
    <w:rsid w:val="774F18FC"/>
    <w:rsid w:val="77772131"/>
    <w:rsid w:val="77CF08D8"/>
    <w:rsid w:val="77EF5DBB"/>
    <w:rsid w:val="77EFBE7A"/>
    <w:rsid w:val="77FB1214"/>
    <w:rsid w:val="77FDE3A2"/>
    <w:rsid w:val="77FF2231"/>
    <w:rsid w:val="78AF3C8E"/>
    <w:rsid w:val="78BBBE58"/>
    <w:rsid w:val="78F9BB0A"/>
    <w:rsid w:val="79B2EE8E"/>
    <w:rsid w:val="7A6B24C5"/>
    <w:rsid w:val="7ADF1ED9"/>
    <w:rsid w:val="7AFD5C52"/>
    <w:rsid w:val="7B7F965B"/>
    <w:rsid w:val="7BAC7778"/>
    <w:rsid w:val="7BBD6711"/>
    <w:rsid w:val="7BED989F"/>
    <w:rsid w:val="7BEF6863"/>
    <w:rsid w:val="7BF3ACB9"/>
    <w:rsid w:val="7BF4433C"/>
    <w:rsid w:val="7CCBCB2A"/>
    <w:rsid w:val="7CFD4073"/>
    <w:rsid w:val="7CFE6443"/>
    <w:rsid w:val="7D7B2827"/>
    <w:rsid w:val="7DDE22AA"/>
    <w:rsid w:val="7DE553EA"/>
    <w:rsid w:val="7DF610B2"/>
    <w:rsid w:val="7DFF91E0"/>
    <w:rsid w:val="7DFFC2EC"/>
    <w:rsid w:val="7E5D874C"/>
    <w:rsid w:val="7E7FC6A8"/>
    <w:rsid w:val="7EDF19F5"/>
    <w:rsid w:val="7EEEBFFE"/>
    <w:rsid w:val="7EF0A279"/>
    <w:rsid w:val="7F3E5686"/>
    <w:rsid w:val="7F3F6852"/>
    <w:rsid w:val="7F576EA8"/>
    <w:rsid w:val="7F7CE2B3"/>
    <w:rsid w:val="7FA75864"/>
    <w:rsid w:val="7FAF3265"/>
    <w:rsid w:val="7FAFD274"/>
    <w:rsid w:val="7FDCDF58"/>
    <w:rsid w:val="7FDE1ECF"/>
    <w:rsid w:val="7FDF8904"/>
    <w:rsid w:val="7FE70806"/>
    <w:rsid w:val="7FE73304"/>
    <w:rsid w:val="7FE7F4C4"/>
    <w:rsid w:val="7FF31D31"/>
    <w:rsid w:val="7FF6E0AB"/>
    <w:rsid w:val="7FFC7A1E"/>
    <w:rsid w:val="7FFF01BA"/>
    <w:rsid w:val="84F83A40"/>
    <w:rsid w:val="945F7731"/>
    <w:rsid w:val="9AB3F4AA"/>
    <w:rsid w:val="9B3DC548"/>
    <w:rsid w:val="9D600166"/>
    <w:rsid w:val="9E33A237"/>
    <w:rsid w:val="9EFAA1A3"/>
    <w:rsid w:val="9FFE5736"/>
    <w:rsid w:val="A7D53D86"/>
    <w:rsid w:val="AA3AC525"/>
    <w:rsid w:val="AAF9F54E"/>
    <w:rsid w:val="AB53B298"/>
    <w:rsid w:val="AD64814E"/>
    <w:rsid w:val="ADFF6558"/>
    <w:rsid w:val="AFBFF70C"/>
    <w:rsid w:val="B47F4B91"/>
    <w:rsid w:val="B4DF005E"/>
    <w:rsid w:val="B6FF4E36"/>
    <w:rsid w:val="B7BF3485"/>
    <w:rsid w:val="B7FFDE3F"/>
    <w:rsid w:val="B9AFB41B"/>
    <w:rsid w:val="B9FF6D5A"/>
    <w:rsid w:val="BBB94D85"/>
    <w:rsid w:val="BBCA7CF4"/>
    <w:rsid w:val="BBE5AF30"/>
    <w:rsid w:val="BBFEA450"/>
    <w:rsid w:val="BD3D9F71"/>
    <w:rsid w:val="BD6FB393"/>
    <w:rsid w:val="BDCA379D"/>
    <w:rsid w:val="BDEFB21E"/>
    <w:rsid w:val="BDFB92EA"/>
    <w:rsid w:val="BEAB3234"/>
    <w:rsid w:val="BF57A053"/>
    <w:rsid w:val="BF7DC564"/>
    <w:rsid w:val="BFDB5A58"/>
    <w:rsid w:val="BFEFA456"/>
    <w:rsid w:val="BFFBDA2C"/>
    <w:rsid w:val="BFFEC715"/>
    <w:rsid w:val="CF7B7296"/>
    <w:rsid w:val="D2754AA0"/>
    <w:rsid w:val="D5DF6BDD"/>
    <w:rsid w:val="D65EFCBF"/>
    <w:rsid w:val="D6DD1C4E"/>
    <w:rsid w:val="D75B9670"/>
    <w:rsid w:val="D77F1B66"/>
    <w:rsid w:val="D7FDED54"/>
    <w:rsid w:val="DB7FAA1B"/>
    <w:rsid w:val="DBFF6725"/>
    <w:rsid w:val="DCB7D838"/>
    <w:rsid w:val="DDBB4C0A"/>
    <w:rsid w:val="DDFE80AA"/>
    <w:rsid w:val="DDFF4A29"/>
    <w:rsid w:val="DE7FE403"/>
    <w:rsid w:val="DF1F6862"/>
    <w:rsid w:val="DF5FC391"/>
    <w:rsid w:val="DF871C6F"/>
    <w:rsid w:val="DFDD5139"/>
    <w:rsid w:val="DFE7EBEB"/>
    <w:rsid w:val="DFF71679"/>
    <w:rsid w:val="DFFE4BC1"/>
    <w:rsid w:val="DFFF0744"/>
    <w:rsid w:val="E3A7E879"/>
    <w:rsid w:val="E5F9C3B2"/>
    <w:rsid w:val="E6FF0758"/>
    <w:rsid w:val="E7DFCE82"/>
    <w:rsid w:val="E82FE568"/>
    <w:rsid w:val="E9BD14F2"/>
    <w:rsid w:val="E9F3273E"/>
    <w:rsid w:val="E9FB3B8C"/>
    <w:rsid w:val="ED7DA27C"/>
    <w:rsid w:val="EDBFC2B8"/>
    <w:rsid w:val="EDF31455"/>
    <w:rsid w:val="EEB70F35"/>
    <w:rsid w:val="EF55F897"/>
    <w:rsid w:val="EF721862"/>
    <w:rsid w:val="EF7E102C"/>
    <w:rsid w:val="EFE77C4A"/>
    <w:rsid w:val="EFF63D50"/>
    <w:rsid w:val="F3D7CCC7"/>
    <w:rsid w:val="F55D6FA1"/>
    <w:rsid w:val="F68DC227"/>
    <w:rsid w:val="F7FA2736"/>
    <w:rsid w:val="F7FD4812"/>
    <w:rsid w:val="F87BE676"/>
    <w:rsid w:val="F9BE007B"/>
    <w:rsid w:val="F9DDE841"/>
    <w:rsid w:val="F9FFAB17"/>
    <w:rsid w:val="FAE7EBCC"/>
    <w:rsid w:val="FAEF9D9A"/>
    <w:rsid w:val="FAFF654F"/>
    <w:rsid w:val="FBEFE5D4"/>
    <w:rsid w:val="FCBA5C7D"/>
    <w:rsid w:val="FCDF6056"/>
    <w:rsid w:val="FCFF683D"/>
    <w:rsid w:val="FD3DF0A0"/>
    <w:rsid w:val="FD7F5953"/>
    <w:rsid w:val="FDB3E676"/>
    <w:rsid w:val="FDD30E90"/>
    <w:rsid w:val="FDDA6BF0"/>
    <w:rsid w:val="FDF73CF0"/>
    <w:rsid w:val="FDF9C265"/>
    <w:rsid w:val="FEBFB5AD"/>
    <w:rsid w:val="FEE9CBFE"/>
    <w:rsid w:val="FEEEFBD1"/>
    <w:rsid w:val="FEF6B0A8"/>
    <w:rsid w:val="FEFEEEB6"/>
    <w:rsid w:val="FFBE96D2"/>
    <w:rsid w:val="FFBF3C85"/>
    <w:rsid w:val="FFE78D0C"/>
    <w:rsid w:val="FFEAAE90"/>
    <w:rsid w:val="FFF2A778"/>
    <w:rsid w:val="FFF6558D"/>
    <w:rsid w:val="FFF91E0C"/>
    <w:rsid w:val="FFF993F5"/>
    <w:rsid w:val="FFFA3253"/>
    <w:rsid w:val="FFFB3392"/>
    <w:rsid w:val="FFFB4CBC"/>
    <w:rsid w:val="FFFF3BFD"/>
    <w:rsid w:val="FFFFD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heme="minorBidi"/>
      <w:sz w:val="22"/>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cs="Times New Roman"/>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Body Text"/>
    <w:basedOn w:val="1"/>
    <w:next w:val="1"/>
    <w:qFormat/>
    <w:uiPriority w:val="0"/>
    <w:pPr>
      <w:widowControl/>
      <w:spacing w:line="360" w:lineRule="auto"/>
    </w:pPr>
    <w:rPr>
      <w:color w:val="FF0000"/>
    </w:rPr>
  </w:style>
  <w:style w:type="paragraph" w:styleId="5">
    <w:name w:val="Body Text Indent"/>
    <w:basedOn w:val="1"/>
    <w:qFormat/>
    <w:uiPriority w:val="0"/>
    <w:pPr>
      <w:spacing w:after="120"/>
      <w:ind w:left="420" w:leftChars="200"/>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table of figures"/>
    <w:basedOn w:val="1"/>
    <w:next w:val="1"/>
    <w:qFormat/>
    <w:uiPriority w:val="0"/>
    <w:pPr>
      <w:ind w:left="400" w:leftChars="200" w:hanging="200" w:hangingChars="200"/>
    </w:pPr>
  </w:style>
  <w:style w:type="paragraph" w:styleId="11">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2"/>
    <w:basedOn w:val="5"/>
    <w:qFormat/>
    <w:uiPriority w:val="0"/>
    <w:pPr>
      <w:spacing w:after="0"/>
      <w:ind w:firstLine="420" w:firstLine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customStyle="1" w:styleId="17">
    <w:name w:val="默认段落字体1"/>
    <w:qFormat/>
    <w:uiPriority w:val="0"/>
  </w:style>
  <w:style w:type="paragraph" w:styleId="18">
    <w:name w:val="List Paragraph"/>
    <w:basedOn w:val="1"/>
    <w:qFormat/>
    <w:uiPriority w:val="34"/>
    <w:pPr>
      <w:ind w:firstLine="420" w:firstLineChars="200"/>
    </w:pPr>
  </w:style>
  <w:style w:type="character" w:customStyle="1" w:styleId="19">
    <w:name w:val="日期 Char"/>
    <w:basedOn w:val="15"/>
    <w:link w:val="6"/>
    <w:semiHidden/>
    <w:qFormat/>
    <w:uiPriority w:val="99"/>
    <w:rPr>
      <w:rFonts w:ascii="Tahoma" w:hAnsi="Tahoma"/>
    </w:rPr>
  </w:style>
  <w:style w:type="character" w:customStyle="1" w:styleId="20">
    <w:name w:val="页眉 Char"/>
    <w:basedOn w:val="15"/>
    <w:link w:val="9"/>
    <w:semiHidden/>
    <w:qFormat/>
    <w:uiPriority w:val="99"/>
    <w:rPr>
      <w:rFonts w:ascii="Tahoma" w:hAnsi="Tahoma"/>
      <w:sz w:val="18"/>
      <w:szCs w:val="18"/>
    </w:rPr>
  </w:style>
  <w:style w:type="character" w:customStyle="1" w:styleId="21">
    <w:name w:val="页脚 Char"/>
    <w:basedOn w:val="15"/>
    <w:link w:val="8"/>
    <w:qFormat/>
    <w:uiPriority w:val="99"/>
    <w:rPr>
      <w:rFonts w:ascii="Tahoma" w:hAnsi="Tahoma"/>
      <w:sz w:val="18"/>
      <w:szCs w:val="18"/>
    </w:rPr>
  </w:style>
  <w:style w:type="paragraph" w:customStyle="1" w:styleId="22">
    <w:name w:val="Char1 Char Char Char"/>
    <w:basedOn w:val="1"/>
    <w:qFormat/>
    <w:uiPriority w:val="0"/>
    <w:pPr>
      <w:widowControl w:val="0"/>
      <w:adjustRightInd/>
      <w:snapToGrid/>
      <w:spacing w:line="357" w:lineRule="atLeast"/>
      <w:jc w:val="both"/>
    </w:pPr>
    <w:rPr>
      <w:rFonts w:ascii="Times New Roman" w:hAnsi="Times New Roman" w:eastAsia="宋体" w:cs="Times New Roman"/>
      <w:kern w:val="2"/>
      <w:sz w:val="21"/>
      <w:szCs w:val="24"/>
    </w:rPr>
  </w:style>
  <w:style w:type="character" w:customStyle="1" w:styleId="23">
    <w:name w:val="NormalCharacter"/>
    <w:qFormat/>
    <w:uiPriority w:val="99"/>
  </w:style>
  <w:style w:type="paragraph" w:customStyle="1" w:styleId="24">
    <w:name w:val="正文格式"/>
    <w:basedOn w:val="1"/>
    <w:qFormat/>
    <w:uiPriority w:val="0"/>
    <w:pPr>
      <w:spacing w:before="100" w:beforeAutospacing="1" w:after="60" w:line="360" w:lineRule="auto"/>
      <w:ind w:firstLine="717" w:firstLineChars="224"/>
    </w:pPr>
    <w:rPr>
      <w:rFonts w:ascii="仿宋_GB2312" w:hAnsi="Calibri" w:eastAsia="仿宋_GB2312"/>
      <w:sz w:val="32"/>
      <w:szCs w:val="32"/>
    </w:rPr>
  </w:style>
  <w:style w:type="character" w:customStyle="1" w:styleId="25">
    <w:name w:val="批注框文本 Char"/>
    <w:basedOn w:val="15"/>
    <w:link w:val="7"/>
    <w:semiHidden/>
    <w:qFormat/>
    <w:uiPriority w:val="99"/>
    <w:rPr>
      <w:rFonts w:ascii="Tahoma" w:hAnsi="Tahoma" w:eastAsia="微软雅黑" w:cstheme="minorBidi"/>
      <w:sz w:val="18"/>
      <w:szCs w:val="18"/>
    </w:rPr>
  </w:style>
  <w:style w:type="paragraph" w:customStyle="1" w:styleId="26">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8">
    <w:name w:val="font101"/>
    <w:basedOn w:val="15"/>
    <w:qFormat/>
    <w:uiPriority w:val="0"/>
    <w:rPr>
      <w:rFonts w:hint="eastAsia" w:ascii="宋体" w:hAnsi="宋体" w:eastAsia="宋体" w:cs="宋体"/>
      <w:b/>
      <w:bCs/>
      <w:color w:val="000000"/>
      <w:sz w:val="24"/>
      <w:szCs w:val="24"/>
      <w:u w:val="none"/>
    </w:rPr>
  </w:style>
  <w:style w:type="character" w:customStyle="1" w:styleId="29">
    <w:name w:val="font61"/>
    <w:basedOn w:val="15"/>
    <w:qFormat/>
    <w:uiPriority w:val="0"/>
    <w:rPr>
      <w:rFonts w:hint="eastAsia" w:ascii="宋体" w:hAnsi="宋体" w:eastAsia="宋体" w:cs="宋体"/>
      <w:color w:val="000000"/>
      <w:sz w:val="24"/>
      <w:szCs w:val="24"/>
      <w:u w:val="none"/>
    </w:rPr>
  </w:style>
  <w:style w:type="character" w:customStyle="1" w:styleId="30">
    <w:name w:val="font161"/>
    <w:basedOn w:val="15"/>
    <w:qFormat/>
    <w:uiPriority w:val="0"/>
    <w:rPr>
      <w:rFonts w:hint="default" w:ascii="Times New Roman" w:hAnsi="Times New Roman" w:cs="Times New Roman"/>
      <w:color w:val="000000"/>
      <w:sz w:val="21"/>
      <w:szCs w:val="21"/>
      <w:u w:val="none"/>
    </w:rPr>
  </w:style>
  <w:style w:type="character" w:customStyle="1" w:styleId="31">
    <w:name w:val="font171"/>
    <w:basedOn w:val="15"/>
    <w:qFormat/>
    <w:uiPriority w:val="0"/>
    <w:rPr>
      <w:rFonts w:ascii="方正书宋_GBK" w:hAnsi="方正书宋_GBK" w:eastAsia="方正书宋_GBK" w:cs="方正书宋_GBK"/>
      <w:color w:val="000000"/>
      <w:sz w:val="21"/>
      <w:szCs w:val="21"/>
      <w:u w:val="none"/>
    </w:rPr>
  </w:style>
  <w:style w:type="character" w:customStyle="1" w:styleId="32">
    <w:name w:val="font112"/>
    <w:basedOn w:val="15"/>
    <w:qFormat/>
    <w:uiPriority w:val="0"/>
    <w:rPr>
      <w:rFonts w:hint="eastAsia" w:ascii="宋体" w:hAnsi="宋体" w:eastAsia="宋体" w:cs="宋体"/>
      <w:color w:val="FF0000"/>
      <w:sz w:val="24"/>
      <w:szCs w:val="24"/>
      <w:u w:val="none"/>
    </w:rPr>
  </w:style>
  <w:style w:type="character" w:customStyle="1" w:styleId="33">
    <w:name w:val="font181"/>
    <w:basedOn w:val="15"/>
    <w:qFormat/>
    <w:uiPriority w:val="0"/>
    <w:rPr>
      <w:rFonts w:hint="eastAsia" w:ascii="宋体" w:hAnsi="宋体" w:eastAsia="宋体" w:cs="宋体"/>
      <w:b/>
      <w:bCs/>
      <w:color w:val="FF0000"/>
      <w:sz w:val="24"/>
      <w:szCs w:val="24"/>
      <w:u w:val="none"/>
    </w:rPr>
  </w:style>
  <w:style w:type="character" w:customStyle="1" w:styleId="34">
    <w:name w:val="font71"/>
    <w:basedOn w:val="15"/>
    <w:qFormat/>
    <w:uiPriority w:val="0"/>
    <w:rPr>
      <w:rFonts w:hint="eastAsia" w:ascii="方正小标宋简体" w:hAnsi="方正小标宋简体" w:eastAsia="方正小标宋简体" w:cs="方正小标宋简体"/>
      <w:color w:val="000000"/>
      <w:sz w:val="44"/>
      <w:szCs w:val="44"/>
      <w:u w:val="none"/>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10</Pages>
  <Words>4555</Words>
  <Characters>5643</Characters>
  <Lines>30</Lines>
  <Paragraphs>8</Paragraphs>
  <TotalTime>21</TotalTime>
  <ScaleCrop>false</ScaleCrop>
  <LinksUpToDate>false</LinksUpToDate>
  <CharactersWithSpaces>5725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2022-12-04T10:19:00Z</dcterms:created>
  <dc:creator>SkyUN.Org</dc:creator>
  <cp:lastModifiedBy>破帽遮颜</cp:lastModifiedBy>
  <cp:lastPrinted>2024-11-01T22:44:00Z</cp:lastPrinted>
  <dcterms:modified xsi:type="dcterms:W3CDTF">2025-05-21T17:27:58Z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D73EB1C12EE14D308FFD80C2D6187FA5_13</vt:lpwstr>
  </property>
</Properties>
</file>