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both"/>
        <w:rPr>
          <w:rFonts w:hint="default"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widowControl w:val="0"/>
        <w:spacing w:line="560" w:lineRule="exact"/>
        <w:jc w:val="center"/>
        <w:rPr>
          <w:rFonts w:hint="eastAsia" w:ascii="方正小标宋_GBK" w:hAnsi="方正小标宋_GBK" w:eastAsia="方正小标宋_GBK" w:cs="方正小标宋_GBK"/>
          <w:color w:val="auto"/>
          <w:sz w:val="44"/>
          <w:szCs w:val="44"/>
        </w:rPr>
      </w:pPr>
    </w:p>
    <w:p>
      <w:pPr>
        <w:widowControl w:val="0"/>
        <w:spacing w:line="6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6</w:t>
      </w:r>
      <w:r>
        <w:rPr>
          <w:rFonts w:hint="eastAsia" w:ascii="方正小标宋_GBK" w:hAnsi="方正小标宋_GBK" w:eastAsia="方正小标宋_GBK" w:cs="方正小标宋_GBK"/>
          <w:color w:val="auto"/>
          <w:sz w:val="44"/>
          <w:szCs w:val="44"/>
        </w:rPr>
        <w:t>年海南省卫生健康科技创新联合项目</w:t>
      </w:r>
    </w:p>
    <w:p>
      <w:pPr>
        <w:widowControl w:val="0"/>
        <w:spacing w:line="6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申报指南</w:t>
      </w: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海南省卫生健康科技</w:t>
      </w:r>
      <w:r>
        <w:rPr>
          <w:rFonts w:hint="eastAsia" w:ascii="仿宋_GB2312" w:hAnsi="仿宋_GB2312" w:eastAsia="仿宋_GB2312" w:cs="仿宋_GB2312"/>
          <w:color w:val="auto"/>
          <w:sz w:val="32"/>
          <w:szCs w:val="32"/>
        </w:rPr>
        <w:t>创新联合项目</w:t>
      </w:r>
      <w:r>
        <w:rPr>
          <w:rFonts w:hint="eastAsia" w:ascii="仿宋_GB2312" w:hAnsi="仿宋_GB2312" w:eastAsia="仿宋_GB2312" w:cs="仿宋_GB2312"/>
          <w:color w:val="auto"/>
          <w:sz w:val="32"/>
          <w:szCs w:val="32"/>
          <w:lang w:eastAsia="zh-CN"/>
        </w:rPr>
        <w:t>（以下简称“联合项目”），围绕</w:t>
      </w:r>
      <w:r>
        <w:rPr>
          <w:rFonts w:hint="eastAsia" w:ascii="仿宋_GB2312" w:hAnsi="仿宋_GB2312" w:eastAsia="仿宋_GB2312" w:cs="仿宋_GB2312"/>
          <w:color w:val="auto"/>
          <w:sz w:val="32"/>
          <w:szCs w:val="32"/>
        </w:rPr>
        <w:t>落实科技部和国家卫生健康委印发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《“十四五”卫生与健康科技创新专项规划》</w:t>
      </w:r>
      <w:r>
        <w:rPr>
          <w:rFonts w:hint="eastAsia" w:ascii="仿宋_GB2312" w:hAnsi="仿宋_GB2312" w:eastAsia="仿宋_GB2312" w:cs="仿宋_GB2312"/>
          <w:color w:val="auto"/>
          <w:sz w:val="32"/>
          <w:szCs w:val="32"/>
          <w:lang w:eastAsia="zh-CN"/>
        </w:rPr>
        <w:t>精神，以及</w:t>
      </w:r>
      <w:r>
        <w:rPr>
          <w:rFonts w:hint="eastAsia" w:ascii="仿宋_GB2312" w:hAnsi="仿宋_GB2312" w:eastAsia="仿宋_GB2312" w:cs="仿宋_GB2312"/>
          <w:color w:val="auto"/>
          <w:sz w:val="32"/>
          <w:szCs w:val="32"/>
        </w:rPr>
        <w:t>国家和海南健康战略</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支持全省医疗卫生机构开展医疗科技创新和临床转化研究，</w:t>
      </w:r>
      <w:r>
        <w:rPr>
          <w:rFonts w:hint="eastAsia" w:ascii="仿宋_GB2312" w:hAnsi="仿宋_GB2312" w:eastAsia="仿宋_GB2312" w:cs="仿宋_GB2312"/>
          <w:color w:val="auto"/>
          <w:sz w:val="32"/>
          <w:szCs w:val="32"/>
        </w:rPr>
        <w:t>推动提升海南卫生健康科技创新整体水平和能力，</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海南卫生健康领域新质生产力发展</w:t>
      </w:r>
      <w:r>
        <w:rPr>
          <w:rFonts w:hint="eastAsia" w:ascii="仿宋_GB2312" w:hAnsi="仿宋_GB2312" w:eastAsia="仿宋_GB2312" w:cs="仿宋_GB2312"/>
          <w:color w:val="auto"/>
          <w:sz w:val="32"/>
          <w:szCs w:val="32"/>
          <w:lang w:eastAsia="zh-CN"/>
        </w:rPr>
        <w:t>。</w:t>
      </w:r>
    </w:p>
    <w:p>
      <w:pPr>
        <w:widowControl w:val="0"/>
        <w:spacing w:beforeLines="0" w:afterLines="0" w:line="56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一、申报条件和要求</w:t>
      </w:r>
    </w:p>
    <w:p>
      <w:pPr>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（一）项目申报单位应具有独立法人资格，且为海南省行政区域内注册的医疗卫生机构或</w:t>
      </w:r>
      <w:r>
        <w:rPr>
          <w:rFonts w:hint="eastAsia" w:ascii="仿宋_GB2312" w:hAnsi="仿宋_GB2312" w:eastAsia="仿宋_GB2312" w:cs="仿宋_GB2312"/>
          <w:color w:val="auto"/>
          <w:sz w:val="32"/>
          <w:szCs w:val="32"/>
          <w:lang w:val="en-US" w:eastAsia="zh-CN"/>
        </w:rPr>
        <w:t>部队</w:t>
      </w:r>
      <w:r>
        <w:rPr>
          <w:rFonts w:hint="eastAsia" w:ascii="仿宋_GB2312" w:hAnsi="仿宋_GB2312" w:eastAsia="仿宋_GB2312" w:cs="仿宋_GB2312"/>
          <w:color w:val="auto"/>
          <w:sz w:val="32"/>
          <w:szCs w:val="32"/>
        </w:rPr>
        <w:t>医疗机构，机构需注册一年以上。</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（二）项目申报单位运行管理规范，具有与项目实施相匹配的基础条件，财务状况良好，有研发经费投入，具有完成项目所必备的人才条件和技术装备等匹配条件。</w:t>
      </w:r>
    </w:p>
    <w:p>
      <w:pPr>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rPr>
        <w:t>鼓励产学研联合申报，联合申报单位不超过4家（含牵头单位）。鼓励医联体单位联合申报，三级医院带动相关市县医院、基层医疗机构人员共同开展科研项目。</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联合申</w:t>
      </w:r>
      <w:r>
        <w:rPr>
          <w:rFonts w:hint="eastAsia" w:ascii="仿宋_GB2312" w:hAnsi="仿宋_GB2312" w:eastAsia="仿宋_GB2312" w:cs="仿宋_GB2312"/>
          <w:color w:val="auto"/>
          <w:sz w:val="32"/>
          <w:szCs w:val="32"/>
          <w:highlight w:val="none"/>
          <w:lang w:eastAsia="zh-CN"/>
        </w:rPr>
        <w:t>报</w:t>
      </w:r>
      <w:r>
        <w:rPr>
          <w:rFonts w:hint="eastAsia" w:ascii="仿宋_GB2312" w:hAnsi="仿宋_GB2312" w:eastAsia="仿宋_GB2312" w:cs="仿宋_GB2312"/>
          <w:color w:val="auto"/>
          <w:sz w:val="32"/>
          <w:szCs w:val="32"/>
          <w:highlight w:val="none"/>
        </w:rPr>
        <w:t>的项目应提交项目合作协议。合作协议应明确各方的职责、研究内容、成果提交的时限、经费的来源及分配方式等主要内容，并经法人单位盖章。</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）项目研发、临床研究或应用</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主要在海南省内。</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）项目组成员、承担单位和参与单位具有良好的信誉</w:t>
      </w:r>
      <w:r>
        <w:rPr>
          <w:rFonts w:hint="eastAsia" w:ascii="仿宋_GB2312" w:hAnsi="仿宋_GB2312" w:eastAsia="仿宋_GB2312" w:cs="仿宋_GB2312"/>
          <w:color w:val="auto"/>
          <w:sz w:val="32"/>
          <w:szCs w:val="32"/>
          <w:highlight w:val="none"/>
          <w:lang w:eastAsia="zh-CN"/>
        </w:rPr>
        <w:t>，无科研诚信不良记录</w:t>
      </w:r>
      <w:r>
        <w:rPr>
          <w:rFonts w:hint="eastAsia" w:ascii="仿宋_GB2312" w:hAnsi="仿宋_GB2312" w:eastAsia="仿宋_GB2312" w:cs="仿宋_GB2312"/>
          <w:color w:val="auto"/>
          <w:sz w:val="32"/>
          <w:szCs w:val="32"/>
          <w:highlight w:val="none"/>
        </w:rPr>
        <w:t>。</w:t>
      </w:r>
    </w:p>
    <w:p>
      <w:pPr>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rPr>
        <w:t>青年科研项目负责人为在职人员，</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2026年1月1日</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lang w:eastAsia="zh-CN"/>
        </w:rPr>
        <w:t>未满</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周岁。面上项目及重点项目负责人为高级职称在职人员，在相关技术领域具有较高的学术水平，熟悉本领域国内外技术和市场动态及发展趋势，具有完成项目所需的组织管理和协调能力。</w:t>
      </w:r>
      <w:r>
        <w:rPr>
          <w:rFonts w:hint="eastAsia" w:ascii="仿宋_GB2312" w:hAnsi="仿宋_GB2312" w:eastAsia="仿宋_GB2312" w:cs="仿宋_GB2312"/>
          <w:color w:val="auto"/>
          <w:sz w:val="32"/>
          <w:szCs w:val="32"/>
          <w:highlight w:val="none"/>
          <w:lang w:eastAsia="zh-CN"/>
        </w:rPr>
        <w:t>项目负责人非申报单位全职聘用人员的，需提供牵头申报单位聘用有效材料。</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项目查重范围：</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省级科技专项研发类项目</w:t>
      </w:r>
      <w:r>
        <w:rPr>
          <w:rFonts w:hint="eastAsia" w:ascii="仿宋_GB2312" w:hAnsi="仿宋_GB2312" w:eastAsia="仿宋_GB2312" w:cs="仿宋_GB2312"/>
          <w:color w:val="auto"/>
          <w:sz w:val="32"/>
          <w:szCs w:val="32"/>
          <w:lang w:val="en" w:eastAsia="zh-CN"/>
        </w:rPr>
        <w:t>。包括：</w:t>
      </w:r>
      <w:r>
        <w:rPr>
          <w:rFonts w:hint="eastAsia" w:ascii="仿宋_GB2312" w:hAnsi="仿宋_GB2312" w:eastAsia="仿宋_GB2312" w:cs="仿宋_GB2312"/>
          <w:color w:val="auto"/>
          <w:sz w:val="32"/>
          <w:szCs w:val="32"/>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南海新星”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省财政经费支持的需省科技厅备案查重的科研项</w:t>
      </w:r>
      <w:r>
        <w:rPr>
          <w:rFonts w:hint="eastAsia" w:ascii="仿宋_GB2312" w:hAnsi="仿宋_GB2312" w:eastAsia="仿宋_GB2312" w:cs="仿宋_GB2312"/>
          <w:color w:val="auto"/>
          <w:sz w:val="32"/>
          <w:szCs w:val="32"/>
          <w:lang w:eastAsia="zh-CN"/>
        </w:rPr>
        <w:t>目</w:t>
      </w:r>
      <w:r>
        <w:rPr>
          <w:rFonts w:hint="default" w:ascii="仿宋_GB2312" w:hAnsi="仿宋_GB2312" w:eastAsia="仿宋_GB2312" w:cs="仿宋_GB2312"/>
          <w:color w:val="auto"/>
          <w:sz w:val="32"/>
          <w:szCs w:val="32"/>
        </w:rPr>
        <w:t>。</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（八）限报要求：</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作为项目负责人，同一年度可申报省级科技专项研发类项目数量与在研省级科技专项研发类项目数量之和不得超过2项；同一年度申报某类别省级科技专项研发类项目不得超过1项；项目负责人同一年度立项不超过2项。</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项目执行期（包括延期后执行期）结束的项目，项目负责人在海南省科技业务综合管理信息系统已成功提交绩效验收评价申请材料，且通过单位审核，在当期申报阶段，可视为非在研项目；在后续立项评审过程中，该项目绩效评价验收结果为“不通过”的，停止项目立项流程。</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绩效评价验收结果为“不通过”的项目，取消项目承担单位（专指企业承担单位）或负责人申报资格时间从发文之日起算。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rPr>
        <w:t>项目研究内容重复率20%以上视为雷同项目，不予立项。</w:t>
      </w:r>
    </w:p>
    <w:p>
      <w:pPr>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项目申报单位,按不低于省财政资助金额的1:1配套(事业单位配套资金可由合作企业出资)。</w:t>
      </w:r>
    </w:p>
    <w:p>
      <w:pPr>
        <w:spacing w:beforeLines="0" w:afterLines="0" w:line="560" w:lineRule="exact"/>
        <w:ind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十）企业牵头或参与申报的联合项目，现场核查时，需提供年度审计报告、财务报表、完税证明材料和配套资金来源的佐证材料，否则不予立项。原则上企业的净资产总额或净利润等，需高于企业所有申报和在研省级科技专项研发类项目承诺配套资金的总和。</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对于项目承担单位的配套资金，不得使用货币资金之外的资产作为配套资金来源。非公益一类事业单位(如企业单位、二类事业单位等)用于项目组成员的人力成本可计为配套资金。项目执行期内(含追溯期)项目承担单位横向科研项目经费，可作为研发专项的配套资金。鼓励项目承担单位先行投入项目研发，从立项之日起追溯期最长不超过6个月。</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劳务费”中列支。</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（十三）预算经费应纳入单位财务统一管理，对省财政资金和项目承担单位其他来源资金分别单独核算，确保专款专用。</w:t>
      </w:r>
    </w:p>
    <w:p>
      <w:pPr>
        <w:widowControl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（十四）项目须遵循生物安全及伦理相关法规。</w:t>
      </w:r>
      <w:r>
        <w:rPr>
          <w:rFonts w:hint="eastAsia" w:ascii="仿宋_GB2312" w:hAnsi="仿宋_GB2312" w:eastAsia="仿宋_GB2312" w:cs="仿宋_GB2312"/>
          <w:color w:val="auto"/>
          <w:sz w:val="32"/>
          <w:szCs w:val="32"/>
          <w:highlight w:val="none"/>
        </w:rPr>
        <w:t>相关单位应建立资质合格的伦理审查委员会，对科研活动加强审查和监管；科研人员应自觉接受伦理审查和监管。涉及人的生命医学研究应执行《涉及人的生命科学和医学研究伦理审查办法》等规定</w:t>
      </w:r>
      <w:r>
        <w:rPr>
          <w:rFonts w:ascii="仿宋_GB2312" w:hAnsi="仿宋_GB2312" w:eastAsia="仿宋_GB2312" w:cs="仿宋_GB2312"/>
          <w:color w:val="auto"/>
          <w:sz w:val="32"/>
          <w:szCs w:val="32"/>
          <w:highlight w:val="none"/>
        </w:rPr>
        <w:t>,获得伦理审查批件，并于立项后完成医学研究登记备案信息系统登记备案方可启动。</w:t>
      </w:r>
      <w:r>
        <w:rPr>
          <w:rFonts w:hint="eastAsia" w:ascii="仿宋_GB2312" w:hAnsi="仿宋_GB2312" w:eastAsia="仿宋_GB2312" w:cs="仿宋_GB2312"/>
          <w:color w:val="auto"/>
          <w:sz w:val="32"/>
          <w:szCs w:val="32"/>
          <w:highlight w:val="none"/>
        </w:rPr>
        <w:t>涉及人类遗传资源的研究应执行《中华人民共和国人类遗传资源管理条例》等法规。涉及生物技术的研究应遵守《生物技术研究开发安全管理办法》等规章。涉及病原微生物的研究须遵守《病原微生物实验室安全管理条例》等法规</w:t>
      </w:r>
      <w:r>
        <w:rPr>
          <w:rFonts w:ascii="仿宋_GB2312" w:hAnsi="仿宋_GB2312" w:eastAsia="仿宋_GB2312" w:cs="仿宋_GB2312"/>
          <w:color w:val="auto"/>
          <w:sz w:val="32"/>
          <w:szCs w:val="32"/>
          <w:highlight w:val="none"/>
        </w:rPr>
        <w:t>,提供相应生物安全实验室备案证明</w:t>
      </w:r>
      <w:r>
        <w:rPr>
          <w:rFonts w:hint="eastAsia" w:ascii="仿宋_GB2312" w:hAnsi="仿宋_GB2312" w:eastAsia="仿宋_GB2312" w:cs="仿宋_GB2312"/>
          <w:color w:val="auto"/>
          <w:sz w:val="32"/>
          <w:szCs w:val="32"/>
          <w:highlight w:val="none"/>
        </w:rPr>
        <w:t>。涉及实验动物和动物实验的，应遵守国家实验动物管理的法律、法规、技术标准及有关规定，使用合格实验动物，在合格设施内进行动物实验，保证实验过程合法，实验结果真实、有效，并通过实验动物福利和伦理审查</w:t>
      </w:r>
      <w:r>
        <w:rPr>
          <w:rFonts w:ascii="仿宋_GB2312" w:hAnsi="仿宋_GB2312" w:eastAsia="仿宋_GB2312" w:cs="仿宋_GB2312"/>
          <w:color w:val="auto"/>
          <w:sz w:val="32"/>
          <w:szCs w:val="32"/>
          <w:highlight w:val="none"/>
        </w:rPr>
        <w:t>,提供动物伦理审查同意申报证明材料。</w:t>
      </w:r>
    </w:p>
    <w:p>
      <w:pPr>
        <w:widowControl w:val="0"/>
        <w:spacing w:beforeLines="0" w:afterLines="0" w:line="560" w:lineRule="exact"/>
        <w:ind w:firstLine="640" w:firstLineChars="200"/>
        <w:jc w:val="both"/>
        <w:rPr>
          <w:rFonts w:hint="eastAsia" w:ascii="黑体" w:hAnsi="黑体" w:eastAsia="黑体" w:cs="仿宋_GB2312"/>
          <w:color w:val="auto"/>
          <w:sz w:val="32"/>
          <w:szCs w:val="32"/>
          <w:lang w:eastAsia="zh-CN"/>
        </w:rPr>
      </w:pPr>
      <w:r>
        <w:rPr>
          <w:rFonts w:hint="eastAsia" w:ascii="黑体" w:hAnsi="黑体" w:eastAsia="黑体"/>
          <w:color w:val="auto"/>
          <w:sz w:val="32"/>
          <w:szCs w:val="32"/>
        </w:rPr>
        <w:t>二、申报方式</w:t>
      </w:r>
      <w:r>
        <w:rPr>
          <w:rFonts w:hint="eastAsia" w:ascii="黑体" w:hAnsi="黑体" w:eastAsia="黑体"/>
          <w:color w:val="auto"/>
          <w:sz w:val="32"/>
          <w:szCs w:val="32"/>
          <w:lang w:eastAsia="zh-CN"/>
        </w:rPr>
        <w:t>和</w:t>
      </w:r>
      <w:r>
        <w:rPr>
          <w:rFonts w:hint="eastAsia" w:ascii="黑体" w:hAnsi="黑体" w:eastAsia="黑体" w:cs="黑体"/>
          <w:color w:val="auto"/>
          <w:sz w:val="32"/>
          <w:szCs w:val="32"/>
        </w:rPr>
        <w:t>实施年限</w:t>
      </w:r>
    </w:p>
    <w:p>
      <w:pPr>
        <w:widowControl w:val="0"/>
        <w:autoSpaceDN w:val="0"/>
        <w:adjustRightInd w:val="0"/>
        <w:snapToGrid w:val="0"/>
        <w:spacing w:beforeLines="0" w:afterLines="0" w:line="560" w:lineRule="exact"/>
        <w:ind w:left="0" w:leftChars="0" w:firstLine="640" w:firstLineChars="200"/>
        <w:jc w:val="both"/>
        <w:rPr>
          <w:color w:val="auto"/>
          <w:sz w:val="32"/>
          <w:szCs w:val="32"/>
        </w:rPr>
      </w:pPr>
      <w:r>
        <w:rPr>
          <w:rFonts w:hint="eastAsia" w:ascii="仿宋_GB2312" w:hAnsi="仿宋_GB2312" w:eastAsia="仿宋_GB2312" w:cs="仿宋_GB2312"/>
          <w:color w:val="auto"/>
          <w:sz w:val="32"/>
          <w:szCs w:val="32"/>
        </w:rPr>
        <w:t>项目单位根据申报指南内容以项目形式整体申报，并推荐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名科研人员作为项目负责人。项目实施年限一般不超过3年</w:t>
      </w:r>
      <w:r>
        <w:rPr>
          <w:rFonts w:hint="eastAsia" w:ascii="仿宋_GB2312" w:hAnsi="仿宋_GB2312" w:eastAsia="仿宋_GB2312" w:cs="仿宋_GB2312"/>
          <w:color w:val="auto"/>
          <w:sz w:val="32"/>
          <w:szCs w:val="32"/>
          <w:lang w:eastAsia="zh-CN"/>
        </w:rPr>
        <w:t>（可选择１年、２年或３年）</w:t>
      </w:r>
      <w:r>
        <w:rPr>
          <w:rFonts w:hint="eastAsia" w:ascii="仿宋_GB2312" w:hAnsi="仿宋_GB2312" w:eastAsia="仿宋_GB2312" w:cs="仿宋_GB2312"/>
          <w:color w:val="auto"/>
          <w:sz w:val="32"/>
          <w:szCs w:val="32"/>
        </w:rPr>
        <w:t>，从立项时间起算，项目单位要根据研究任务合理确定项目实施年限。</w:t>
      </w:r>
    </w:p>
    <w:p>
      <w:pPr>
        <w:widowControl w:val="0"/>
        <w:numPr>
          <w:ilvl w:val="-1"/>
          <w:numId w:val="0"/>
        </w:numPr>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资助额度及要求</w:t>
      </w:r>
    </w:p>
    <w:p>
      <w:pPr>
        <w:widowControl w:val="0"/>
        <w:numPr>
          <w:ilvl w:val="-1"/>
          <w:numId w:val="0"/>
        </w:numPr>
        <w:spacing w:beforeLines="0" w:afterLines="0" w:line="560" w:lineRule="exact"/>
        <w:ind w:firstLine="640" w:firstLineChars="200"/>
        <w:jc w:val="both"/>
        <w:rPr>
          <w:rFonts w:ascii="黑体" w:hAnsi="黑体" w:eastAsia="黑体"/>
          <w:color w:val="auto"/>
          <w:sz w:val="32"/>
          <w:szCs w:val="32"/>
        </w:rPr>
      </w:pPr>
      <w:r>
        <w:rPr>
          <w:rFonts w:hint="eastAsia" w:ascii="仿宋_GB2312" w:hAnsi="仿宋_GB2312" w:eastAsia="仿宋_GB2312" w:cs="仿宋_GB2312"/>
          <w:color w:val="auto"/>
          <w:sz w:val="32"/>
          <w:szCs w:val="32"/>
        </w:rPr>
        <w:t>资助额度分为三个档次：青年科研项目，每项资助5万元。面上项目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每项资助10-20万元。重点项目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项资助50-100万。项目评审和立项时，经费不予跨档调剂。各申报单位按照科研项目资金与研究任务相匹配的原则，据实编制预算经费。项目立项时，省科技厅根据专项资金总额综合平衡安排支持经费，但不得压缩任务内容和考核指标。</w:t>
      </w:r>
    </w:p>
    <w:p>
      <w:pPr>
        <w:widowControl w:val="0"/>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现场核查</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拟立项项目进行现场核查时，</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单位（含合作单位）需提供以下材料：</w:t>
      </w:r>
    </w:p>
    <w:p>
      <w:pPr>
        <w:widowControl w:val="0"/>
        <w:spacing w:beforeLines="0" w:afterLines="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（一）项目申报书。</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（二）年度审计报告、会计报表、完税证明材料等。</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（三）项目组人员学历、职称证明等，如属临时聘请或合作的研发人员，需提供临时聘请或合作的材料。</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（四）项目实施需要试验和示范基地的，需提供自有产权或租赁、合作的科研基地的证明材料，包括产权证、租赁合同、合作协议及土地的红线图等。</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、资金拨付和管理</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青年项目、面上项目</w:t>
      </w:r>
      <w:r>
        <w:rPr>
          <w:rFonts w:hint="eastAsia" w:ascii="仿宋_GB2312" w:hAnsi="仿宋_GB2312" w:eastAsia="仿宋_GB2312" w:cs="仿宋_GB2312"/>
          <w:color w:val="auto"/>
          <w:sz w:val="32"/>
          <w:szCs w:val="32"/>
        </w:rPr>
        <w:t>采取前补助资助方式，经费按照国库集中支付的有关规定</w:t>
      </w:r>
      <w:r>
        <w:rPr>
          <w:rFonts w:hint="eastAsia" w:ascii="仿宋_GB2312" w:hAnsi="仿宋_GB2312" w:eastAsia="仿宋_GB2312" w:cs="仿宋_GB2312"/>
          <w:color w:val="auto"/>
          <w:sz w:val="32"/>
          <w:szCs w:val="32"/>
          <w:lang w:eastAsia="zh-CN"/>
        </w:rPr>
        <w:t>一次</w:t>
      </w:r>
      <w:r>
        <w:rPr>
          <w:rFonts w:hint="eastAsia" w:ascii="仿宋_GB2312" w:hAnsi="仿宋_GB2312" w:eastAsia="仿宋_GB2312" w:cs="仿宋_GB2312"/>
          <w:color w:val="auto"/>
          <w:sz w:val="32"/>
          <w:szCs w:val="32"/>
        </w:rPr>
        <w:t>拨付项目</w:t>
      </w:r>
      <w:r>
        <w:rPr>
          <w:rFonts w:hint="eastAsia" w:ascii="仿宋_GB2312" w:hAnsi="仿宋_GB2312" w:eastAsia="仿宋_GB2312" w:cs="仿宋_GB2312"/>
          <w:color w:val="auto"/>
          <w:sz w:val="32"/>
          <w:szCs w:val="32"/>
          <w:lang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；重点项目</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分年度拨付至项目牵头单位</w:t>
      </w:r>
      <w:r>
        <w:rPr>
          <w:rFonts w:hint="eastAsia" w:ascii="仿宋_GB2312" w:hAnsi="仿宋_GB2312" w:eastAsia="仿宋_GB2312" w:cs="仿宋_GB2312"/>
          <w:color w:val="auto"/>
          <w:sz w:val="32"/>
          <w:szCs w:val="32"/>
        </w:rPr>
        <w:t>。</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（二）项目牵头单位按照项目研究进度，根据项目负责人意见，及时将财政资金拨付至项目参与单位。项目参与单位不得再向外转拨资金。</w:t>
      </w:r>
    </w:p>
    <w:p>
      <w:pPr>
        <w:widowControl w:val="0"/>
        <w:shd w:val="clear" w:color="auto" w:fill="FFFFFF"/>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color w:val="auto"/>
          <w:sz w:val="32"/>
          <w:szCs w:val="32"/>
        </w:rPr>
        <w:t>（三）</w:t>
      </w:r>
      <w:r>
        <w:rPr>
          <w:rFonts w:hint="eastAsia" w:ascii="仿宋_GB2312" w:hAnsi="仿宋_GB2312" w:eastAsia="仿宋_GB2312" w:cs="仿宋_GB2312"/>
          <w:color w:val="auto"/>
          <w:sz w:val="32"/>
          <w:szCs w:val="32"/>
        </w:rPr>
        <w:t>联合项目经费管理参照《海南省卫生健康科技创新联合项目和经费管理暂行办法》</w:t>
      </w:r>
      <w:r>
        <w:rPr>
          <w:rFonts w:hint="eastAsia" w:ascii="仿宋_GB2312" w:hAnsi="仿宋_GB2312" w:eastAsia="仿宋_GB2312" w:cs="仿宋_GB2312"/>
          <w:color w:val="auto"/>
          <w:sz w:val="32"/>
          <w:szCs w:val="32"/>
          <w:lang w:eastAsia="zh-CN"/>
        </w:rPr>
        <w:t>（琼科规〔2023〕2号）</w:t>
      </w:r>
      <w:r>
        <w:rPr>
          <w:rFonts w:hint="eastAsia" w:ascii="仿宋_GB2312" w:hAnsi="仿宋_GB2312" w:eastAsia="仿宋_GB2312" w:cs="仿宋_GB2312"/>
          <w:color w:val="auto"/>
          <w:sz w:val="32"/>
          <w:szCs w:val="32"/>
        </w:rPr>
        <w:t>执行。</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、支持方向</w:t>
      </w:r>
    </w:p>
    <w:p>
      <w:pPr>
        <w:widowControl w:val="0"/>
        <w:adjustRightInd w:val="0"/>
        <w:snapToGrid w:val="0"/>
        <w:spacing w:beforeLines="0" w:afterLines="0" w:line="560" w:lineRule="exact"/>
        <w:ind w:firstLine="640" w:firstLineChars="200"/>
        <w:jc w:val="both"/>
        <w:rPr>
          <w:rStyle w:val="16"/>
          <w:rFonts w:ascii="楷体_GB2312" w:hAnsi="楷体_GB2312" w:eastAsia="楷体_GB2312" w:cs="楷体_GB2312"/>
          <w:b w:val="0"/>
          <w:bCs/>
          <w:color w:val="auto"/>
          <w:sz w:val="32"/>
          <w:szCs w:val="32"/>
        </w:rPr>
      </w:pPr>
      <w:r>
        <w:rPr>
          <w:rStyle w:val="16"/>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rPr>
        <w:t>青年科研项目</w:t>
      </w:r>
    </w:p>
    <w:p>
      <w:pPr>
        <w:widowControl w:val="0"/>
        <w:adjustRightInd w:val="0"/>
        <w:snapToGrid w:val="0"/>
        <w:spacing w:beforeLines="0" w:afterLines="0" w:line="560" w:lineRule="exact"/>
        <w:ind w:firstLine="642" w:firstLineChars="200"/>
        <w:jc w:val="both"/>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探索建立常见病、多发病临床诊疗的新技术与新方法、慢性病健康管理新手段和新模式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传染病症候群多病原检测技术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在前期研究基础上，开展常见病、多发病诊疗新技术、新方法的临床研究或慢性病健康管理社区干预，完成临床疗效或群体干预的客观评价并形成研究报告。优先支持急性呼吸道传染病</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肠道传染病、自然疫源性疾病</w:t>
      </w:r>
      <w:r>
        <w:rPr>
          <w:rFonts w:hint="eastAsia" w:ascii="仿宋_GB2312" w:hAnsi="仿宋_GB2312" w:eastAsia="仿宋_GB2312" w:cs="仿宋_GB2312"/>
          <w:color w:val="auto"/>
          <w:kern w:val="2"/>
          <w:sz w:val="32"/>
          <w:szCs w:val="32"/>
        </w:rPr>
        <w:t>等公共卫生疾病防治、特殊人群（如孕产妇、儿童、老年人、残疾人等）和重大慢性病疾病（高血压、糖尿病、肝炎、肺结核和重性精神疾病等）诊疗康复与照护、社区干预与健康管理、急危重症救治、重大疑难疾病中西医结合治疗、区域特色治疗以及新技术新方法的临床研究。</w:t>
      </w:r>
    </w:p>
    <w:p>
      <w:pPr>
        <w:pStyle w:val="12"/>
        <w:widowControl w:val="0"/>
        <w:adjustRightInd w:val="0"/>
        <w:snapToGrid w:val="0"/>
        <w:spacing w:before="0" w:beforeLines="0" w:beforeAutospacing="0" w:after="0" w:afterLines="0" w:afterAutospacing="0" w:line="560" w:lineRule="exact"/>
        <w:ind w:firstLine="640" w:firstLineChars="200"/>
        <w:jc w:val="both"/>
        <w:rPr>
          <w:rFonts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（二）面上项目</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Style w:val="16"/>
          <w:rFonts w:hint="eastAsia" w:ascii="仿宋_GB2312" w:hAnsi="仿宋_GB2312" w:eastAsia="仿宋_GB2312" w:cs="仿宋_GB2312"/>
          <w:bCs/>
          <w:color w:val="auto"/>
          <w:sz w:val="32"/>
          <w:szCs w:val="32"/>
        </w:rPr>
        <w:t>专题一、常见病多发病防治策略优化研究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主要常见病和多发病，聚焦疾病早诊早治、生殖健康及出生缺陷防控、儿童多发疾病早筛干预、职业病综合防治，开展疾病早诊早筛、防治、康复等全周期诊疗策略的改进、优化研究，形成标准化诊疗指南与规范标准、专家共识、疾病分级评估指标体系、监测与干预策略措施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领域包括（不限于）循环系统疾病、呼吸系统疾病、消化系统疾病、神经系统疾病、泌尿系统疾病、免疫系统疾病、重症医学、老年病、儿童多发疾病、急诊急救、精神疾病和心理行为问题、恶性肿瘤、热带病、输血相关疾病、生殖健康及出生缺陷、皮肤病、眼科疾病、口腔疾病、耳鼻咽喉疾病、职业病、医学影像、医学检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药学</w:t>
      </w:r>
      <w:r>
        <w:rPr>
          <w:rFonts w:hint="eastAsia" w:ascii="仿宋_GB2312" w:hAnsi="仿宋_GB2312" w:eastAsia="仿宋_GB2312" w:cs="仿宋_GB2312"/>
          <w:color w:val="auto"/>
          <w:sz w:val="32"/>
          <w:szCs w:val="32"/>
        </w:rPr>
        <w:t>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、中医中药重要技术和发展评价研究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开展槟榔、沉香等海南道地药材相关研究，开发新的中药方剂。开展中医诊疗技术临床研究，建立相应技术规范和诊疗指南。</w:t>
      </w:r>
      <w:r>
        <w:rPr>
          <w:rFonts w:hint="eastAsia" w:ascii="仿宋_GB2312" w:hAnsi="仿宋_GB2312" w:eastAsia="仿宋_GB2312" w:cs="仿宋_GB2312"/>
          <w:color w:val="auto"/>
          <w:sz w:val="32"/>
          <w:szCs w:val="32"/>
          <w:shd w:val="clear" w:color="auto" w:fill="FFFFFF"/>
          <w:lang w:bidi="ar"/>
        </w:rPr>
        <w:t>海南特色中医药（民族医药）治疗常见病多发病的机制及应用研究、海南省中医药古籍工作及历史源流专项研究、海南道地药材的标准化、规范化研究。开展中医药发展评价研究。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bCs/>
          <w:color w:val="auto"/>
          <w:sz w:val="32"/>
          <w:szCs w:val="32"/>
        </w:rPr>
      </w:pPr>
      <w:r>
        <w:rPr>
          <w:rStyle w:val="16"/>
          <w:rFonts w:hint="eastAsia" w:ascii="仿宋_GB2312" w:hAnsi="仿宋_GB2312" w:eastAsia="仿宋_GB2312" w:cs="仿宋_GB2312"/>
          <w:color w:val="auto"/>
          <w:sz w:val="32"/>
          <w:szCs w:val="32"/>
        </w:rPr>
        <w:t>专题</w:t>
      </w:r>
      <w:r>
        <w:rPr>
          <w:rStyle w:val="16"/>
          <w:rFonts w:hint="eastAsia" w:ascii="仿宋_GB2312" w:hAnsi="仿宋_GB2312" w:eastAsia="仿宋_GB2312" w:cs="仿宋_GB2312"/>
          <w:color w:val="auto"/>
          <w:sz w:val="32"/>
          <w:szCs w:val="32"/>
          <w:lang w:eastAsia="zh-CN"/>
        </w:rPr>
        <w:t>三</w:t>
      </w:r>
      <w:r>
        <w:rPr>
          <w:rStyle w:val="16"/>
          <w:rFonts w:hint="eastAsia" w:ascii="仿宋_GB2312" w:hAnsi="仿宋_GB2312" w:eastAsia="仿宋_GB2312" w:cs="仿宋_GB2312"/>
          <w:color w:val="auto"/>
          <w:sz w:val="32"/>
          <w:szCs w:val="32"/>
        </w:rPr>
        <w:t>、公共卫生项目研究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rPr>
        <w:t>针对海南主要公共卫生风险，研究制定技术标准和指南，包括但不限于主要传染病疾病监测标准，病原体诊断和鉴定标准，公共卫生风险评估方法标准，防控措施技术规范，应急处置操作标准，医疗救治指南，健康教育和沟通指导原则，国际合作与信息交流机制等。</w:t>
      </w:r>
    </w:p>
    <w:p>
      <w:pPr>
        <w:keepNext w:val="0"/>
        <w:keepLines w:val="0"/>
        <w:pageBreakBefore w:val="0"/>
        <w:widowControl/>
        <w:kinsoku/>
        <w:wordWrap/>
        <w:overflowPunct/>
        <w:topLinePunct w:val="0"/>
        <w:autoSpaceDE/>
        <w:bidi w:val="0"/>
        <w:adjustRightInd w:val="0"/>
        <w:snapToGrid w:val="0"/>
        <w:spacing w:before="0" w:beforeLines="0" w:beforeAutospacing="0" w:after="0" w:afterLines="0" w:afterAutospacing="0" w:line="560" w:lineRule="exact"/>
        <w:ind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聚焦艾滋病、病毒性肝炎、结核病、血吸虫病和包虫病等重大传染病，以及流感、手足口病、登革热、麻疹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布病、类鼻疽</w:t>
      </w:r>
      <w:r>
        <w:rPr>
          <w:rFonts w:hint="eastAsia" w:ascii="仿宋_GB2312" w:hAnsi="仿宋_GB2312" w:eastAsia="仿宋_GB2312" w:cs="仿宋_GB2312"/>
          <w:color w:val="auto"/>
          <w:sz w:val="32"/>
          <w:szCs w:val="32"/>
        </w:rPr>
        <w:t>等多发传染病，研发新型诊断产品、</w:t>
      </w:r>
      <w:r>
        <w:rPr>
          <w:rFonts w:hint="eastAsia" w:ascii="仿宋_GB2312" w:hAnsi="仿宋_GB2312" w:eastAsia="仿宋_GB2312" w:cs="仿宋_GB2312"/>
          <w:color w:val="auto"/>
          <w:sz w:val="32"/>
          <w:szCs w:val="32"/>
          <w:lang w:eastAsia="zh-CN"/>
        </w:rPr>
        <w:t>开发生物安全防护装备、</w:t>
      </w:r>
      <w:r>
        <w:rPr>
          <w:rFonts w:hint="eastAsia" w:ascii="仿宋_GB2312" w:hAnsi="仿宋_GB2312" w:eastAsia="仿宋_GB2312" w:cs="仿宋_GB2312"/>
          <w:color w:val="auto"/>
          <w:sz w:val="32"/>
          <w:szCs w:val="32"/>
        </w:rPr>
        <w:t>疫苗与治疗药物、诊疗方案及综合干预措施，提升疫情应对能力。聚焦环境与健康，电离辐射对人类健康的影响及其防护与管理。</w:t>
      </w:r>
      <w:r>
        <w:rPr>
          <w:rFonts w:hint="eastAsia" w:ascii="仿宋_GB2312" w:hAnsi="仿宋_GB2312" w:eastAsia="仿宋_GB2312" w:cs="仿宋_GB2312"/>
          <w:color w:val="auto"/>
          <w:sz w:val="32"/>
          <w:szCs w:val="32"/>
          <w:lang w:val="en-US" w:eastAsia="zh-CN"/>
        </w:rPr>
        <w:t>聚焦食品安全与健康，开展全链条安全监测，保障人民生命健康。</w:t>
      </w:r>
      <w:r>
        <w:rPr>
          <w:rFonts w:hint="eastAsia" w:ascii="仿宋_GB2312" w:hAnsi="仿宋_GB2312" w:eastAsia="仿宋_GB2312" w:cs="仿宋_GB2312"/>
          <w:color w:val="auto"/>
          <w:sz w:val="32"/>
          <w:szCs w:val="32"/>
          <w:lang w:eastAsia="zh-CN"/>
        </w:rPr>
        <w:t>聚焦</w:t>
      </w:r>
      <w:r>
        <w:rPr>
          <w:rFonts w:hint="eastAsia" w:ascii="仿宋_GB2312" w:hAnsi="仿宋_GB2312" w:eastAsia="仿宋_GB2312" w:cs="仿宋_GB2312"/>
          <w:color w:val="auto"/>
          <w:sz w:val="32"/>
          <w:szCs w:val="32"/>
        </w:rPr>
        <w:t>妇女儿童健康保障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青少年健康促进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探索健康宣教、健康素养提升有效模式。</w:t>
      </w:r>
      <w:r>
        <w:rPr>
          <w:rFonts w:ascii="仿宋_GB2312" w:hAnsi="仿宋_GB2312" w:eastAsia="仿宋_GB2312" w:cs="仿宋_GB2312"/>
          <w:color w:val="auto"/>
          <w:sz w:val="32"/>
          <w:szCs w:val="32"/>
        </w:rPr>
        <w:t>开展热带食品营养健康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kern w:val="0"/>
          <w:sz w:val="32"/>
          <w:szCs w:val="32"/>
          <w:lang w:val="en-US" w:eastAsia="zh-CN" w:bidi="ar"/>
        </w:rPr>
        <w:t>特殊医学用途配方食品（</w:t>
      </w:r>
      <w:r>
        <w:rPr>
          <w:rFonts w:hint="eastAsia" w:ascii="仿宋_GB2312" w:hAnsi="仿宋_GB2312" w:eastAsia="仿宋_GB2312" w:cs="仿宋_GB2312"/>
          <w:color w:val="auto"/>
          <w:sz w:val="32"/>
          <w:szCs w:val="32"/>
          <w:lang w:val="en-US" w:eastAsia="zh-CN"/>
        </w:rPr>
        <w:t>特医食品</w:t>
      </w:r>
      <w:r>
        <w:rPr>
          <w:rFonts w:hint="eastAsia" w:ascii="仿宋_GB2312" w:hAnsi="仿宋_GB2312" w:eastAsia="仿宋_GB2312" w:cs="仿宋_GB2312"/>
          <w:color w:val="auto"/>
          <w:kern w:val="0"/>
          <w:sz w:val="32"/>
          <w:szCs w:val="32"/>
          <w:lang w:val="en-US" w:eastAsia="zh-CN" w:bidi="ar"/>
        </w:rPr>
        <w:t>）研究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开展消毒与健康研究。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环境卫生：饮用水、公共场所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养殖、城市污水、城市自然水体</w:t>
      </w:r>
      <w:r>
        <w:rPr>
          <w:rFonts w:hint="eastAsia" w:ascii="仿宋_GB2312" w:hAnsi="仿宋_GB2312" w:eastAsia="仿宋_GB2312" w:cs="仿宋_GB2312"/>
          <w:color w:val="auto"/>
          <w:sz w:val="32"/>
          <w:szCs w:val="32"/>
        </w:rPr>
        <w:t>等健康危害因素监测、调查与评估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开展相关水体的病原学监测及病原特征和耐药基因的研究，</w:t>
      </w:r>
      <w:r>
        <w:rPr>
          <w:rFonts w:hint="eastAsia" w:ascii="仿宋_GB2312" w:hAnsi="仿宋_GB2312" w:eastAsia="仿宋_GB2312" w:cs="仿宋_GB2312"/>
          <w:color w:val="auto"/>
          <w:sz w:val="32"/>
          <w:szCs w:val="32"/>
          <w:highlight w:val="none"/>
          <w:lang w:val="en-US" w:eastAsia="zh-CN"/>
        </w:rPr>
        <w:t>医疗环境</w:t>
      </w:r>
      <w:r>
        <w:rPr>
          <w:rFonts w:hint="eastAsia" w:ascii="仿宋_GB2312" w:hAnsi="仿宋_GB2312" w:eastAsia="仿宋_GB2312" w:cs="仿宋_GB2312"/>
          <w:color w:val="auto"/>
          <w:sz w:val="32"/>
          <w:szCs w:val="32"/>
          <w:highlight w:val="none"/>
        </w:rPr>
        <w:t>健康危害因素监测、调查与评估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医院感染暴发识别与溯源新技术等</w:t>
      </w:r>
      <w:r>
        <w:rPr>
          <w:rFonts w:hint="eastAsia" w:ascii="仿宋_GB2312" w:hAnsi="仿宋_GB2312" w:eastAsia="仿宋_GB2312" w:cs="仿宋_GB2312"/>
          <w:color w:val="auto"/>
          <w:sz w:val="32"/>
          <w:szCs w:val="32"/>
          <w:lang w:val="en-US"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放射卫生：</w:t>
      </w:r>
      <w:r>
        <w:rPr>
          <w:rFonts w:ascii="仿宋_GB2312" w:hAnsi="仿宋_GB2312" w:eastAsia="仿宋_GB2312" w:cs="仿宋_GB2312"/>
          <w:color w:val="auto"/>
          <w:sz w:val="32"/>
          <w:szCs w:val="32"/>
        </w:rPr>
        <w:t>职业照射的防护与安全、医疗照射的安全与防护、公众照射的安全与防护、核辐射卫生应急和医学救援、辐射健康效应及其生物学机制等</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职业卫生：工作场所职业病危害因素监测、劳动者健康监护、职业健康素养的提高、职业病危害因素和健康检查结果的趋势分析等；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eastAsia="zh-CN"/>
        </w:rPr>
        <w:t>食品卫生：食品及食品生产过程危害因素的监测、调查与评估，基于“同一健康”的全链条的监测、食源性疾病暴发识别</w:t>
      </w:r>
      <w:r>
        <w:rPr>
          <w:rFonts w:hint="eastAsia" w:ascii="仿宋_GB2312" w:hAnsi="仿宋_GB2312" w:eastAsia="仿宋_GB2312" w:cs="仿宋_GB2312"/>
          <w:color w:val="auto"/>
          <w:sz w:val="32"/>
          <w:szCs w:val="32"/>
          <w:highlight w:val="none"/>
          <w:lang w:val="en-US" w:eastAsia="zh-CN"/>
        </w:rPr>
        <w:t>与溯源新技术等；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.妇女儿童健康管理：前瞻性孕前-孕期-出生队列研究，生命早期危险因素监测预警和策略分析，重点疾病临床干预诊疗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青少年健康：学生常见病及健康影响因素的监测与评估、知信行调查研究等</w:t>
      </w:r>
      <w:r>
        <w:rPr>
          <w:rFonts w:hint="eastAsia" w:ascii="仿宋_GB2312" w:hAnsi="仿宋_GB2312" w:eastAsia="仿宋_GB2312" w:cs="仿宋_GB2312"/>
          <w:color w:val="auto"/>
          <w:sz w:val="32"/>
          <w:szCs w:val="32"/>
          <w:lang w:eastAsia="zh-CN"/>
        </w:rPr>
        <w:t>。</w:t>
      </w:r>
    </w:p>
    <w:p>
      <w:pPr>
        <w:spacing w:beforeLines="0" w:afterLines="0" w:line="560" w:lineRule="exact"/>
        <w:ind w:firstLine="642" w:firstLineChars="200"/>
        <w:jc w:val="both"/>
        <w:rPr>
          <w:rFonts w:hint="eastAsia"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w:t>
      </w:r>
      <w:r>
        <w:rPr>
          <w:rFonts w:hint="default" w:ascii="仿宋_GB2312" w:hAnsi="仿宋_GB2312" w:eastAsia="仿宋_GB2312" w:cs="仿宋_GB2312"/>
          <w:b/>
          <w:bCs/>
          <w:color w:val="auto"/>
          <w:sz w:val="32"/>
          <w:szCs w:val="32"/>
          <w:lang w:eastAsia="zh-CN"/>
        </w:rPr>
        <w:t>四</w:t>
      </w:r>
      <w:r>
        <w:rPr>
          <w:rFonts w:hint="default" w:ascii="仿宋_GB2312" w:hAnsi="仿宋_GB2312" w:eastAsia="仿宋_GB2312" w:cs="仿宋_GB2312"/>
          <w:b/>
          <w:bCs/>
          <w:color w:val="auto"/>
          <w:sz w:val="32"/>
          <w:szCs w:val="32"/>
        </w:rPr>
        <w:t>、数字疗法临床应用研究</w:t>
      </w:r>
    </w:p>
    <w:p>
      <w:pPr>
        <w:spacing w:beforeLines="0" w:afterLines="0" w:line="560" w:lineRule="exact"/>
        <w:ind w:firstLine="640" w:firstLineChars="200"/>
        <w:jc w:val="both"/>
        <w:rPr>
          <w:rFonts w:hint="eastAsia" w:ascii="仿宋_GB2312" w:hAnsi="仿宋_GB2312" w:eastAsia="仿宋_GB2312" w:cs="仿宋_GB2312"/>
          <w:color w:val="auto"/>
          <w:sz w:val="32"/>
          <w:szCs w:val="32"/>
          <w:shd w:val="clear" w:color="auto" w:fill="FFFFFF"/>
          <w:lang w:bidi="ar"/>
        </w:rPr>
      </w:pPr>
      <w:r>
        <w:rPr>
          <w:rFonts w:hint="default" w:ascii="仿宋_GB2312" w:hAnsi="仿宋_GB2312" w:eastAsia="仿宋_GB2312" w:cs="仿宋_GB2312"/>
          <w:b w:val="0"/>
          <w:bCs w:val="0"/>
          <w:color w:val="auto"/>
          <w:sz w:val="32"/>
          <w:szCs w:val="32"/>
          <w:shd w:val="clear" w:color="auto" w:fill="FFFFFF"/>
          <w:lang w:bidi="ar"/>
        </w:rPr>
        <w:t>研究内容：</w:t>
      </w:r>
      <w:r>
        <w:rPr>
          <w:rFonts w:hint="default" w:ascii="仿宋_GB2312" w:hAnsi="仿宋_GB2312" w:eastAsia="仿宋_GB2312" w:cs="仿宋_GB2312"/>
          <w:color w:val="auto"/>
          <w:sz w:val="32"/>
          <w:szCs w:val="32"/>
          <w:shd w:val="clear" w:color="auto" w:fill="FFFFFF"/>
          <w:lang w:bidi="ar"/>
        </w:rPr>
        <w:t>在精神行为与认知障碍、慢病管理、康复、肿瘤、</w:t>
      </w:r>
      <w:r>
        <w:rPr>
          <w:rFonts w:hint="eastAsia" w:ascii="仿宋_GB2312" w:hAnsi="仿宋_GB2312" w:eastAsia="仿宋_GB2312" w:cs="仿宋_GB2312"/>
          <w:color w:val="auto"/>
          <w:sz w:val="32"/>
          <w:szCs w:val="32"/>
          <w:shd w:val="clear" w:color="auto" w:fill="FFFFFF"/>
          <w:lang w:bidi="ar"/>
        </w:rPr>
        <w:t>睡眠、骨科、眼科、营养等领域中，开展筛查、评估、监测、干预等全方位、系统化、个体化智能科技与临床诊治模式的融合探索，研究改善患者接受度、依从性的有效策略，建设数字疗法单病种、专病库，探索建立质优价廉高效、可推广可复制的疾病干预与健康管理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1.心理健康：数字疗法管理和改善焦虑、抑郁、压力等心理健康问题。</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2.慢性疾病管理：数字疗法管理糖尿病、高血压、心血管疾病等慢性疾病，提高患者的生活质量。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3.康复治疗：数字疗法进行康复治疗，如物理治疗、言语治疗、认知训练等。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4.预防保健：数字疗法进行健康管理，如饮食管理、运动管理、睡眠管理等。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5.其它相关场景。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专题</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、临床研究转化的支持技术体系研究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研究内容：为促进临床研究质量、效率、能力提升，聚焦标准化临床研究记录系统、临床研究参与方多维度交互系统、受试者的远程知情和院外随访系统、质量智能化监测系统等立体化、智能化临床研究信息化体系和平台的建设探索。</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eastAsia="zh-CN"/>
        </w:rPr>
        <w:t>开展真实世界数据临床研究，通过</w:t>
      </w:r>
      <w:r>
        <w:rPr>
          <w:rFonts w:hint="eastAsia" w:ascii="仿宋_GB2312" w:hAnsi="仿宋_GB2312" w:eastAsia="仿宋_GB2312" w:cs="仿宋_GB2312"/>
          <w:color w:val="auto"/>
          <w:sz w:val="32"/>
          <w:szCs w:val="32"/>
        </w:rPr>
        <w:t>利用来自实际医疗场景的大规模数据进行分析和研究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了解疾病的发展、评估治疗效果、制定临床实践指南、</w:t>
      </w:r>
      <w:r>
        <w:rPr>
          <w:rFonts w:hint="eastAsia" w:ascii="仿宋_GB2312" w:hAnsi="仿宋_GB2312" w:eastAsia="仿宋_GB2312" w:cs="仿宋_GB2312"/>
          <w:color w:val="auto"/>
          <w:sz w:val="32"/>
          <w:szCs w:val="32"/>
          <w:lang w:eastAsia="zh-CN"/>
        </w:rPr>
        <w:t>优化治疗路径、指导临床决策</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评估药械的</w:t>
      </w:r>
      <w:r>
        <w:rPr>
          <w:rFonts w:ascii="仿宋_GB2312" w:hAnsi="仿宋_GB2312" w:eastAsia="仿宋_GB2312" w:cs="仿宋_GB2312"/>
          <w:color w:val="auto"/>
          <w:sz w:val="32"/>
          <w:szCs w:val="32"/>
        </w:rPr>
        <w:t>安全性</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经济性</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专题</w:t>
      </w:r>
      <w:r>
        <w:rPr>
          <w:rFonts w:hint="eastAsia" w:ascii="仿宋_GB2312" w:hAnsi="仿宋_GB2312" w:eastAsia="仿宋_GB2312" w:cs="仿宋_GB2312"/>
          <w:b/>
          <w:bCs/>
          <w:color w:val="auto"/>
          <w:kern w:val="2"/>
          <w:sz w:val="32"/>
          <w:szCs w:val="32"/>
          <w:lang w:eastAsia="zh-CN"/>
        </w:rPr>
        <w:t>六</w:t>
      </w:r>
      <w:r>
        <w:rPr>
          <w:rFonts w:hint="eastAsia" w:ascii="仿宋_GB2312" w:hAnsi="仿宋_GB2312" w:eastAsia="仿宋_GB2312" w:cs="仿宋_GB2312"/>
          <w:b/>
          <w:bCs/>
          <w:color w:val="auto"/>
          <w:kern w:val="2"/>
          <w:sz w:val="32"/>
          <w:szCs w:val="32"/>
        </w:rPr>
        <w:t>、基层医疗卫生机构适宜技术评价和推广研究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研究内容：</w:t>
      </w:r>
      <w:r>
        <w:rPr>
          <w:rFonts w:hint="eastAsia" w:ascii="仿宋_GB2312" w:hAnsi="仿宋_GB2312" w:eastAsia="仿宋_GB2312" w:cs="仿宋_GB2312"/>
          <w:b w:val="0"/>
          <w:bCs w:val="0"/>
          <w:color w:val="auto"/>
          <w:kern w:val="2"/>
          <w:sz w:val="32"/>
          <w:szCs w:val="32"/>
          <w:lang w:eastAsia="zh-CN"/>
        </w:rPr>
        <w:t>研究</w:t>
      </w:r>
      <w:r>
        <w:rPr>
          <w:rFonts w:hint="eastAsia" w:ascii="仿宋_GB2312" w:hAnsi="仿宋_GB2312" w:eastAsia="仿宋_GB2312" w:cs="仿宋_GB2312"/>
          <w:color w:val="auto"/>
          <w:kern w:val="2"/>
          <w:sz w:val="32"/>
          <w:szCs w:val="32"/>
        </w:rPr>
        <w:t>评估和推广适合基层医疗卫生条件的技术和方法，提高医疗服务水平，满足群众健康需求。包括基层医疗卫生机构技术需求评估研究，适宜技术筛选和评价，技术效果评估和监测，卫生适宜技术应用能力建设，卫生适宜技术推广模式和策略研究等。</w:t>
      </w:r>
    </w:p>
    <w:p>
      <w:pPr>
        <w:pStyle w:val="12"/>
        <w:spacing w:before="0" w:beforeLines="0" w:beforeAutospacing="0" w:after="0" w:afterLines="0" w:afterAutospacing="0" w:line="560" w:lineRule="exact"/>
        <w:ind w:firstLine="642" w:firstLineChars="200"/>
        <w:jc w:val="both"/>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rPr>
        <w:t>专题</w:t>
      </w:r>
      <w:r>
        <w:rPr>
          <w:rFonts w:hint="eastAsia" w:ascii="仿宋_GB2312" w:hAnsi="楷体_GB2312" w:eastAsia="仿宋_GB2312" w:cs="楷体_GB2312"/>
          <w:b/>
          <w:bCs/>
          <w:color w:val="auto"/>
          <w:sz w:val="32"/>
          <w:szCs w:val="32"/>
          <w:lang w:eastAsia="zh-CN"/>
        </w:rPr>
        <w:t>七</w:t>
      </w:r>
      <w:r>
        <w:rPr>
          <w:rFonts w:hint="eastAsia" w:ascii="仿宋_GB2312" w:hAnsi="楷体_GB2312" w:eastAsia="仿宋_GB2312" w:cs="楷体_GB2312"/>
          <w:b/>
          <w:bCs/>
          <w:color w:val="auto"/>
          <w:sz w:val="32"/>
          <w:szCs w:val="32"/>
        </w:rPr>
        <w:t>：</w:t>
      </w:r>
      <w:r>
        <w:rPr>
          <w:rFonts w:hint="eastAsia" w:ascii="仿宋_GB2312" w:hAnsi="楷体_GB2312" w:eastAsia="仿宋_GB2312" w:cs="楷体_GB2312"/>
          <w:b/>
          <w:bCs/>
          <w:color w:val="auto"/>
          <w:sz w:val="32"/>
          <w:szCs w:val="32"/>
          <w:lang w:eastAsia="zh-CN"/>
        </w:rPr>
        <w:t>海南</w:t>
      </w:r>
      <w:r>
        <w:rPr>
          <w:rFonts w:hint="eastAsia" w:ascii="仿宋_GB2312" w:hAnsi="楷体_GB2312" w:eastAsia="仿宋_GB2312" w:cs="楷体_GB2312"/>
          <w:b/>
          <w:bCs/>
          <w:color w:val="auto"/>
          <w:sz w:val="32"/>
          <w:szCs w:val="32"/>
        </w:rPr>
        <w:t>人均期望寿命测算技术和增长路径研究</w:t>
      </w:r>
    </w:p>
    <w:p>
      <w:pPr>
        <w:pStyle w:val="12"/>
        <w:keepNext w:val="0"/>
        <w:keepLines w:val="0"/>
        <w:pageBreakBefore w:val="0"/>
        <w:widowControl/>
        <w:kinsoku/>
        <w:wordWrap/>
        <w:overflowPunct/>
        <w:topLinePunct w:val="0"/>
        <w:autoSpaceDE/>
        <w:bidi w:val="0"/>
        <w:adjustRightInd/>
        <w:snapToGrid/>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楷体_GB2312" w:eastAsia="仿宋_GB2312" w:cs="楷体_GB2312"/>
          <w:b/>
          <w:bCs/>
          <w:color w:val="auto"/>
          <w:sz w:val="32"/>
          <w:szCs w:val="32"/>
        </w:rPr>
        <w:t>研究内容：</w:t>
      </w:r>
      <w:r>
        <w:rPr>
          <w:rFonts w:hint="eastAsia" w:ascii="仿宋_GB2312" w:hAnsi="楷体_GB2312" w:eastAsia="仿宋_GB2312" w:cs="楷体_GB2312"/>
          <w:b w:val="0"/>
          <w:bCs w:val="0"/>
          <w:color w:val="auto"/>
          <w:sz w:val="32"/>
          <w:szCs w:val="32"/>
          <w:lang w:val="en-US" w:eastAsia="zh-CN"/>
        </w:rPr>
        <w:t>研究</w:t>
      </w:r>
      <w:r>
        <w:rPr>
          <w:rFonts w:hint="eastAsia" w:ascii="仿宋_GB2312" w:hAnsi="楷体_GB2312" w:eastAsia="仿宋_GB2312" w:cs="楷体_GB2312"/>
          <w:b w:val="0"/>
          <w:bCs w:val="0"/>
          <w:i w:val="0"/>
          <w:iCs w:val="0"/>
          <w:caps w:val="0"/>
          <w:color w:val="auto"/>
          <w:spacing w:val="0"/>
          <w:sz w:val="32"/>
          <w:szCs w:val="32"/>
          <w:shd w:val="clear"/>
        </w:rPr>
        <w:t>提升</w:t>
      </w:r>
      <w:r>
        <w:rPr>
          <w:rFonts w:hint="eastAsia" w:ascii="仿宋_GB2312" w:hAnsi="楷体_GB2312" w:eastAsia="仿宋_GB2312" w:cs="楷体_GB2312"/>
          <w:b w:val="0"/>
          <w:bCs w:val="0"/>
          <w:i w:val="0"/>
          <w:iCs w:val="0"/>
          <w:caps w:val="0"/>
          <w:color w:val="auto"/>
          <w:spacing w:val="0"/>
          <w:sz w:val="32"/>
          <w:szCs w:val="32"/>
          <w:shd w:val="clear"/>
          <w:lang w:eastAsia="zh-CN"/>
        </w:rPr>
        <w:t>海南</w:t>
      </w:r>
      <w:r>
        <w:rPr>
          <w:rFonts w:hint="eastAsia" w:ascii="仿宋_GB2312" w:hAnsi="楷体_GB2312" w:eastAsia="仿宋_GB2312" w:cs="楷体_GB2312"/>
          <w:b w:val="0"/>
          <w:bCs w:val="0"/>
          <w:color w:val="auto"/>
          <w:sz w:val="32"/>
          <w:szCs w:val="32"/>
          <w:lang w:val="en-US" w:eastAsia="zh-CN"/>
        </w:rPr>
        <w:t>人均</w:t>
      </w:r>
      <w:r>
        <w:rPr>
          <w:rFonts w:hint="eastAsia" w:ascii="仿宋_GB2312" w:hAnsi="楷体_GB2312" w:eastAsia="仿宋_GB2312" w:cs="楷体_GB2312"/>
          <w:b w:val="0"/>
          <w:bCs w:val="0"/>
          <w:i w:val="0"/>
          <w:iCs w:val="0"/>
          <w:caps w:val="0"/>
          <w:color w:val="auto"/>
          <w:spacing w:val="0"/>
          <w:sz w:val="32"/>
          <w:szCs w:val="32"/>
          <w:shd w:val="clear" w:fill="auto"/>
        </w:rPr>
        <w:t>期望寿命的措施</w:t>
      </w:r>
      <w:r>
        <w:rPr>
          <w:rFonts w:hint="eastAsia" w:ascii="仿宋_GB2312" w:hAnsi="楷体_GB2312" w:eastAsia="仿宋_GB2312" w:cs="楷体_GB2312"/>
          <w:b w:val="0"/>
          <w:bCs w:val="0"/>
          <w:i w:val="0"/>
          <w:iCs w:val="0"/>
          <w:caps w:val="0"/>
          <w:color w:val="auto"/>
          <w:spacing w:val="0"/>
          <w:sz w:val="32"/>
          <w:szCs w:val="32"/>
          <w:shd w:val="clear"/>
          <w:lang w:eastAsia="zh-CN"/>
        </w:rPr>
        <w:t>，</w:t>
      </w:r>
      <w:r>
        <w:rPr>
          <w:rFonts w:ascii="仿宋_GB2312" w:hAnsi="楷体_GB2312" w:eastAsia="仿宋_GB2312" w:cs="楷体_GB2312"/>
          <w:color w:val="auto"/>
          <w:sz w:val="32"/>
          <w:szCs w:val="32"/>
        </w:rPr>
        <w:t>深入分析影响人均期望寿命的多种因素，包括遗传因素、生活方式、社会经济状况、医疗卫生服务水平、环境因素等</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探索提高人均期望寿命的积极条件</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评估不同健康干预措施对提高人均期望寿命的效果，如公共卫生策略、疾病预防和管理计划、健康生活方式推广</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探讨空气质量、水质、食品安全等环境因素对人均期望寿命的影响，以及可持续发展策略在提高人均期望寿命中的作用</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研究和开发准确测算</w:t>
      </w:r>
      <w:r>
        <w:rPr>
          <w:rFonts w:hint="eastAsia" w:ascii="仿宋_GB2312" w:hAnsi="楷体_GB2312" w:eastAsia="仿宋_GB2312" w:cs="楷体_GB2312"/>
          <w:color w:val="auto"/>
          <w:sz w:val="32"/>
          <w:szCs w:val="32"/>
          <w:lang w:eastAsia="zh-CN"/>
        </w:rPr>
        <w:t>海南</w:t>
      </w:r>
      <w:r>
        <w:rPr>
          <w:rFonts w:ascii="仿宋_GB2312" w:hAnsi="楷体_GB2312" w:eastAsia="仿宋_GB2312" w:cs="楷体_GB2312"/>
          <w:color w:val="auto"/>
          <w:sz w:val="32"/>
          <w:szCs w:val="32"/>
        </w:rPr>
        <w:t>人均期望寿命的统计方法和模型，包括生命表法、死亡率分析、人口统计学方法等</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利用人口学、统计学和数据分析方法，预测人均期望寿命的未来趋势和潜在挑战</w:t>
      </w:r>
      <w:r>
        <w:rPr>
          <w:rFonts w:hint="eastAsia" w:ascii="仿宋_GB2312" w:hAnsi="楷体_GB2312" w:eastAsia="仿宋_GB2312" w:cs="楷体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default"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、发展新型主动健康技术和模式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以全民健康和应对人口老龄化为目标，聚焦运动、营养、心理等多种非药物干预手段，重点发展个性化科学健身指导、体医融合、</w:t>
      </w:r>
      <w:r>
        <w:rPr>
          <w:rFonts w:hint="eastAsia" w:ascii="仿宋_GB2312" w:hAnsi="仿宋_GB2312" w:eastAsia="仿宋_GB2312" w:cs="仿宋_GB2312"/>
          <w:color w:val="auto"/>
          <w:sz w:val="32"/>
          <w:szCs w:val="32"/>
          <w:lang w:eastAsia="zh-CN"/>
        </w:rPr>
        <w:t>营养管理、</w:t>
      </w:r>
      <w:r>
        <w:rPr>
          <w:rFonts w:hint="eastAsia" w:ascii="仿宋_GB2312" w:hAnsi="仿宋_GB2312" w:eastAsia="仿宋_GB2312" w:cs="仿宋_GB2312"/>
          <w:color w:val="auto"/>
          <w:sz w:val="32"/>
          <w:szCs w:val="32"/>
        </w:rPr>
        <w:t>睡眠质量管理、老龄健康促进、</w:t>
      </w:r>
      <w:r>
        <w:rPr>
          <w:rFonts w:hint="eastAsia" w:ascii="仿宋_GB2312" w:hAnsi="仿宋_GB2312" w:eastAsia="仿宋_GB2312" w:cs="仿宋_GB2312"/>
          <w:color w:val="auto"/>
          <w:sz w:val="32"/>
          <w:szCs w:val="32"/>
          <w:shd w:val="clear" w:color="auto" w:fill="FFFFFF"/>
          <w:lang w:bidi="ar"/>
        </w:rPr>
        <w:t>医养社区服务、</w:t>
      </w:r>
      <w:r>
        <w:rPr>
          <w:rFonts w:hint="eastAsia" w:ascii="仿宋_GB2312" w:hAnsi="仿宋_GB2312" w:eastAsia="仿宋_GB2312" w:cs="仿宋_GB2312"/>
          <w:color w:val="auto"/>
          <w:sz w:val="32"/>
          <w:szCs w:val="32"/>
        </w:rPr>
        <w:t>机能增强与智能辅具、个性化健康评估等技术和新型健康服务模式。</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可穿戴智能设备：如</w:t>
      </w:r>
      <w:r>
        <w:rPr>
          <w:rFonts w:hint="eastAsia" w:ascii="仿宋_GB2312" w:hAnsi="仿宋_GB2312" w:eastAsia="仿宋_GB2312" w:cs="仿宋_GB2312"/>
          <w:color w:val="auto"/>
          <w:sz w:val="32"/>
          <w:szCs w:val="32"/>
        </w:rPr>
        <w:t>运动追踪器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智能手环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追踪使用者的步数、心率、卡路里消耗等信息，监测使用者的睡眠质量，提供健康建议。</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.健康管理应用程序：卫生管理软件帮助个人进行健康管理，记录身体指标、饮食习惯、运动情况、药物使用和症状等信息，提供个性化的健康建议，帮助人们保持健康生活方式，以便更好地管理使用者的健康。</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.远程医疗：医疗服务通过远程方式提供。例如，通过视频会议与医生进行咨询，或者使用智能医疗设备进行远程检查。</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医疗</w:t>
      </w:r>
      <w:r>
        <w:rPr>
          <w:rFonts w:hint="eastAsia" w:ascii="仿宋_GB2312" w:hAnsi="仿宋_GB2312" w:eastAsia="仿宋_GB2312" w:cs="仿宋_GB2312"/>
          <w:b/>
          <w:bCs/>
          <w:color w:val="auto"/>
          <w:sz w:val="32"/>
          <w:szCs w:val="32"/>
        </w:rPr>
        <w:t>卫生管理和政策科学研究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研究内容</w:t>
      </w:r>
      <w:r>
        <w:rPr>
          <w:rFonts w:hint="eastAsia" w:ascii="仿宋_GB2312" w:hAnsi="仿宋_GB2312" w:eastAsia="仿宋_GB2312" w:cs="仿宋_GB2312"/>
          <w:color w:val="auto"/>
          <w:sz w:val="32"/>
          <w:szCs w:val="32"/>
          <w:shd w:val="clear" w:color="auto" w:fill="FFFFFF"/>
          <w:lang w:bidi="ar"/>
        </w:rPr>
        <w:t>：开展医疗卫生技术评估、区域卫生健康绩效评价、人才队伍培养模式创新、海南健康发展指数构建、医学人文和医患关系、</w:t>
      </w:r>
      <w:r>
        <w:rPr>
          <w:rFonts w:hint="eastAsia" w:ascii="仿宋_GB2312" w:hAnsi="仿宋_GB2312" w:eastAsia="仿宋_GB2312" w:cs="仿宋_GB2312"/>
          <w:color w:val="auto"/>
          <w:sz w:val="32"/>
          <w:szCs w:val="32"/>
          <w:shd w:val="clear" w:color="auto" w:fill="FFFFFF"/>
          <w:lang w:val="en-US" w:eastAsia="zh-CN" w:bidi="ar"/>
        </w:rPr>
        <w:t>医学研究与医学人文发展、海南自由贸易港下的医学人文建设、医疗卫生机构的诊疗和医学教育</w:t>
      </w:r>
      <w:r>
        <w:rPr>
          <w:rFonts w:hint="eastAsia" w:ascii="仿宋_GB2312" w:hAnsi="仿宋_GB2312" w:eastAsia="仿宋_GB2312" w:cs="仿宋_GB2312"/>
          <w:color w:val="auto"/>
          <w:sz w:val="32"/>
          <w:szCs w:val="32"/>
          <w:shd w:val="clear" w:color="auto" w:fill="FFFFFF"/>
          <w:lang w:bidi="ar"/>
        </w:rPr>
        <w:t>、卫生服务需求利用和疾病负担</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val="en-US" w:eastAsia="zh-CN" w:bidi="ar"/>
        </w:rPr>
        <w:t>软科学</w:t>
      </w:r>
      <w:r>
        <w:rPr>
          <w:rFonts w:hint="eastAsia" w:ascii="仿宋_GB2312" w:hAnsi="仿宋_GB2312" w:eastAsia="仿宋_GB2312" w:cs="仿宋_GB2312"/>
          <w:color w:val="auto"/>
          <w:sz w:val="32"/>
          <w:szCs w:val="32"/>
          <w:shd w:val="clear" w:color="auto" w:fill="FFFFFF"/>
          <w:lang w:bidi="ar"/>
        </w:rPr>
        <w:t>等研究。</w:t>
      </w:r>
      <w:r>
        <w:rPr>
          <w:rFonts w:hint="eastAsia" w:ascii="仿宋_GB2312" w:hAnsi="仿宋_GB2312" w:eastAsia="仿宋_GB2312" w:cs="仿宋_GB2312"/>
          <w:color w:val="auto"/>
          <w:sz w:val="32"/>
          <w:szCs w:val="32"/>
          <w:shd w:val="clear" w:color="auto" w:fill="FFFFFF"/>
          <w:lang w:eastAsia="zh-CN" w:bidi="ar"/>
        </w:rPr>
        <w:t>围绕</w:t>
      </w:r>
      <w:r>
        <w:rPr>
          <w:rFonts w:hint="eastAsia" w:ascii="仿宋_GB2312" w:hAnsi="仿宋_GB2312" w:eastAsia="仿宋_GB2312" w:cs="仿宋_GB2312"/>
          <w:color w:val="auto"/>
          <w:sz w:val="32"/>
          <w:szCs w:val="32"/>
          <w:shd w:val="clear" w:color="auto" w:fill="FFFFFF"/>
          <w:lang w:bidi="ar"/>
        </w:rPr>
        <w:t>海南自由贸易港建设</w:t>
      </w:r>
      <w:r>
        <w:rPr>
          <w:rFonts w:hint="eastAsia" w:ascii="仿宋_GB2312" w:hAnsi="仿宋_GB2312" w:eastAsia="仿宋_GB2312" w:cs="仿宋_GB2312"/>
          <w:color w:val="auto"/>
          <w:sz w:val="32"/>
          <w:szCs w:val="32"/>
          <w:shd w:val="clear" w:color="auto" w:fill="FFFFFF"/>
          <w:lang w:eastAsia="zh-CN" w:bidi="ar"/>
        </w:rPr>
        <w:t>需求</w:t>
      </w:r>
      <w:r>
        <w:rPr>
          <w:rFonts w:hint="eastAsia" w:ascii="仿宋_GB2312" w:hAnsi="仿宋_GB2312" w:eastAsia="仿宋_GB2312" w:cs="仿宋_GB2312"/>
          <w:color w:val="auto"/>
          <w:sz w:val="32"/>
          <w:szCs w:val="32"/>
          <w:shd w:val="clear" w:color="auto" w:fill="FFFFFF"/>
          <w:lang w:bidi="ar"/>
        </w:rPr>
        <w:t>的卫生健康地方</w:t>
      </w:r>
      <w:r>
        <w:rPr>
          <w:rFonts w:hint="eastAsia" w:ascii="仿宋_GB2312" w:hAnsi="仿宋_GB2312" w:eastAsia="仿宋_GB2312" w:cs="仿宋_GB2312"/>
          <w:color w:val="auto"/>
          <w:sz w:val="32"/>
          <w:szCs w:val="32"/>
          <w:shd w:val="clear" w:color="auto" w:fill="FFFFFF"/>
          <w:lang w:eastAsia="zh-CN" w:bidi="ar"/>
        </w:rPr>
        <w:t>管理</w:t>
      </w:r>
      <w:r>
        <w:rPr>
          <w:rFonts w:hint="eastAsia" w:ascii="仿宋_GB2312" w:hAnsi="仿宋_GB2312" w:eastAsia="仿宋_GB2312" w:cs="仿宋_GB2312"/>
          <w:color w:val="auto"/>
          <w:sz w:val="32"/>
          <w:szCs w:val="32"/>
          <w:shd w:val="clear" w:color="auto" w:fill="FFFFFF"/>
          <w:lang w:bidi="ar"/>
        </w:rPr>
        <w:t>政策、心理健康服务模式优化</w:t>
      </w:r>
      <w:r>
        <w:rPr>
          <w:rFonts w:hint="eastAsia" w:ascii="仿宋_GB2312" w:hAnsi="仿宋_GB2312" w:eastAsia="仿宋_GB2312" w:cs="仿宋_GB2312"/>
          <w:color w:val="auto"/>
          <w:sz w:val="32"/>
          <w:szCs w:val="32"/>
          <w:shd w:val="clear" w:color="auto" w:fill="FFFFFF"/>
          <w:lang w:eastAsia="zh-CN" w:bidi="ar"/>
        </w:rPr>
        <w:t>研究</w:t>
      </w:r>
      <w:r>
        <w:rPr>
          <w:rFonts w:hint="eastAsia" w:ascii="仿宋_GB2312" w:hAnsi="仿宋_GB2312" w:eastAsia="仿宋_GB2312" w:cs="仿宋_GB2312"/>
          <w:color w:val="auto"/>
          <w:sz w:val="32"/>
          <w:szCs w:val="32"/>
          <w:shd w:val="clear" w:color="auto" w:fill="FFFFFF"/>
          <w:lang w:bidi="ar"/>
        </w:rPr>
        <w:t>等。</w:t>
      </w:r>
    </w:p>
    <w:p>
      <w:pPr>
        <w:keepNext w:val="0"/>
        <w:keepLines w:val="0"/>
        <w:pageBreakBefore w:val="0"/>
        <w:widowControl w:val="0"/>
        <w:kinsoku/>
        <w:wordWrap/>
        <w:overflowPunct/>
        <w:topLinePunct w:val="0"/>
        <w:autoSpaceDE/>
        <w:bidi w:val="0"/>
        <w:adjustRightInd w:val="0"/>
        <w:snapToGrid w:val="0"/>
        <w:spacing w:beforeLines="0" w:after="0" w:afterLines="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rPr>
        <w:t>评估居民健康需求和市场潜力，研究卫生健康事业与产业发展协同创新机制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研究疾病经济风险</w:t>
      </w:r>
      <w:r>
        <w:rPr>
          <w:rFonts w:ascii="仿宋_GB2312" w:hAnsi="仿宋_GB2312" w:eastAsia="仿宋_GB2312" w:cs="仿宋_GB2312"/>
          <w:color w:val="auto"/>
          <w:sz w:val="32"/>
          <w:szCs w:val="32"/>
        </w:rPr>
        <w:t>防范技术和策略</w:t>
      </w:r>
      <w:r>
        <w:rPr>
          <w:rFonts w:hint="eastAsia" w:ascii="仿宋_GB2312" w:hAnsi="仿宋_GB2312" w:eastAsia="仿宋_GB2312" w:cs="仿宋_GB2312"/>
          <w:color w:val="auto"/>
          <w:sz w:val="32"/>
          <w:szCs w:val="32"/>
        </w:rPr>
        <w:t>，制定</w:t>
      </w:r>
      <w:r>
        <w:rPr>
          <w:rFonts w:ascii="仿宋_GB2312" w:hAnsi="仿宋_GB2312" w:eastAsia="仿宋_GB2312" w:cs="仿宋_GB2312"/>
          <w:color w:val="auto"/>
          <w:sz w:val="32"/>
          <w:szCs w:val="32"/>
        </w:rPr>
        <w:t>疾病经济负担和风险防范效果长期监测和评估体系</w:t>
      </w:r>
      <w:r>
        <w:rPr>
          <w:rFonts w:hint="eastAsia" w:ascii="仿宋_GB2312" w:hAnsi="仿宋_GB2312" w:eastAsia="仿宋_GB2312" w:cs="仿宋_GB2312"/>
          <w:color w:val="auto"/>
          <w:sz w:val="32"/>
          <w:szCs w:val="32"/>
        </w:rPr>
        <w:t>。研究脆弱人群因病</w:t>
      </w:r>
      <w:r>
        <w:rPr>
          <w:rFonts w:hint="eastAsia" w:ascii="仿宋_GB2312" w:hAnsi="仿宋_GB2312" w:eastAsia="仿宋_GB2312" w:cs="仿宋_GB2312"/>
          <w:color w:val="auto"/>
          <w:sz w:val="32"/>
          <w:szCs w:val="32"/>
          <w:shd w:val="clear" w:color="auto" w:fill="FFFFFF"/>
          <w:lang w:bidi="ar"/>
        </w:rPr>
        <w:t>致贫的发生发展规律，建立重点人群因病返贫适宜技术方案，形成防止脆弱人群因病返贫的综合预防与干预新策略。</w:t>
      </w:r>
    </w:p>
    <w:p>
      <w:pPr>
        <w:ind w:firstLine="643"/>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b/>
          <w:bCs/>
          <w:color w:val="auto"/>
          <w:sz w:val="32"/>
          <w:szCs w:val="32"/>
          <w:shd w:val="clear" w:color="auto" w:fill="FFFFFF"/>
          <w:lang w:val="en-US" w:eastAsia="zh-CN" w:bidi="ar"/>
        </w:rPr>
        <w:t>专题十、生物安全关键技术研究</w:t>
      </w:r>
    </w:p>
    <w:p>
      <w:pPr>
        <w:keepNext w:val="0"/>
        <w:keepLines w:val="0"/>
        <w:pageBreakBefore w:val="0"/>
        <w:widowControl/>
        <w:kinsoku/>
        <w:wordWrap/>
        <w:overflowPunct/>
        <w:topLinePunct w:val="0"/>
        <w:autoSpaceDE/>
        <w:bidi w:val="0"/>
        <w:adjustRightInd/>
        <w:snapToGrid/>
        <w:spacing w:beforeLines="-2147483648" w:afterLines="-2147483648" w:line="240" w:lineRule="auto"/>
        <w:ind w:firstLine="643" w:firstLineChars="0"/>
        <w:jc w:val="left"/>
        <w:textAlignment w:val="auto"/>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研究内容</w:t>
      </w:r>
      <w:r>
        <w:rPr>
          <w:rFonts w:hint="eastAsia" w:ascii="仿宋_GB2312" w:hAnsi="仿宋_GB2312" w:eastAsia="仿宋_GB2312" w:cs="仿宋_GB2312"/>
          <w:color w:val="auto"/>
          <w:sz w:val="32"/>
          <w:szCs w:val="32"/>
          <w:shd w:val="clear" w:color="auto" w:fill="FFFFFF"/>
          <w:lang w:bidi="ar"/>
        </w:rPr>
        <w:t>：针对两用生物技术的甄别及应对关键技术研究</w:t>
      </w:r>
      <w:r>
        <w:rPr>
          <w:rFonts w:hint="eastAsia" w:ascii="仿宋_GB2312" w:hAnsi="仿宋_GB2312" w:eastAsia="仿宋_GB2312" w:cs="仿宋_GB2312"/>
          <w:color w:val="auto"/>
          <w:sz w:val="32"/>
          <w:szCs w:val="32"/>
          <w:shd w:val="clear" w:color="auto" w:fill="FFFFFF"/>
          <w:lang w:val="en-US" w:eastAsia="zh-CN" w:bidi="ar"/>
        </w:rPr>
        <w:t>，利用</w:t>
      </w:r>
      <w:r>
        <w:rPr>
          <w:rFonts w:hint="eastAsia" w:ascii="仿宋_GB2312" w:hAnsi="仿宋_GB2312" w:eastAsia="仿宋_GB2312" w:cs="仿宋_GB2312"/>
          <w:color w:val="auto"/>
          <w:sz w:val="32"/>
          <w:szCs w:val="32"/>
          <w:shd w:val="clear" w:color="auto" w:fill="FFFFFF"/>
          <w:lang w:bidi="ar"/>
        </w:rPr>
        <w:t>合成生物学、反向遗传学、DNA定向进化、基因编辑和基因驱动、生物镜像等两用生物技术开展</w:t>
      </w:r>
      <w:r>
        <w:rPr>
          <w:rFonts w:hint="eastAsia" w:ascii="仿宋_GB2312" w:hAnsi="仿宋_GB2312" w:eastAsia="仿宋_GB2312" w:cs="仿宋_GB2312"/>
          <w:color w:val="auto"/>
          <w:sz w:val="32"/>
          <w:szCs w:val="32"/>
          <w:shd w:val="clear" w:color="auto" w:fill="FFFFFF"/>
          <w:lang w:val="en-US" w:eastAsia="zh-CN" w:bidi="ar"/>
        </w:rPr>
        <w:t>研究；</w:t>
      </w:r>
      <w:r>
        <w:rPr>
          <w:rFonts w:hint="eastAsia" w:ascii="仿宋_GB2312" w:hAnsi="仿宋_GB2312" w:eastAsia="仿宋_GB2312" w:cs="仿宋_GB2312"/>
          <w:color w:val="auto"/>
          <w:sz w:val="32"/>
          <w:szCs w:val="32"/>
          <w:shd w:val="clear" w:color="auto" w:fill="FFFFFF"/>
          <w:lang w:bidi="ar"/>
        </w:rPr>
        <w:t>高性能柔性高分子材料研发与生物安全防护装备</w:t>
      </w:r>
      <w:r>
        <w:rPr>
          <w:rFonts w:hint="eastAsia" w:ascii="仿宋_GB2312" w:hAnsi="仿宋_GB2312" w:eastAsia="仿宋_GB2312" w:cs="仿宋_GB2312"/>
          <w:color w:val="auto"/>
          <w:sz w:val="32"/>
          <w:szCs w:val="32"/>
          <w:shd w:val="clear" w:color="auto" w:fill="FFFFFF"/>
          <w:lang w:val="en-US" w:eastAsia="zh-CN" w:bidi="ar"/>
        </w:rPr>
        <w:t>应用；基于人工构建微生物群落研发入侵植物精准防控技研究；</w:t>
      </w:r>
      <w:r>
        <w:rPr>
          <w:rFonts w:hint="eastAsia" w:ascii="仿宋_GB2312" w:hAnsi="仿宋_GB2312" w:eastAsia="仿宋_GB2312" w:cs="仿宋_GB2312"/>
          <w:color w:val="auto"/>
          <w:sz w:val="32"/>
          <w:szCs w:val="32"/>
          <w:shd w:val="clear" w:color="auto" w:fill="FFFFFF"/>
          <w:lang w:bidi="ar"/>
        </w:rPr>
        <w:t>入侵性植物病毒非传统领域传播途径</w:t>
      </w:r>
      <w:r>
        <w:rPr>
          <w:rFonts w:hint="eastAsia" w:ascii="仿宋_GB2312" w:hAnsi="仿宋_GB2312" w:eastAsia="仿宋_GB2312" w:cs="仿宋_GB2312"/>
          <w:b w:val="0"/>
          <w:bCs w:val="0"/>
          <w:color w:val="auto"/>
          <w:sz w:val="32"/>
          <w:szCs w:val="32"/>
          <w:shd w:val="clear" w:color="auto" w:fill="FFFFFF"/>
          <w:lang w:bidi="ar"/>
        </w:rPr>
        <w:t>风险监测及预警研究</w:t>
      </w:r>
      <w:r>
        <w:rPr>
          <w:rFonts w:hint="eastAsia" w:ascii="仿宋_GB2312" w:hAnsi="仿宋_GB2312" w:eastAsia="仿宋_GB2312" w:cs="仿宋_GB2312"/>
          <w:b w:val="0"/>
          <w:bCs w:val="0"/>
          <w:color w:val="auto"/>
          <w:sz w:val="32"/>
          <w:szCs w:val="32"/>
          <w:shd w:val="clear" w:color="auto" w:fill="FFFFFF"/>
          <w:lang w:eastAsia="zh-CN" w:bidi="ar"/>
        </w:rPr>
        <w:t>。</w:t>
      </w:r>
    </w:p>
    <w:p>
      <w:pPr>
        <w:ind w:firstLine="643"/>
        <w:rPr>
          <w:rFonts w:hint="eastAsia" w:ascii="仿宋_GB2312" w:hAnsi="仿宋_GB2312" w:eastAsia="仿宋_GB2312" w:cs="仿宋_GB2312"/>
          <w:b/>
          <w:bCs/>
          <w:color w:val="auto"/>
          <w:sz w:val="32"/>
          <w:szCs w:val="32"/>
          <w:shd w:val="clear" w:color="auto" w:fill="FFFFFF"/>
          <w:lang w:val="en-US" w:eastAsia="zh-CN" w:bidi="ar"/>
        </w:rPr>
      </w:pPr>
      <w:r>
        <w:rPr>
          <w:rFonts w:hint="eastAsia" w:ascii="仿宋_GB2312" w:hAnsi="仿宋_GB2312" w:eastAsia="仿宋_GB2312" w:cs="仿宋_GB2312"/>
          <w:b/>
          <w:bCs/>
          <w:color w:val="auto"/>
          <w:sz w:val="32"/>
          <w:szCs w:val="32"/>
          <w:shd w:val="clear" w:color="auto" w:fill="FFFFFF"/>
          <w:lang w:val="en-US" w:eastAsia="zh-CN" w:bidi="ar"/>
        </w:rPr>
        <w:t>专题十一、生育健康及妇女儿童健康保障</w:t>
      </w:r>
    </w:p>
    <w:p>
      <w:pPr>
        <w:widowControl/>
        <w:adjustRightInd/>
        <w:snapToGrid/>
        <w:spacing w:beforeLines="-2147483648" w:afterLines="-2147483648" w:line="240" w:lineRule="auto"/>
        <w:ind w:firstLine="643" w:firstLineChars="0"/>
        <w:jc w:val="left"/>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val="en-US" w:eastAsia="zh-CN" w:bidi="ar"/>
        </w:rPr>
        <w:t>研究内容：</w:t>
      </w:r>
      <w:r>
        <w:rPr>
          <w:rFonts w:hint="eastAsia" w:ascii="仿宋_GB2312" w:hAnsi="仿宋_GB2312" w:eastAsia="仿宋_GB2312" w:cs="仿宋_GB2312"/>
          <w:b w:val="0"/>
          <w:bCs w:val="0"/>
          <w:color w:val="auto"/>
          <w:sz w:val="32"/>
          <w:szCs w:val="32"/>
          <w:shd w:val="clear" w:color="auto" w:fill="FFFFFF"/>
          <w:lang w:val="en-US" w:eastAsia="zh-CN" w:bidi="ar"/>
        </w:rPr>
        <w:t>围着床期母体蜕膜与胚胎胚外组织互作的机制研究；男性性腺发育异常的分子</w:t>
      </w:r>
      <w:r>
        <w:rPr>
          <w:rFonts w:hint="eastAsia" w:ascii="仿宋_GB2312" w:hAnsi="仿宋_GB2312" w:eastAsia="仿宋_GB2312" w:cs="仿宋_GB2312"/>
          <w:color w:val="auto"/>
          <w:sz w:val="32"/>
          <w:szCs w:val="32"/>
          <w:shd w:val="clear" w:color="auto" w:fill="FFFFFF"/>
          <w:lang w:val="en-US" w:eastAsia="zh-CN" w:bidi="ar"/>
        </w:rPr>
        <w:t>机制及临床防治策略研究</w:t>
      </w:r>
      <w:r>
        <w:rPr>
          <w:rFonts w:hint="eastAsia" w:ascii="仿宋_GB2312" w:hAnsi="仿宋_GB2312" w:eastAsia="仿宋_GB2312" w:cs="仿宋_GB2312"/>
          <w:b w:val="0"/>
          <w:bCs w:val="0"/>
          <w:color w:val="auto"/>
          <w:sz w:val="32"/>
          <w:szCs w:val="32"/>
          <w:shd w:val="clear" w:color="auto" w:fill="FFFFFF"/>
          <w:lang w:val="en-US" w:eastAsia="zh-CN" w:bidi="ar"/>
        </w:rPr>
        <w:t>，</w:t>
      </w:r>
      <w:r>
        <w:rPr>
          <w:rFonts w:hint="eastAsia" w:ascii="仿宋_GB2312" w:hAnsi="仿宋_GB2312" w:eastAsia="仿宋_GB2312" w:cs="仿宋_GB2312"/>
          <w:color w:val="auto"/>
          <w:sz w:val="32"/>
          <w:szCs w:val="32"/>
          <w:shd w:val="clear" w:color="auto" w:fill="FFFFFF"/>
          <w:lang w:val="en-US" w:eastAsia="zh-CN" w:bidi="ar"/>
        </w:rPr>
        <w:t>针对男性性腺发育异常的常见疾病，包括隐睾、克氏综合征、低促性腺激素型性腺功能减退症等</w:t>
      </w:r>
      <w:r>
        <w:rPr>
          <w:rFonts w:hint="eastAsia" w:ascii="仿宋_GB2312" w:hAnsi="仿宋_GB2312" w:eastAsia="仿宋_GB2312" w:cs="仿宋_GB2312"/>
          <w:b w:val="0"/>
          <w:bCs w:val="0"/>
          <w:color w:val="auto"/>
          <w:sz w:val="32"/>
          <w:szCs w:val="32"/>
          <w:shd w:val="clear" w:color="auto" w:fill="FFFFFF"/>
          <w:lang w:val="en-US" w:eastAsia="zh-CN" w:bidi="ar"/>
        </w:rPr>
        <w:t>开展研究</w:t>
      </w:r>
      <w:r>
        <w:rPr>
          <w:rFonts w:hint="eastAsia" w:ascii="仿宋_GB2312" w:hAnsi="仿宋_GB2312" w:eastAsia="仿宋_GB2312" w:cs="仿宋_GB2312"/>
          <w:color w:val="auto"/>
          <w:sz w:val="32"/>
          <w:szCs w:val="32"/>
          <w:shd w:val="clear" w:color="auto" w:fill="FFFFFF"/>
          <w:lang w:val="en-US" w:eastAsia="zh-CN" w:bidi="ar"/>
        </w:rPr>
        <w:t>；</w:t>
      </w:r>
      <w:r>
        <w:rPr>
          <w:rFonts w:hint="eastAsia" w:ascii="仿宋_GB2312" w:hAnsi="仿宋_GB2312" w:eastAsia="仿宋_GB2312" w:cs="仿宋_GB2312"/>
          <w:color w:val="auto"/>
          <w:sz w:val="32"/>
          <w:szCs w:val="32"/>
          <w:shd w:val="clear" w:color="auto" w:fill="FFFFFF"/>
          <w:lang w:bidi="ar"/>
        </w:rPr>
        <w:t>染色体微缺失/微重复综合征的表现度变异机制及干预策略研究</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bidi="ar"/>
        </w:rPr>
        <w:t>妇产疾病手术后妊娠相关全周期管理策略的研究</w:t>
      </w:r>
      <w:r>
        <w:rPr>
          <w:rFonts w:hint="eastAsia" w:ascii="仿宋_GB2312" w:hAnsi="仿宋_GB2312" w:eastAsia="仿宋_GB2312" w:cs="仿宋_GB2312"/>
          <w:color w:val="auto"/>
          <w:sz w:val="32"/>
          <w:szCs w:val="32"/>
          <w:shd w:val="clear" w:color="auto" w:fill="FFFFFF"/>
          <w:lang w:eastAsia="zh-CN" w:bidi="ar"/>
        </w:rPr>
        <w:t>；女性下生殖道上皮内病变临床诊疗体系的优化和关键技术研究；女性肿瘤免疫及靶向治疗影响生殖功能损伤的机制和千预技术研究；</w:t>
      </w:r>
      <w:r>
        <w:rPr>
          <w:rFonts w:hint="eastAsia" w:ascii="仿宋_GB2312" w:hAnsi="仿宋_GB2312" w:eastAsia="仿宋_GB2312" w:cs="仿宋_GB2312"/>
          <w:color w:val="auto"/>
          <w:sz w:val="32"/>
          <w:szCs w:val="32"/>
          <w:shd w:val="clear" w:color="auto" w:fill="FFFFFF"/>
          <w:lang w:bidi="ar"/>
        </w:rPr>
        <w:t>基于同胞队列的典型儿童实体肿瘤发病机制及精准治疗策略研究</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bidi="ar"/>
        </w:rPr>
        <w:t>面向言语障碍(残疾)儿童的功能评估、康复及语言交流辅助技术研究。</w:t>
      </w:r>
    </w:p>
    <w:p>
      <w:pPr>
        <w:widowControl/>
        <w:adjustRightInd/>
        <w:snapToGrid/>
        <w:spacing w:beforeLines="-2147483648" w:afterLines="-2147483648" w:line="240" w:lineRule="auto"/>
        <w:ind w:firstLine="643" w:firstLineChars="0"/>
        <w:jc w:val="left"/>
        <w:rPr>
          <w:rFonts w:hint="eastAsia" w:ascii="仿宋_GB2312" w:hAnsi="仿宋_GB2312" w:eastAsia="仿宋_GB2312" w:cs="仿宋_GB2312"/>
          <w:b/>
          <w:bCs/>
          <w:color w:val="auto"/>
          <w:sz w:val="32"/>
          <w:szCs w:val="32"/>
          <w:shd w:val="clear" w:color="auto" w:fill="FFFFFF"/>
          <w:lang w:eastAsia="zh-CN" w:bidi="ar"/>
        </w:rPr>
      </w:pPr>
      <w:r>
        <w:rPr>
          <w:rFonts w:hint="eastAsia" w:ascii="仿宋_GB2312" w:hAnsi="仿宋_GB2312" w:eastAsia="仿宋_GB2312" w:cs="仿宋_GB2312"/>
          <w:b/>
          <w:bCs/>
          <w:color w:val="auto"/>
          <w:sz w:val="32"/>
          <w:szCs w:val="32"/>
          <w:shd w:val="clear" w:color="auto" w:fill="FFFFFF"/>
          <w:lang w:val="en-US" w:eastAsia="zh-CN" w:bidi="ar"/>
        </w:rPr>
        <w:t>专题十二、医疗</w:t>
      </w:r>
      <w:r>
        <w:rPr>
          <w:rFonts w:hint="eastAsia" w:ascii="仿宋_GB2312" w:hAnsi="仿宋_GB2312" w:eastAsia="仿宋_GB2312" w:cs="仿宋_GB2312"/>
          <w:b/>
          <w:bCs/>
          <w:color w:val="auto"/>
          <w:sz w:val="32"/>
          <w:szCs w:val="32"/>
          <w:shd w:val="clear" w:color="auto" w:fill="FFFFFF"/>
          <w:lang w:eastAsia="zh-CN" w:bidi="ar"/>
        </w:rPr>
        <w:t>康养（“专症专康”服务包技术开发）</w:t>
      </w:r>
    </w:p>
    <w:p>
      <w:pPr>
        <w:widowControl/>
        <w:adjustRightInd/>
        <w:snapToGrid/>
        <w:spacing w:beforeLines="-2147483648" w:afterLines="-2147483648" w:line="240" w:lineRule="auto"/>
        <w:ind w:firstLine="643" w:firstLineChars="0"/>
        <w:jc w:val="left"/>
        <w:rPr>
          <w:rFonts w:hint="eastAsia" w:ascii="仿宋_GB2312" w:hAnsi="仿宋_GB2312" w:eastAsia="仿宋_GB2312" w:cs="仿宋_GB2312"/>
          <w:color w:val="auto"/>
          <w:sz w:val="32"/>
          <w:szCs w:val="32"/>
          <w:shd w:val="clear" w:color="auto" w:fill="FFFFFF"/>
          <w:lang w:eastAsia="zh-CN" w:bidi="ar"/>
        </w:rPr>
      </w:pPr>
      <w:r>
        <w:rPr>
          <w:rFonts w:hint="eastAsia" w:ascii="仿宋_GB2312" w:hAnsi="仿宋_GB2312" w:eastAsia="仿宋_GB2312" w:cs="仿宋_GB2312"/>
          <w:b/>
          <w:bCs/>
          <w:color w:val="auto"/>
          <w:sz w:val="32"/>
          <w:szCs w:val="32"/>
          <w:shd w:val="clear" w:color="auto" w:fill="FFFFFF"/>
          <w:lang w:val="en-US" w:eastAsia="zh-CN" w:bidi="ar"/>
        </w:rPr>
        <w:t>研究内容：</w:t>
      </w:r>
      <w:r>
        <w:rPr>
          <w:rFonts w:hint="eastAsia" w:ascii="仿宋_GB2312" w:hAnsi="仿宋_GB2312" w:eastAsia="仿宋_GB2312"/>
          <w:color w:val="auto"/>
          <w:sz w:val="30"/>
          <w:szCs w:val="24"/>
        </w:rPr>
        <w:t>与“医”融合丰富专病专康服务。针对呼吸系统亚健康人群，充实医疗类干预措施，发展“气候疗法”。针对睡眠障碍及精神心理亚健康人群，开发黎苗医药、中医药和心理干预服务。针对内分泌、心脑血管等慢病高危人群，开发膳食营养、运动、医疗等干预措施，丰富康复护理服务。针对生育养育特需人群，发展孕、保、育、康以及婴幼儿照护服务</w:t>
      </w:r>
      <w:r>
        <w:rPr>
          <w:rFonts w:hint="eastAsia" w:ascii="仿宋_GB2312" w:hAnsi="仿宋_GB2312" w:eastAsia="仿宋_GB2312"/>
          <w:color w:val="auto"/>
          <w:sz w:val="30"/>
          <w:szCs w:val="24"/>
          <w:lang w:eastAsia="zh-CN"/>
        </w:rPr>
        <w:t>。</w:t>
      </w:r>
    </w:p>
    <w:p>
      <w:pPr>
        <w:widowControl w:val="0"/>
        <w:adjustRightInd w:val="0"/>
        <w:snapToGrid w:val="0"/>
        <w:spacing w:beforeLines="0" w:afterLines="0" w:line="560" w:lineRule="exact"/>
        <w:ind w:firstLine="640" w:firstLineChars="200"/>
        <w:jc w:val="both"/>
        <w:rPr>
          <w:rFonts w:hint="eastAsia" w:ascii="楷体_GB2312" w:hAnsi="楷体_GB2312" w:eastAsia="楷体_GB2312" w:cs="楷体_GB2312"/>
          <w:b w:val="0"/>
          <w:bCs w:val="0"/>
          <w:color w:val="auto"/>
          <w:sz w:val="32"/>
          <w:szCs w:val="32"/>
          <w:shd w:val="clear" w:color="auto" w:fill="FFFFFF"/>
          <w:lang w:bidi="ar"/>
        </w:rPr>
      </w:pPr>
      <w:r>
        <w:rPr>
          <w:rFonts w:hint="eastAsia" w:ascii="楷体_GB2312" w:hAnsi="楷体_GB2312" w:eastAsia="楷体_GB2312" w:cs="楷体_GB2312"/>
          <w:b w:val="0"/>
          <w:bCs w:val="0"/>
          <w:color w:val="auto"/>
          <w:sz w:val="32"/>
          <w:szCs w:val="32"/>
          <w:shd w:val="clear" w:color="auto" w:fill="FFFFFF"/>
          <w:lang w:eastAsia="zh-CN" w:bidi="ar"/>
        </w:rPr>
        <w:t>（</w:t>
      </w:r>
      <w:r>
        <w:rPr>
          <w:rFonts w:hint="eastAsia" w:ascii="楷体_GB2312" w:hAnsi="楷体_GB2312" w:eastAsia="楷体_GB2312" w:cs="楷体_GB2312"/>
          <w:b w:val="0"/>
          <w:bCs w:val="0"/>
          <w:color w:val="auto"/>
          <w:sz w:val="32"/>
          <w:szCs w:val="32"/>
          <w:shd w:val="clear" w:color="auto" w:fill="FFFFFF"/>
          <w:lang w:val="en-US" w:eastAsia="zh-CN" w:bidi="ar"/>
        </w:rPr>
        <w:t>三</w:t>
      </w:r>
      <w:r>
        <w:rPr>
          <w:rFonts w:hint="eastAsia" w:ascii="楷体_GB2312" w:hAnsi="楷体_GB2312" w:eastAsia="楷体_GB2312" w:cs="楷体_GB2312"/>
          <w:b w:val="0"/>
          <w:bCs w:val="0"/>
          <w:color w:val="auto"/>
          <w:sz w:val="32"/>
          <w:szCs w:val="32"/>
          <w:shd w:val="clear" w:color="auto" w:fill="FFFFFF"/>
          <w:lang w:eastAsia="zh-CN" w:bidi="ar"/>
        </w:rPr>
        <w:t>）</w:t>
      </w:r>
      <w:r>
        <w:rPr>
          <w:rFonts w:hint="eastAsia" w:ascii="楷体_GB2312" w:hAnsi="楷体_GB2312" w:eastAsia="楷体_GB2312" w:cs="楷体_GB2312"/>
          <w:b w:val="0"/>
          <w:bCs w:val="0"/>
          <w:color w:val="auto"/>
          <w:sz w:val="32"/>
          <w:szCs w:val="32"/>
          <w:shd w:val="clear" w:color="auto" w:fill="FFFFFF"/>
          <w:lang w:bidi="ar"/>
        </w:rPr>
        <w:t>重点项目</w:t>
      </w:r>
    </w:p>
    <w:p>
      <w:pPr>
        <w:ind w:firstLine="642" w:firstLineChars="200"/>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专题一、肿瘤防控关键技术和策略研究</w:t>
      </w:r>
    </w:p>
    <w:p>
      <w:pPr>
        <w:keepNext w:val="0"/>
        <w:keepLines w:val="0"/>
        <w:widowControl/>
        <w:pBdr>
          <w:top w:val="none" w:color="auto" w:sz="0" w:space="0"/>
        </w:pBdr>
        <w:adjustRightInd/>
        <w:snapToGrid/>
        <w:spacing w:beforeLines="-2147483648" w:afterLines="-2147483648" w:line="240" w:lineRule="auto"/>
        <w:ind w:firstLine="642" w:firstLineChars="200"/>
        <w:jc w:val="left"/>
        <w:rPr>
          <w:rFonts w:hint="eastAsia"/>
          <w:color w:val="auto"/>
        </w:rPr>
      </w:pPr>
      <w:r>
        <w:rPr>
          <w:rFonts w:hint="eastAsia" w:ascii="仿宋_GB2312" w:hAnsi="楷体_GB2312" w:eastAsia="仿宋_GB2312" w:cs="楷体_GB2312"/>
          <w:b/>
          <w:bCs/>
          <w:color w:val="auto"/>
          <w:sz w:val="32"/>
          <w:szCs w:val="32"/>
        </w:rPr>
        <w:t>研究内容</w:t>
      </w:r>
      <w:r>
        <w:rPr>
          <w:rFonts w:hint="eastAsia" w:ascii="仿宋_GB2312" w:hAnsi="楷体_GB2312" w:eastAsia="仿宋_GB2312" w:cs="楷体_GB2312"/>
          <w:color w:val="auto"/>
          <w:sz w:val="32"/>
          <w:szCs w:val="32"/>
        </w:rPr>
        <w:t>：包括</w:t>
      </w:r>
      <w:r>
        <w:rPr>
          <w:rFonts w:ascii="仿宋_GB2312" w:hAnsi="楷体_GB2312" w:eastAsia="仿宋_GB2312" w:cs="楷体_GB2312"/>
          <w:color w:val="auto"/>
          <w:sz w:val="32"/>
          <w:szCs w:val="32"/>
        </w:rPr>
        <w:t>风险因素识别与评估</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识别和评估肿瘤发生的风险因素</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早期筛查和诊断技术</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研究和开发高效、低成本的早期筛查和诊断技术，如生物标志物检测、医学影像技术等</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精准医疗与治疗创新</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利用基因组学、蛋白质组学等生物信息学技术，研究肿瘤的分子机制，发展个体化治疗方案和新型治疗药物</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患者管理与康复</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研究肿瘤患者的全程管理策略和康复方法</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多学科协作与综合治疗</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推动肿瘤治疗中的多学科协作，整合外科、放疗、化疗、生物治疗等多种治疗手段。</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专题二、心脑血管疾病防控关键技术和策略研究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研究和</w:t>
      </w:r>
      <w:r>
        <w:rPr>
          <w:rFonts w:hint="eastAsia" w:ascii="仿宋_GB2312" w:hAnsi="仿宋_GB2312" w:eastAsia="仿宋_GB2312" w:cs="仿宋_GB2312"/>
          <w:color w:val="auto"/>
          <w:sz w:val="32"/>
          <w:szCs w:val="32"/>
        </w:rPr>
        <w:t>开发心脑血管疾病的早期筛查和监测技术，如血压监测、血脂检测、心电图评估、颈动脉超声等；研究并推广健康的生活方式干预措施，包括健康饮食、定期运动、戒烟限酒、减轻压力等；研究和应用有效的药物预防和治疗策略，如降压药、降脂药、抗血小板药物等，探索患者个体化药物治疗方案；利用大数据分析和人工智能技术，开发心脑血管疾病个性化预防和治疗方案。</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专题三、重</w:t>
      </w:r>
      <w:r>
        <w:rPr>
          <w:rFonts w:hint="eastAsia" w:ascii="仿宋_GB2312" w:hAnsi="仿宋_GB2312" w:eastAsia="仿宋_GB2312" w:cs="仿宋_GB2312"/>
          <w:b/>
          <w:bCs/>
          <w:color w:val="auto"/>
          <w:sz w:val="32"/>
          <w:szCs w:val="32"/>
          <w:lang w:eastAsia="zh-CN"/>
        </w:rPr>
        <w:t>型</w:t>
      </w:r>
      <w:r>
        <w:rPr>
          <w:rFonts w:hint="eastAsia" w:ascii="仿宋_GB2312" w:hAnsi="仿宋_GB2312" w:eastAsia="仿宋_GB2312" w:cs="仿宋_GB2312"/>
          <w:b/>
          <w:bCs/>
          <w:color w:val="auto"/>
          <w:sz w:val="32"/>
          <w:szCs w:val="32"/>
        </w:rPr>
        <w:t>精神疾病关键技术和策略研究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开展精神疾病</w:t>
      </w:r>
      <w:r>
        <w:rPr>
          <w:rFonts w:hint="eastAsia" w:ascii="仿宋_GB2312" w:hAnsi="仿宋_GB2312" w:eastAsia="仿宋_GB2312" w:cs="仿宋_GB2312"/>
          <w:color w:val="auto"/>
          <w:sz w:val="32"/>
          <w:szCs w:val="32"/>
        </w:rPr>
        <w:t>致病决定因素分析，</w:t>
      </w:r>
      <w:r>
        <w:rPr>
          <w:rFonts w:hint="eastAsia" w:ascii="仿宋_GB2312" w:hAnsi="仿宋_GB2312" w:eastAsia="仿宋_GB2312" w:cs="仿宋_GB2312"/>
          <w:color w:val="auto"/>
          <w:sz w:val="32"/>
          <w:szCs w:val="32"/>
          <w:lang w:eastAsia="zh-CN"/>
        </w:rPr>
        <w:t>研究建立</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型</w:t>
      </w:r>
      <w:r>
        <w:rPr>
          <w:rFonts w:hint="eastAsia" w:ascii="仿宋_GB2312" w:hAnsi="仿宋_GB2312" w:eastAsia="仿宋_GB2312" w:cs="仿宋_GB2312"/>
          <w:color w:val="auto"/>
          <w:sz w:val="32"/>
          <w:szCs w:val="32"/>
        </w:rPr>
        <w:t>精神疾病的多因素致病模型；评估现有精神疾病用药的疗效和安全性，开展包括认知行为疗法、心理社会干预、电刺激治疗、生物反馈等非药物治疗方法的研究；开展综合治疗模式研究；探索精神疾病的生物标志物，开发基于个体遗传、生物学和环境特征的精准医疗策略；研究慢性病管理模型和康复策略，包括社区康复、职业康复、家庭支持等，以及患者自我管理技能的培养；评估和改善精神健康政策和服务体系，研究如何优化资源配置、提高服务可及性和效率。</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、基于人工智能的疾病诊断治疗技术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开发</w:t>
      </w:r>
      <w:r>
        <w:rPr>
          <w:rFonts w:hint="eastAsia" w:ascii="仿宋_GB2312" w:hAnsi="仿宋_GB2312" w:eastAsia="仿宋_GB2312" w:cs="仿宋_GB2312"/>
          <w:color w:val="auto"/>
          <w:sz w:val="32"/>
          <w:szCs w:val="32"/>
          <w:lang w:val="en-US" w:eastAsia="zh-CN"/>
        </w:rPr>
        <w:t>和改良</w:t>
      </w:r>
      <w:r>
        <w:rPr>
          <w:rFonts w:hint="eastAsia" w:ascii="仿宋_GB2312" w:hAnsi="仿宋_GB2312" w:eastAsia="仿宋_GB2312" w:cs="仿宋_GB2312"/>
          <w:color w:val="auto"/>
          <w:sz w:val="32"/>
          <w:szCs w:val="32"/>
        </w:rPr>
        <w:t>算法</w:t>
      </w:r>
      <w:r>
        <w:rPr>
          <w:rFonts w:hint="eastAsia" w:ascii="仿宋_GB2312" w:hAnsi="仿宋_GB2312" w:eastAsia="仿宋_GB2312" w:cs="仿宋_GB2312"/>
          <w:color w:val="auto"/>
          <w:sz w:val="32"/>
          <w:szCs w:val="32"/>
          <w:lang w:val="en-US" w:eastAsia="zh-CN"/>
        </w:rPr>
        <w:t>和运用大模型技术等</w:t>
      </w:r>
      <w:r>
        <w:rPr>
          <w:rFonts w:hint="eastAsia" w:ascii="仿宋_GB2312" w:hAnsi="仿宋_GB2312" w:eastAsia="仿宋_GB2312" w:cs="仿宋_GB2312"/>
          <w:color w:val="auto"/>
          <w:sz w:val="32"/>
          <w:szCs w:val="32"/>
        </w:rPr>
        <w:t>，实现影像、临床、</w:t>
      </w:r>
      <w:r>
        <w:rPr>
          <w:rFonts w:hint="eastAsia" w:ascii="仿宋_GB2312" w:hAnsi="仿宋_GB2312" w:eastAsia="仿宋_GB2312" w:cs="仿宋_GB2312"/>
          <w:color w:val="auto"/>
          <w:sz w:val="32"/>
          <w:szCs w:val="32"/>
          <w:lang w:val="en-US" w:eastAsia="zh-CN"/>
        </w:rPr>
        <w:t>检验、</w:t>
      </w:r>
      <w:r>
        <w:rPr>
          <w:rFonts w:hint="eastAsia" w:ascii="仿宋_GB2312" w:hAnsi="仿宋_GB2312" w:eastAsia="仿宋_GB2312" w:cs="仿宋_GB2312"/>
          <w:color w:val="auto"/>
          <w:sz w:val="32"/>
          <w:szCs w:val="32"/>
        </w:rPr>
        <w:t>病理等</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信息的自动分析，构建人工智能辅助下重大疾病诊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功能影像驱动重大疾病诊疗和评估，</w:t>
      </w:r>
      <w:r>
        <w:rPr>
          <w:rFonts w:hint="eastAsia" w:ascii="仿宋_GB2312" w:hAnsi="仿宋_GB2312" w:eastAsia="仿宋_GB2312" w:cs="仿宋_GB2312"/>
          <w:color w:val="auto"/>
          <w:sz w:val="32"/>
          <w:szCs w:val="32"/>
        </w:rPr>
        <w:t>显著提高重大疾病诊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的准确率和效率。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1.诊断：人工智能技术通过综合分析患者的疾病症状和医疗记录，为医生提供进诊断和治疗建议。例如，人工智能可以在图像中检测出肿瘤或其他异常，并提供有关可能疾病的信息。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2.预测：人工智能可以通过</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大量的医疗数据，</w:t>
      </w:r>
      <w:r>
        <w:rPr>
          <w:rFonts w:hint="eastAsia" w:ascii="仿宋_GB2312" w:hAnsi="仿宋_GB2312" w:eastAsia="仿宋_GB2312" w:cs="仿宋_GB2312"/>
          <w:color w:val="auto"/>
          <w:sz w:val="32"/>
          <w:szCs w:val="32"/>
          <w:u w:val="none"/>
          <w:lang w:val="en-US" w:eastAsia="zh-CN"/>
        </w:rPr>
        <w:t>进行深度学习构建分析模型，</w:t>
      </w:r>
      <w:r>
        <w:rPr>
          <w:rFonts w:hint="eastAsia" w:ascii="仿宋_GB2312" w:hAnsi="仿宋_GB2312" w:eastAsia="仿宋_GB2312" w:cs="仿宋_GB2312"/>
          <w:color w:val="auto"/>
          <w:sz w:val="32"/>
          <w:szCs w:val="32"/>
          <w:u w:val="none"/>
        </w:rPr>
        <w:t>帮助医生预测患者可能患上的疾病或病情恶化的可能性</w:t>
      </w:r>
      <w:r>
        <w:rPr>
          <w:rFonts w:hint="eastAsia" w:ascii="仿宋_GB2312" w:hAnsi="仿宋_GB2312" w:eastAsia="仿宋_GB2312" w:cs="仿宋_GB2312"/>
          <w:color w:val="auto"/>
          <w:sz w:val="32"/>
          <w:szCs w:val="32"/>
          <w:u w:val="none"/>
          <w:lang w:val="en-US" w:eastAsia="zh-CN"/>
        </w:rPr>
        <w:t>及疗效评估</w:t>
      </w:r>
      <w:r>
        <w:rPr>
          <w:rFonts w:hint="eastAsia" w:ascii="仿宋_GB2312" w:hAnsi="仿宋_GB2312" w:eastAsia="仿宋_GB2312" w:cs="仿宋_GB2312"/>
          <w:color w:val="auto"/>
          <w:sz w:val="32"/>
          <w:szCs w:val="32"/>
          <w:u w:val="none"/>
        </w:rPr>
        <w:t>。这种技</w:t>
      </w:r>
      <w:r>
        <w:rPr>
          <w:rFonts w:hint="eastAsia" w:ascii="仿宋_GB2312" w:hAnsi="仿宋_GB2312" w:eastAsia="仿宋_GB2312" w:cs="仿宋_GB2312"/>
          <w:color w:val="auto"/>
          <w:sz w:val="32"/>
          <w:szCs w:val="32"/>
        </w:rPr>
        <w:t>术可以帮助医生制定更好的治疗方案，提高治疗效果。</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3.药物研发：人工智能可以通过分析大量的药物数据，帮助科学家设计更好的药物，缩短药物研发周期，降低研发成本。</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4.医疗管理：人工智能可以通过分析医疗数据，帮助医院管理者更好地了解医院的运营情况和患者的需求，从而提高医院的效率和服务质量。</w:t>
      </w:r>
    </w:p>
    <w:p>
      <w:pPr>
        <w:keepNext w:val="0"/>
        <w:keepLines w:val="0"/>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kern w:val="2"/>
          <w:sz w:val="32"/>
          <w:szCs w:val="32"/>
          <w:lang w:val="en-US" w:eastAsia="zh-CN" w:bidi="ar-SA"/>
        </w:rPr>
        <w:t>智能化治疗，如自动化放疗计划，自动化给药方案等。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、耐药菌新型诊疗技术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大规模耐药菌感染和临床治疗策略研究，创新疗法与诊断技术，建立基于新型治疗、精准干预、多靶点联合治疗、人体微生物组调控等技术的干预治疗技术体系，遴选推广一批适用于不同医疗条件的耐药菌快速检测与诊断技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1.医院感染控制：帮助医院识别和控制耐药菌的传播，从而减少感染的发生率。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2.个性化治疗：帮助医生确定患者感染的病原菌以及其耐药性，从而更好地选择治疗方案。个性化治疗可以提高治疗效果，减少药物的不良反应。</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3.食品安全：帮助监测和控制食品中的耐药菌污染，从而提高食品安全。</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4.疫情监测：帮助监测和控制疫情的发生，从而减少疫情的影响。</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、三医联动一张网数据应用研究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基于三医数据开展信息支撑三医联动场景流程、指标体系与系统研发，提升跨部门业务协同效率；开展主动健康管理、个人健康画像、互联网+医疗健康应用、重点人群健康保障、卫生健康决策支持系统建设与数据应用示范研究；开展医疗质量安全、临床预警、全科智能临床决策支持、慢病闭环管理、药品与疫苗使用溯源系统研究；开展面向主动健康监测和胸痛等五大中心的智慧急救协同体系研究；开展三医一张网数据资源目录、数据安全保障、共享利用相关技术与管理机制研究，制定相关标准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开展三医一张网数据研究区域性疾病分析。</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1.三医联动：医疗-医药-医保跨部门业务协同、标准联动、设备整合与数据共享。</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2.业务应用：主动健康管理、慢病闭环管理、卫生健康决策支持、药品与疫苗使用溯源、智慧急救等。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3.便民服务：互联网+医疗健康应用、重点人群健康保障等。</w:t>
      </w:r>
    </w:p>
    <w:p>
      <w:pPr>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4.数据要素建设：数据资源目录、数据安全保障、数据共享利用等，提升健康医疗大数据的生产要素价值。</w:t>
      </w:r>
    </w:p>
    <w:p>
      <w:pPr>
        <w:spacing w:beforeLines="0" w:afterLines="0" w:line="560" w:lineRule="exact"/>
        <w:ind w:firstLine="642" w:firstLineChars="200"/>
        <w:jc w:val="both"/>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val="en-US" w:eastAsia="zh-CN"/>
        </w:rPr>
        <w:t>七</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常见多发病</w:t>
      </w:r>
      <w:r>
        <w:rPr>
          <w:rFonts w:hint="default" w:ascii="仿宋_GB2312" w:hAnsi="仿宋_GB2312" w:eastAsia="仿宋_GB2312" w:cs="仿宋_GB2312"/>
          <w:b/>
          <w:bCs/>
          <w:color w:val="auto"/>
          <w:sz w:val="32"/>
          <w:szCs w:val="32"/>
        </w:rPr>
        <w:t>人群队列研究</w:t>
      </w:r>
    </w:p>
    <w:p>
      <w:pPr>
        <w:spacing w:beforeLines="0" w:afterLines="0" w:line="560" w:lineRule="exact"/>
        <w:ind w:firstLine="642" w:firstLineChars="200"/>
        <w:jc w:val="both"/>
        <w:rPr>
          <w:rFonts w:hint="default" w:ascii="仿宋_GB2312" w:hAnsi="仿宋_GB2312" w:eastAsia="仿宋_GB2312" w:cs="仿宋_GB2312"/>
          <w:b w:val="0"/>
          <w:bCs w:val="0"/>
          <w:i w:val="0"/>
          <w:iCs w:val="0"/>
          <w:caps w:val="0"/>
          <w:color w:val="auto"/>
          <w:spacing w:val="0"/>
          <w:sz w:val="32"/>
          <w:szCs w:val="32"/>
          <w:shd w:val="clear"/>
          <w:lang w:val="en-US" w:eastAsia="zh-CN"/>
        </w:rPr>
      </w:pPr>
      <w:r>
        <w:rPr>
          <w:rFonts w:hint="default"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lang w:eastAsia="zh-CN"/>
        </w:rPr>
        <w:t>聚焦揭示</w:t>
      </w:r>
      <w:r>
        <w:rPr>
          <w:rFonts w:hint="default" w:ascii="仿宋_GB2312" w:hAnsi="仿宋_GB2312" w:eastAsia="仿宋_GB2312" w:cs="仿宋_GB2312"/>
          <w:b w:val="0"/>
          <w:bCs w:val="0"/>
          <w:color w:val="auto"/>
          <w:sz w:val="32"/>
          <w:szCs w:val="32"/>
        </w:rPr>
        <w:t>海南常见多发病及其风险因素</w:t>
      </w:r>
      <w:r>
        <w:rPr>
          <w:rFonts w:hint="eastAsia" w:ascii="仿宋_GB2312" w:hAnsi="仿宋_GB2312" w:eastAsia="仿宋_GB2312" w:cs="仿宋_GB2312"/>
          <w:b w:val="0"/>
          <w:bCs w:val="0"/>
          <w:color w:val="auto"/>
          <w:sz w:val="32"/>
          <w:szCs w:val="32"/>
          <w:lang w:eastAsia="zh-CN"/>
        </w:rPr>
        <w:t>的目标</w:t>
      </w:r>
      <w:r>
        <w:rPr>
          <w:rFonts w:hint="eastAsia" w:ascii="仿宋_GB2312" w:hAnsi="仿宋_GB2312" w:eastAsia="仿宋_GB2312" w:cs="仿宋_GB2312"/>
          <w:b w:val="0"/>
          <w:bCs w:val="0"/>
          <w:color w:val="auto"/>
          <w:sz w:val="32"/>
          <w:szCs w:val="32"/>
        </w:rPr>
        <w:t>，针对</w:t>
      </w:r>
      <w:r>
        <w:rPr>
          <w:rFonts w:hint="eastAsia" w:ascii="仿宋_GB2312" w:hAnsi="仿宋_GB2312" w:eastAsia="仿宋_GB2312" w:cs="仿宋_GB2312"/>
          <w:b w:val="0"/>
          <w:bCs w:val="0"/>
          <w:color w:val="auto"/>
          <w:sz w:val="32"/>
          <w:szCs w:val="32"/>
          <w:lang w:eastAsia="zh-CN"/>
        </w:rPr>
        <w:t>特定人群以及</w:t>
      </w:r>
      <w:r>
        <w:rPr>
          <w:rFonts w:hint="eastAsia" w:ascii="仿宋_GB2312" w:hAnsi="仿宋_GB2312" w:eastAsia="仿宋_GB2312" w:cs="仿宋_GB2312"/>
          <w:b w:val="0"/>
          <w:bCs w:val="0"/>
          <w:color w:val="auto"/>
          <w:sz w:val="32"/>
          <w:szCs w:val="32"/>
        </w:rPr>
        <w:t>有海南特色的环境、饮食、遗传等因素</w:t>
      </w:r>
      <w:r>
        <w:rPr>
          <w:rFonts w:hint="eastAsia" w:ascii="仿宋_GB2312" w:hAnsi="仿宋_GB2312" w:eastAsia="仿宋_GB2312" w:cs="仿宋_GB2312"/>
          <w:i w:val="0"/>
          <w:iCs w:val="0"/>
          <w:caps w:val="0"/>
          <w:color w:val="auto"/>
          <w:spacing w:val="0"/>
          <w:sz w:val="32"/>
          <w:szCs w:val="32"/>
          <w:shd w:val="clear"/>
        </w:rPr>
        <w:t>开展</w:t>
      </w:r>
      <w:r>
        <w:rPr>
          <w:rFonts w:hint="eastAsia" w:ascii="仿宋_GB2312" w:hAnsi="仿宋_GB2312" w:eastAsia="仿宋_GB2312" w:cs="仿宋_GB2312"/>
          <w:i w:val="0"/>
          <w:iCs w:val="0"/>
          <w:caps w:val="0"/>
          <w:color w:val="auto"/>
          <w:spacing w:val="0"/>
          <w:sz w:val="32"/>
          <w:szCs w:val="32"/>
          <w:shd w:val="clear"/>
          <w:lang w:val="en-US" w:eastAsia="zh-CN"/>
        </w:rPr>
        <w:t>各类人群</w:t>
      </w:r>
      <w:r>
        <w:rPr>
          <w:rFonts w:hint="eastAsia" w:ascii="仿宋_GB2312" w:hAnsi="仿宋_GB2312" w:eastAsia="仿宋_GB2312" w:cs="仿宋_GB2312"/>
          <w:i w:val="0"/>
          <w:iCs w:val="0"/>
          <w:caps w:val="0"/>
          <w:color w:val="auto"/>
          <w:spacing w:val="0"/>
          <w:sz w:val="32"/>
          <w:szCs w:val="32"/>
          <w:shd w:val="clear"/>
        </w:rPr>
        <w:t>队列研究</w:t>
      </w:r>
      <w:r>
        <w:rPr>
          <w:rFonts w:hint="eastAsia" w:ascii="仿宋_GB2312" w:hAnsi="仿宋_GB2312" w:eastAsia="仿宋_GB2312" w:cs="仿宋_GB2312"/>
          <w:b w:val="0"/>
          <w:bCs w:val="0"/>
          <w:color w:val="auto"/>
          <w:sz w:val="32"/>
          <w:szCs w:val="32"/>
        </w:rPr>
        <w:t>，系统规划可行的跟踪方案，追踪常见多发疾病的发生和发展变化，</w:t>
      </w:r>
      <w:r>
        <w:rPr>
          <w:rFonts w:hint="eastAsia" w:ascii="仿宋_GB2312" w:hAnsi="仿宋_GB2312" w:eastAsia="仿宋_GB2312" w:cs="仿宋_GB2312"/>
          <w:b w:val="0"/>
          <w:bCs w:val="0"/>
          <w:color w:val="auto"/>
          <w:sz w:val="32"/>
          <w:szCs w:val="32"/>
          <w:lang w:eastAsia="zh-CN"/>
        </w:rPr>
        <w:t>建立</w:t>
      </w:r>
      <w:r>
        <w:rPr>
          <w:rFonts w:hint="eastAsia" w:ascii="仿宋_GB2312" w:hAnsi="仿宋_GB2312" w:eastAsia="仿宋_GB2312" w:cs="仿宋_GB2312"/>
          <w:b w:val="0"/>
          <w:bCs w:val="0"/>
          <w:color w:val="auto"/>
          <w:sz w:val="32"/>
          <w:szCs w:val="32"/>
        </w:rPr>
        <w:t>干预的方法和措施，并</w:t>
      </w:r>
      <w:r>
        <w:rPr>
          <w:rFonts w:hint="eastAsia" w:ascii="仿宋_GB2312" w:hAnsi="仿宋_GB2312" w:eastAsia="仿宋_GB2312" w:cs="仿宋_GB2312"/>
          <w:b w:val="0"/>
          <w:bCs w:val="0"/>
          <w:color w:val="auto"/>
          <w:sz w:val="32"/>
          <w:szCs w:val="32"/>
          <w:lang w:eastAsia="zh-CN"/>
        </w:rPr>
        <w:t>制定</w:t>
      </w:r>
      <w:r>
        <w:rPr>
          <w:rFonts w:hint="eastAsia" w:ascii="仿宋_GB2312" w:hAnsi="仿宋_GB2312" w:eastAsia="仿宋_GB2312" w:cs="仿宋_GB2312"/>
          <w:b w:val="0"/>
          <w:bCs w:val="0"/>
          <w:color w:val="auto"/>
          <w:sz w:val="32"/>
          <w:szCs w:val="32"/>
        </w:rPr>
        <w:t>可持续的人群队列研究发展规划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支持重要疾病人群规模队列研究</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心脑血管疾病、恶性肿瘤、代谢性疾病等</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auto"/>
        </w:rPr>
        <w:t>揭示疾病的病因基础并转化为防控策略</w:t>
      </w:r>
      <w:r>
        <w:rPr>
          <w:rFonts w:hint="eastAsia" w:ascii="仿宋_GB2312" w:hAnsi="仿宋_GB2312" w:eastAsia="仿宋_GB2312" w:cs="仿宋_GB2312"/>
          <w:b w:val="0"/>
          <w:bCs w:val="0"/>
          <w:i w:val="0"/>
          <w:iCs w:val="0"/>
          <w:caps w:val="0"/>
          <w:color w:val="auto"/>
          <w:spacing w:val="0"/>
          <w:sz w:val="32"/>
          <w:szCs w:val="32"/>
          <w:shd w:val="clear"/>
          <w:lang w:eastAsia="zh-CN"/>
        </w:rPr>
        <w:t>。</w:t>
      </w:r>
      <w:r>
        <w:rPr>
          <w:rFonts w:hint="eastAsia" w:ascii="仿宋_GB2312" w:hAnsi="仿宋_GB2312" w:eastAsia="仿宋_GB2312" w:cs="仿宋_GB2312"/>
          <w:b w:val="0"/>
          <w:bCs w:val="0"/>
          <w:i w:val="0"/>
          <w:iCs w:val="0"/>
          <w:caps w:val="0"/>
          <w:color w:val="auto"/>
          <w:spacing w:val="0"/>
          <w:sz w:val="32"/>
          <w:szCs w:val="32"/>
          <w:shd w:val="clear"/>
          <w:lang w:val="en-US" w:eastAsia="zh-CN"/>
        </w:rPr>
        <w:t>探索医工结合等多学科交叉开展队列研究的方式方法。</w:t>
      </w:r>
    </w:p>
    <w:p>
      <w:pPr>
        <w:spacing w:beforeLines="0" w:afterLines="0" w:line="560" w:lineRule="exact"/>
        <w:ind w:firstLine="642" w:firstLineChars="200"/>
        <w:jc w:val="both"/>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专题八、前沿生物技术研究</w:t>
      </w:r>
    </w:p>
    <w:p>
      <w:pPr>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lang w:val="en-US" w:eastAsia="zh-CN"/>
        </w:rPr>
        <w:t>开展围绕生命基本物质与生命核心过程的解析调控与合成技术研究、前沿生物技术领域关键装备与核心工具研发、原创颠覆性重大生物技术创新产品研发、自由探索前沿生物技术研发等。如基因治疗、组织器官再生修复、脑机接口等研究。包括</w:t>
      </w:r>
      <w:r>
        <w:rPr>
          <w:rFonts w:hint="eastAsia" w:ascii="仿宋_GB2312" w:hAnsi="仿宋_GB2312" w:eastAsia="仿宋_GB2312" w:cs="仿宋_GB2312"/>
          <w:color w:val="auto"/>
          <w:sz w:val="32"/>
          <w:szCs w:val="32"/>
          <w:lang w:val="en-US" w:eastAsia="zh-CN"/>
        </w:rPr>
        <w:t>CRISPR检测系统的研发与应用研究；正交生物能量供给技术研究；高通量高内涵细胞整合分析系统研究；牛奶蛋白与理想蛋白的高效生物制造研究；糖链结构解析与定向合成技术研究；人工生物固氮研究；安全、高效工程噬菌体疗法技术开发研究；基于肠道微生物及代谢物的肠道疾病新型诊疗技术研究；复合类器官及微生理系统研究；类器官系统的数字化评估研究；应激颗粒中的蛋白降解调控机制及其在细胞分化中的作用研究；智慧病理成像技术研究；新型CAR-T细胞治疗技术的研发及应用研究；DNA存储生化流程的大模型及验证研究；耦合功能驱动的新型非植入脑机接口装备研发；高质量细胞培养关键材料的国产化研发；下一代冷冻电镜成像装置和技术的探索与研发；多组学和人工智能技术在疾病靶点发现和药物发现的创新与应用研究；大人群端粒到端粒基因组图谱重构技术研究等。</w:t>
      </w:r>
    </w:p>
    <w:sectPr>
      <w:headerReference r:id="rId5" w:type="default"/>
      <w:footerReference r:id="rId7" w:type="default"/>
      <w:headerReference r:id="rId6" w:type="even"/>
      <w:footerReference r:id="rId8" w:type="even"/>
      <w:pgSz w:w="11906" w:h="16838"/>
      <w:pgMar w:top="2041" w:right="1474" w:bottom="181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posOffset>4776470</wp:posOffset>
              </wp:positionH>
              <wp:positionV relativeFrom="paragraph">
                <wp:posOffset>36195</wp:posOffset>
              </wp:positionV>
              <wp:extent cx="911860" cy="4495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118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6.1pt;margin-top:2.85pt;height:35.4pt;width:71.8pt;mso-position-horizontal-relative:margin;z-index:251660288;mso-width-relative:page;mso-height-relative:page;" filled="f" stroked="f" coordsize="21600,21600" o:gfxdata="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z7xYDXAAAACAEAAA8AAAAAAAAAAQAgAAAAOAAAAGRycy9kb3ducmV2LnhtbFBL&#10;AQIUABQAAAAIAIdO4kBc89vhGgIAABkEAAAOAAAAAAAAAAEAIAAAADwBAABkcnMvZTJvRG9jLnht&#10;bFBLBQYAAAAABgAGAFkBAADIBQ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4733290</wp:posOffset>
              </wp:positionH>
              <wp:positionV relativeFrom="paragraph">
                <wp:posOffset>0</wp:posOffset>
              </wp:positionV>
              <wp:extent cx="955040" cy="3657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504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2916253"/>
                          </w:sdtPr>
                          <w:sdtContent>
                            <w:sdt>
                              <w:sdtPr>
                                <w:id w:val="171357217"/>
                              </w:sdtPr>
                              <w:sdtContent>
                                <w:p>
                                  <w:pPr>
                                    <w:pStyle w:val="10"/>
                                    <w:jc w:val="center"/>
                                  </w:pPr>
                                </w:p>
                              </w:sdtContent>
                            </w:sdt>
                          </w:sdtContent>
                        </w:sdt>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2.7pt;margin-top:0pt;height:28.8pt;width:75.2pt;mso-position-horizontal-relative:margin;z-index:251659264;mso-width-relative:page;mso-height-relative:page;" filled="f" stroked="f" coordsize="21600,21600" o:gfxdata="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yUaPb1gAAAAcBAAAPAAAAAAAAAAEAIAAAADgAAABkcnMvZG93bnJldi54bWxQSwEC&#10;FAAUAAAACACHTuJAom2d9xkCAAAZBAAADgAAAAAAAAABACAAAAA7AQAAZHJzL2Uyb0RvYy54bWxQ&#10;SwUGAAAAAAYABgBZAQAAxgUAAAAA&#10;">
              <v:fill on="f" focussize="0,0"/>
              <v:stroke on="f" weight="0.5pt"/>
              <v:imagedata o:title=""/>
              <o:lock v:ext="edit" aspectratio="f"/>
              <v:textbox inset="0mm,0mm,0mm,0mm">
                <w:txbxContent>
                  <w:sdt>
                    <w:sdtPr>
                      <w:id w:val="1042916253"/>
                    </w:sdtPr>
                    <w:sdtContent>
                      <w:sdt>
                        <w:sdtPr>
                          <w:id w:val="171357217"/>
                        </w:sdtPr>
                        <w:sdtContent>
                          <w:p>
                            <w:pPr>
                              <w:pStyle w:val="10"/>
                              <w:jc w:val="center"/>
                            </w:pPr>
                          </w:p>
                        </w:sdtContent>
                      </w:sdt>
                    </w:sdtContent>
                  </w:sdt>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posOffset>226060</wp:posOffset>
              </wp:positionH>
              <wp:positionV relativeFrom="paragraph">
                <wp:posOffset>-190500</wp:posOffset>
              </wp:positionV>
              <wp:extent cx="1673860" cy="4972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673860" cy="497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8pt;margin-top:-15pt;height:39.15pt;width:131.8pt;mso-position-horizontal-relative:margin;z-index:251661312;mso-width-relative:page;mso-height-relative:page;" filled="f" stroked="f" coordsize="21600,21600" o:gfxdata="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eAldkAAAAJAQAADwAAAAAAAAABACAAAAA4AAAAZHJzL2Rvd25yZXYu&#10;eG1sUEsBAhQAFAAAAAgAh07iQHBIgeodAgAAGgQAAA4AAAAAAAAAAQAgAAAAPgEAAGRycy9lMm9E&#10;b2MueG1sUEsFBgAAAAAGAAYAWQEAAM0FA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JmNjBjNWEwM2MxYTE4YWJjMGQzM2JmYjQ2ZjkifQ=="/>
  </w:docVars>
  <w:rsids>
    <w:rsidRoot w:val="00172A27"/>
    <w:rsid w:val="000110DC"/>
    <w:rsid w:val="00017450"/>
    <w:rsid w:val="00020BD0"/>
    <w:rsid w:val="00021E6F"/>
    <w:rsid w:val="00026CF0"/>
    <w:rsid w:val="00035336"/>
    <w:rsid w:val="00046816"/>
    <w:rsid w:val="00050DE3"/>
    <w:rsid w:val="00052923"/>
    <w:rsid w:val="00095F44"/>
    <w:rsid w:val="0009707E"/>
    <w:rsid w:val="000A4181"/>
    <w:rsid w:val="000A50AE"/>
    <w:rsid w:val="000B492F"/>
    <w:rsid w:val="000E2825"/>
    <w:rsid w:val="000E6BEB"/>
    <w:rsid w:val="00100D18"/>
    <w:rsid w:val="00107C3C"/>
    <w:rsid w:val="00164C07"/>
    <w:rsid w:val="00170283"/>
    <w:rsid w:val="00173EDE"/>
    <w:rsid w:val="001756C9"/>
    <w:rsid w:val="00180291"/>
    <w:rsid w:val="001840E2"/>
    <w:rsid w:val="0019024F"/>
    <w:rsid w:val="00191D0C"/>
    <w:rsid w:val="001A47BE"/>
    <w:rsid w:val="001E1F75"/>
    <w:rsid w:val="001E4816"/>
    <w:rsid w:val="00202E9D"/>
    <w:rsid w:val="00220C87"/>
    <w:rsid w:val="00220F29"/>
    <w:rsid w:val="00244EBC"/>
    <w:rsid w:val="00262121"/>
    <w:rsid w:val="002623BC"/>
    <w:rsid w:val="00271197"/>
    <w:rsid w:val="002850CF"/>
    <w:rsid w:val="00285344"/>
    <w:rsid w:val="002901A0"/>
    <w:rsid w:val="002B11E0"/>
    <w:rsid w:val="002B3022"/>
    <w:rsid w:val="002B640B"/>
    <w:rsid w:val="002C26A4"/>
    <w:rsid w:val="002C5C7C"/>
    <w:rsid w:val="002D67FC"/>
    <w:rsid w:val="003005A0"/>
    <w:rsid w:val="0032619B"/>
    <w:rsid w:val="00332273"/>
    <w:rsid w:val="003550C0"/>
    <w:rsid w:val="00363616"/>
    <w:rsid w:val="0036745E"/>
    <w:rsid w:val="00373210"/>
    <w:rsid w:val="00390474"/>
    <w:rsid w:val="003B0F35"/>
    <w:rsid w:val="003B25D8"/>
    <w:rsid w:val="003B5BB4"/>
    <w:rsid w:val="003B5D82"/>
    <w:rsid w:val="003E71DC"/>
    <w:rsid w:val="004022DC"/>
    <w:rsid w:val="00406225"/>
    <w:rsid w:val="00406ED0"/>
    <w:rsid w:val="00421150"/>
    <w:rsid w:val="00425856"/>
    <w:rsid w:val="004268AE"/>
    <w:rsid w:val="00440E34"/>
    <w:rsid w:val="00443C5D"/>
    <w:rsid w:val="00460650"/>
    <w:rsid w:val="0046334C"/>
    <w:rsid w:val="00465E6D"/>
    <w:rsid w:val="00465EC4"/>
    <w:rsid w:val="0049079F"/>
    <w:rsid w:val="00491A32"/>
    <w:rsid w:val="0049752D"/>
    <w:rsid w:val="004B0A84"/>
    <w:rsid w:val="004C2405"/>
    <w:rsid w:val="004D4FA3"/>
    <w:rsid w:val="004E350B"/>
    <w:rsid w:val="004E54ED"/>
    <w:rsid w:val="004F4E21"/>
    <w:rsid w:val="00501EBD"/>
    <w:rsid w:val="00503F39"/>
    <w:rsid w:val="0050451D"/>
    <w:rsid w:val="0051347F"/>
    <w:rsid w:val="005143E2"/>
    <w:rsid w:val="005258B3"/>
    <w:rsid w:val="005308E1"/>
    <w:rsid w:val="005343CE"/>
    <w:rsid w:val="00544D02"/>
    <w:rsid w:val="0059462F"/>
    <w:rsid w:val="005A4A0F"/>
    <w:rsid w:val="005B0EED"/>
    <w:rsid w:val="005C6D4B"/>
    <w:rsid w:val="005D3005"/>
    <w:rsid w:val="005D4B64"/>
    <w:rsid w:val="005E2DA1"/>
    <w:rsid w:val="005E6C70"/>
    <w:rsid w:val="005F57B1"/>
    <w:rsid w:val="005F7700"/>
    <w:rsid w:val="00631342"/>
    <w:rsid w:val="00631E7E"/>
    <w:rsid w:val="00641848"/>
    <w:rsid w:val="006433FA"/>
    <w:rsid w:val="00646F8A"/>
    <w:rsid w:val="00661A29"/>
    <w:rsid w:val="00663A24"/>
    <w:rsid w:val="00666DB9"/>
    <w:rsid w:val="0068276A"/>
    <w:rsid w:val="006829CB"/>
    <w:rsid w:val="006875B4"/>
    <w:rsid w:val="006A190E"/>
    <w:rsid w:val="006A2AAC"/>
    <w:rsid w:val="006A657C"/>
    <w:rsid w:val="006B21F0"/>
    <w:rsid w:val="006B3D88"/>
    <w:rsid w:val="006C19E7"/>
    <w:rsid w:val="006C78A4"/>
    <w:rsid w:val="006E1C57"/>
    <w:rsid w:val="006E20DD"/>
    <w:rsid w:val="006E5D4A"/>
    <w:rsid w:val="00701465"/>
    <w:rsid w:val="00705D2E"/>
    <w:rsid w:val="00713062"/>
    <w:rsid w:val="00716744"/>
    <w:rsid w:val="00752090"/>
    <w:rsid w:val="00760738"/>
    <w:rsid w:val="00763D4E"/>
    <w:rsid w:val="00763FEA"/>
    <w:rsid w:val="00765C55"/>
    <w:rsid w:val="00792254"/>
    <w:rsid w:val="007B01D1"/>
    <w:rsid w:val="007B51A2"/>
    <w:rsid w:val="007C3000"/>
    <w:rsid w:val="007E0A18"/>
    <w:rsid w:val="007E12F2"/>
    <w:rsid w:val="007F2410"/>
    <w:rsid w:val="007F486A"/>
    <w:rsid w:val="00811DC5"/>
    <w:rsid w:val="008155C6"/>
    <w:rsid w:val="00817882"/>
    <w:rsid w:val="00850279"/>
    <w:rsid w:val="00850BCB"/>
    <w:rsid w:val="00863334"/>
    <w:rsid w:val="00871230"/>
    <w:rsid w:val="0088326A"/>
    <w:rsid w:val="00892D48"/>
    <w:rsid w:val="00895510"/>
    <w:rsid w:val="008B148C"/>
    <w:rsid w:val="008B7934"/>
    <w:rsid w:val="008C2EB2"/>
    <w:rsid w:val="008D4218"/>
    <w:rsid w:val="008D6756"/>
    <w:rsid w:val="00926224"/>
    <w:rsid w:val="00927B7C"/>
    <w:rsid w:val="00927EC5"/>
    <w:rsid w:val="00930878"/>
    <w:rsid w:val="009417C1"/>
    <w:rsid w:val="009430AE"/>
    <w:rsid w:val="00950616"/>
    <w:rsid w:val="00973E91"/>
    <w:rsid w:val="0097753D"/>
    <w:rsid w:val="0097789D"/>
    <w:rsid w:val="00990569"/>
    <w:rsid w:val="009A20C0"/>
    <w:rsid w:val="009B5DDC"/>
    <w:rsid w:val="009F0E6C"/>
    <w:rsid w:val="00A06889"/>
    <w:rsid w:val="00A1246E"/>
    <w:rsid w:val="00A14B4B"/>
    <w:rsid w:val="00A22FB4"/>
    <w:rsid w:val="00A450E0"/>
    <w:rsid w:val="00A609E6"/>
    <w:rsid w:val="00A91D45"/>
    <w:rsid w:val="00AB6A5D"/>
    <w:rsid w:val="00AC4414"/>
    <w:rsid w:val="00AD3DB6"/>
    <w:rsid w:val="00AD6EA3"/>
    <w:rsid w:val="00AE0DC1"/>
    <w:rsid w:val="00AE77E0"/>
    <w:rsid w:val="00AF0DF0"/>
    <w:rsid w:val="00B11ED1"/>
    <w:rsid w:val="00B22F73"/>
    <w:rsid w:val="00B31D97"/>
    <w:rsid w:val="00B34CE2"/>
    <w:rsid w:val="00B40F43"/>
    <w:rsid w:val="00B45A23"/>
    <w:rsid w:val="00B5229A"/>
    <w:rsid w:val="00B769F8"/>
    <w:rsid w:val="00B81304"/>
    <w:rsid w:val="00B81F86"/>
    <w:rsid w:val="00B84329"/>
    <w:rsid w:val="00BB2996"/>
    <w:rsid w:val="00BB5764"/>
    <w:rsid w:val="00BC11A5"/>
    <w:rsid w:val="00BC525F"/>
    <w:rsid w:val="00BD25DD"/>
    <w:rsid w:val="00BD7E50"/>
    <w:rsid w:val="00BE4D6C"/>
    <w:rsid w:val="00BF54EC"/>
    <w:rsid w:val="00C123A8"/>
    <w:rsid w:val="00C21379"/>
    <w:rsid w:val="00C3124C"/>
    <w:rsid w:val="00C3376B"/>
    <w:rsid w:val="00C35C2D"/>
    <w:rsid w:val="00C4245B"/>
    <w:rsid w:val="00C51BD6"/>
    <w:rsid w:val="00C55E49"/>
    <w:rsid w:val="00C67324"/>
    <w:rsid w:val="00C8183E"/>
    <w:rsid w:val="00C84265"/>
    <w:rsid w:val="00C93B7D"/>
    <w:rsid w:val="00CA75F6"/>
    <w:rsid w:val="00CB2339"/>
    <w:rsid w:val="00CB42C3"/>
    <w:rsid w:val="00CE20A8"/>
    <w:rsid w:val="00CE56A6"/>
    <w:rsid w:val="00CF04BD"/>
    <w:rsid w:val="00D019C8"/>
    <w:rsid w:val="00D14FD2"/>
    <w:rsid w:val="00D31765"/>
    <w:rsid w:val="00D35446"/>
    <w:rsid w:val="00D55805"/>
    <w:rsid w:val="00D61C82"/>
    <w:rsid w:val="00D6326C"/>
    <w:rsid w:val="00D709F0"/>
    <w:rsid w:val="00D82CB0"/>
    <w:rsid w:val="00D97F9B"/>
    <w:rsid w:val="00DA344C"/>
    <w:rsid w:val="00DB6F84"/>
    <w:rsid w:val="00DC3C33"/>
    <w:rsid w:val="00DE0041"/>
    <w:rsid w:val="00E07A69"/>
    <w:rsid w:val="00E10688"/>
    <w:rsid w:val="00E1105C"/>
    <w:rsid w:val="00E132CC"/>
    <w:rsid w:val="00E2059F"/>
    <w:rsid w:val="00E25818"/>
    <w:rsid w:val="00E35E3A"/>
    <w:rsid w:val="00E52D16"/>
    <w:rsid w:val="00E6491B"/>
    <w:rsid w:val="00E84D4D"/>
    <w:rsid w:val="00EA1A48"/>
    <w:rsid w:val="00EB31FD"/>
    <w:rsid w:val="00EB65C9"/>
    <w:rsid w:val="00EC11A4"/>
    <w:rsid w:val="00EE1523"/>
    <w:rsid w:val="00EE5D4A"/>
    <w:rsid w:val="00F079AD"/>
    <w:rsid w:val="00F14B68"/>
    <w:rsid w:val="00F16A47"/>
    <w:rsid w:val="00F20EA1"/>
    <w:rsid w:val="00F3115E"/>
    <w:rsid w:val="00F553B9"/>
    <w:rsid w:val="00F56640"/>
    <w:rsid w:val="00F574E2"/>
    <w:rsid w:val="00F601CB"/>
    <w:rsid w:val="00F63E3F"/>
    <w:rsid w:val="00F71374"/>
    <w:rsid w:val="00FA395D"/>
    <w:rsid w:val="00FA6154"/>
    <w:rsid w:val="00FC1729"/>
    <w:rsid w:val="00FC6BCB"/>
    <w:rsid w:val="00FD2771"/>
    <w:rsid w:val="00FE0792"/>
    <w:rsid w:val="00FE26B6"/>
    <w:rsid w:val="00FE487A"/>
    <w:rsid w:val="00FF4113"/>
    <w:rsid w:val="02461CDB"/>
    <w:rsid w:val="029300E3"/>
    <w:rsid w:val="02E030D0"/>
    <w:rsid w:val="032D60F0"/>
    <w:rsid w:val="03384EFB"/>
    <w:rsid w:val="03ED606D"/>
    <w:rsid w:val="04045A8D"/>
    <w:rsid w:val="053E3236"/>
    <w:rsid w:val="05F55F54"/>
    <w:rsid w:val="05FA60A2"/>
    <w:rsid w:val="06705EB1"/>
    <w:rsid w:val="06A76A07"/>
    <w:rsid w:val="074E0D54"/>
    <w:rsid w:val="077D0EED"/>
    <w:rsid w:val="089C293F"/>
    <w:rsid w:val="08BA2275"/>
    <w:rsid w:val="08F86923"/>
    <w:rsid w:val="0932798E"/>
    <w:rsid w:val="095865CA"/>
    <w:rsid w:val="09F63AFE"/>
    <w:rsid w:val="0A1336A3"/>
    <w:rsid w:val="0A792062"/>
    <w:rsid w:val="0AED002A"/>
    <w:rsid w:val="0BB079A9"/>
    <w:rsid w:val="0BCE4606"/>
    <w:rsid w:val="0CC0494F"/>
    <w:rsid w:val="0D574976"/>
    <w:rsid w:val="0D68601C"/>
    <w:rsid w:val="0EA22738"/>
    <w:rsid w:val="0EC809D9"/>
    <w:rsid w:val="0FCD13F7"/>
    <w:rsid w:val="111C4D51"/>
    <w:rsid w:val="11575402"/>
    <w:rsid w:val="11A7667F"/>
    <w:rsid w:val="11B07A1F"/>
    <w:rsid w:val="11C72095"/>
    <w:rsid w:val="11DF59FA"/>
    <w:rsid w:val="13172EC5"/>
    <w:rsid w:val="13331FE4"/>
    <w:rsid w:val="14484FD1"/>
    <w:rsid w:val="14F16654"/>
    <w:rsid w:val="15124FDE"/>
    <w:rsid w:val="15A42EDE"/>
    <w:rsid w:val="16B843E9"/>
    <w:rsid w:val="16BA616E"/>
    <w:rsid w:val="172E308C"/>
    <w:rsid w:val="178361B5"/>
    <w:rsid w:val="17EB5997"/>
    <w:rsid w:val="17F27FDA"/>
    <w:rsid w:val="18BB0121"/>
    <w:rsid w:val="1B814B93"/>
    <w:rsid w:val="1B81532C"/>
    <w:rsid w:val="1BEBE339"/>
    <w:rsid w:val="1D894D00"/>
    <w:rsid w:val="1E3E5E53"/>
    <w:rsid w:val="1E4947EA"/>
    <w:rsid w:val="1FA9453D"/>
    <w:rsid w:val="1FD9384E"/>
    <w:rsid w:val="1FEA448C"/>
    <w:rsid w:val="201570C9"/>
    <w:rsid w:val="212B6926"/>
    <w:rsid w:val="216C09C1"/>
    <w:rsid w:val="224B143A"/>
    <w:rsid w:val="23131D71"/>
    <w:rsid w:val="245F220B"/>
    <w:rsid w:val="24CE73DC"/>
    <w:rsid w:val="25496E25"/>
    <w:rsid w:val="25D464BF"/>
    <w:rsid w:val="26C74148"/>
    <w:rsid w:val="27804827"/>
    <w:rsid w:val="2B2255C7"/>
    <w:rsid w:val="2B303607"/>
    <w:rsid w:val="2B6F009C"/>
    <w:rsid w:val="2B941DA0"/>
    <w:rsid w:val="2BC367C8"/>
    <w:rsid w:val="2BF37DF6"/>
    <w:rsid w:val="2C1C0671"/>
    <w:rsid w:val="2CC13C6C"/>
    <w:rsid w:val="2D9E5CE0"/>
    <w:rsid w:val="2FE755AF"/>
    <w:rsid w:val="2FFD7E94"/>
    <w:rsid w:val="30FE7798"/>
    <w:rsid w:val="312F10B7"/>
    <w:rsid w:val="31C60EFC"/>
    <w:rsid w:val="31C81974"/>
    <w:rsid w:val="326E5ECB"/>
    <w:rsid w:val="33101826"/>
    <w:rsid w:val="34046212"/>
    <w:rsid w:val="357D4D5A"/>
    <w:rsid w:val="35DC4DD8"/>
    <w:rsid w:val="3604797B"/>
    <w:rsid w:val="37606F7D"/>
    <w:rsid w:val="37B87FA3"/>
    <w:rsid w:val="385510B2"/>
    <w:rsid w:val="38995DBA"/>
    <w:rsid w:val="39095233"/>
    <w:rsid w:val="39D35418"/>
    <w:rsid w:val="39F3344F"/>
    <w:rsid w:val="3A0E5FBA"/>
    <w:rsid w:val="3A430C88"/>
    <w:rsid w:val="3AC51CE1"/>
    <w:rsid w:val="3ACF2C68"/>
    <w:rsid w:val="3B2C76CF"/>
    <w:rsid w:val="3B902AED"/>
    <w:rsid w:val="3BEA781B"/>
    <w:rsid w:val="3CDF1617"/>
    <w:rsid w:val="3CF06FDA"/>
    <w:rsid w:val="3DC41948"/>
    <w:rsid w:val="3E153228"/>
    <w:rsid w:val="3E5A58C0"/>
    <w:rsid w:val="3E713B94"/>
    <w:rsid w:val="3E8912D8"/>
    <w:rsid w:val="3ECD9E85"/>
    <w:rsid w:val="3F459792"/>
    <w:rsid w:val="3F47042A"/>
    <w:rsid w:val="3F4E289D"/>
    <w:rsid w:val="3F8AA2D5"/>
    <w:rsid w:val="400B526A"/>
    <w:rsid w:val="40A80FC9"/>
    <w:rsid w:val="41DE6BC1"/>
    <w:rsid w:val="422D2C02"/>
    <w:rsid w:val="442B7F4F"/>
    <w:rsid w:val="447A5135"/>
    <w:rsid w:val="4489227B"/>
    <w:rsid w:val="45046F9F"/>
    <w:rsid w:val="45307115"/>
    <w:rsid w:val="453B359D"/>
    <w:rsid w:val="458C7763"/>
    <w:rsid w:val="45A8591E"/>
    <w:rsid w:val="45BE24C8"/>
    <w:rsid w:val="45EE2CA5"/>
    <w:rsid w:val="45FC7F32"/>
    <w:rsid w:val="46085874"/>
    <w:rsid w:val="46B17839"/>
    <w:rsid w:val="47822C32"/>
    <w:rsid w:val="47881193"/>
    <w:rsid w:val="47995E50"/>
    <w:rsid w:val="47CA10E8"/>
    <w:rsid w:val="481B7FF7"/>
    <w:rsid w:val="481D1158"/>
    <w:rsid w:val="48326518"/>
    <w:rsid w:val="487211AC"/>
    <w:rsid w:val="48754DA7"/>
    <w:rsid w:val="48C649D9"/>
    <w:rsid w:val="48DC1579"/>
    <w:rsid w:val="49370F56"/>
    <w:rsid w:val="497E5FB2"/>
    <w:rsid w:val="4B142738"/>
    <w:rsid w:val="4BA41106"/>
    <w:rsid w:val="4BB31C88"/>
    <w:rsid w:val="4C2C4EF6"/>
    <w:rsid w:val="4CE42927"/>
    <w:rsid w:val="4D8E19CA"/>
    <w:rsid w:val="4DEF72F2"/>
    <w:rsid w:val="4E2D5E38"/>
    <w:rsid w:val="4EF87D4B"/>
    <w:rsid w:val="4EFF1A06"/>
    <w:rsid w:val="4F6B685E"/>
    <w:rsid w:val="4F8F630E"/>
    <w:rsid w:val="50254BB0"/>
    <w:rsid w:val="505965D6"/>
    <w:rsid w:val="50715E36"/>
    <w:rsid w:val="51491A85"/>
    <w:rsid w:val="51800775"/>
    <w:rsid w:val="51B445A2"/>
    <w:rsid w:val="51F2053D"/>
    <w:rsid w:val="51FED7AB"/>
    <w:rsid w:val="520259B2"/>
    <w:rsid w:val="52C602AE"/>
    <w:rsid w:val="52CC405C"/>
    <w:rsid w:val="537C02F3"/>
    <w:rsid w:val="543A4AD0"/>
    <w:rsid w:val="54A00F3D"/>
    <w:rsid w:val="56020DA3"/>
    <w:rsid w:val="56283FAC"/>
    <w:rsid w:val="5643798E"/>
    <w:rsid w:val="565E2D37"/>
    <w:rsid w:val="56DF0A43"/>
    <w:rsid w:val="56F12DE5"/>
    <w:rsid w:val="574F15D3"/>
    <w:rsid w:val="591F396C"/>
    <w:rsid w:val="59CC15DA"/>
    <w:rsid w:val="59E21A28"/>
    <w:rsid w:val="5A204346"/>
    <w:rsid w:val="5A54FB75"/>
    <w:rsid w:val="5B8132FC"/>
    <w:rsid w:val="5BD462C2"/>
    <w:rsid w:val="5C781924"/>
    <w:rsid w:val="5C7A7B2C"/>
    <w:rsid w:val="5D2C279F"/>
    <w:rsid w:val="5DBE10E1"/>
    <w:rsid w:val="5DFF69A6"/>
    <w:rsid w:val="5E380BB8"/>
    <w:rsid w:val="5E7A53E7"/>
    <w:rsid w:val="5EBE52F7"/>
    <w:rsid w:val="5EFA7CCD"/>
    <w:rsid w:val="5F161737"/>
    <w:rsid w:val="5FD490BF"/>
    <w:rsid w:val="5FDAAACA"/>
    <w:rsid w:val="5FFB7D38"/>
    <w:rsid w:val="60090022"/>
    <w:rsid w:val="603D67A2"/>
    <w:rsid w:val="613445FC"/>
    <w:rsid w:val="624A0A12"/>
    <w:rsid w:val="62FF64FE"/>
    <w:rsid w:val="63BFD95A"/>
    <w:rsid w:val="64244004"/>
    <w:rsid w:val="659C03E2"/>
    <w:rsid w:val="65A5233C"/>
    <w:rsid w:val="65F32CC5"/>
    <w:rsid w:val="65FF69EB"/>
    <w:rsid w:val="660E1B05"/>
    <w:rsid w:val="66490B1A"/>
    <w:rsid w:val="669E716E"/>
    <w:rsid w:val="66DD3740"/>
    <w:rsid w:val="675B2E3A"/>
    <w:rsid w:val="679E04D6"/>
    <w:rsid w:val="67BF0E18"/>
    <w:rsid w:val="67D3F957"/>
    <w:rsid w:val="67FF96D1"/>
    <w:rsid w:val="681C6582"/>
    <w:rsid w:val="68FE4D42"/>
    <w:rsid w:val="69231200"/>
    <w:rsid w:val="69EF294C"/>
    <w:rsid w:val="6A017290"/>
    <w:rsid w:val="6A445301"/>
    <w:rsid w:val="6AF503DD"/>
    <w:rsid w:val="6B14613B"/>
    <w:rsid w:val="6B187E6E"/>
    <w:rsid w:val="6B5002BC"/>
    <w:rsid w:val="6B5963D4"/>
    <w:rsid w:val="6B7623A8"/>
    <w:rsid w:val="6B9C13D2"/>
    <w:rsid w:val="6BE07EB6"/>
    <w:rsid w:val="6C085117"/>
    <w:rsid w:val="6CDA3044"/>
    <w:rsid w:val="6D9410F7"/>
    <w:rsid w:val="6DC1343D"/>
    <w:rsid w:val="6E901DD1"/>
    <w:rsid w:val="6EA62A55"/>
    <w:rsid w:val="6EFF1F3F"/>
    <w:rsid w:val="6FBB27F8"/>
    <w:rsid w:val="6FFF438D"/>
    <w:rsid w:val="71693D17"/>
    <w:rsid w:val="744D4E8E"/>
    <w:rsid w:val="7475054C"/>
    <w:rsid w:val="748943FA"/>
    <w:rsid w:val="74F49EB4"/>
    <w:rsid w:val="75566606"/>
    <w:rsid w:val="75724026"/>
    <w:rsid w:val="757D1D71"/>
    <w:rsid w:val="757DE146"/>
    <w:rsid w:val="75ED5D32"/>
    <w:rsid w:val="76A5494E"/>
    <w:rsid w:val="776D5B1F"/>
    <w:rsid w:val="78846D5D"/>
    <w:rsid w:val="795549ED"/>
    <w:rsid w:val="79A8480F"/>
    <w:rsid w:val="7BDDF82C"/>
    <w:rsid w:val="7C0747DA"/>
    <w:rsid w:val="7C334B37"/>
    <w:rsid w:val="7C8C62A4"/>
    <w:rsid w:val="7CA3E458"/>
    <w:rsid w:val="7D095356"/>
    <w:rsid w:val="7DE7683F"/>
    <w:rsid w:val="7DFF070A"/>
    <w:rsid w:val="7E2674C4"/>
    <w:rsid w:val="7EB66DF5"/>
    <w:rsid w:val="7F7D58EC"/>
    <w:rsid w:val="7F7F10C8"/>
    <w:rsid w:val="7F9BE0C6"/>
    <w:rsid w:val="8DBFCE66"/>
    <w:rsid w:val="9AEF2BAA"/>
    <w:rsid w:val="9BF7005A"/>
    <w:rsid w:val="9D4B5CFF"/>
    <w:rsid w:val="9F797F48"/>
    <w:rsid w:val="A6EB6F64"/>
    <w:rsid w:val="AADB02DE"/>
    <w:rsid w:val="AB7ED7E6"/>
    <w:rsid w:val="ACECBC0C"/>
    <w:rsid w:val="AD5F5AE9"/>
    <w:rsid w:val="B2DFF8C9"/>
    <w:rsid w:val="B3FAA33D"/>
    <w:rsid w:val="B3FF1D2C"/>
    <w:rsid w:val="BA7B23C6"/>
    <w:rsid w:val="BBEFC631"/>
    <w:rsid w:val="BDF6992F"/>
    <w:rsid w:val="BFEB2459"/>
    <w:rsid w:val="CF775E4F"/>
    <w:rsid w:val="CFFF7263"/>
    <w:rsid w:val="DD8FF448"/>
    <w:rsid w:val="DD97C8A3"/>
    <w:rsid w:val="DEDE4A0E"/>
    <w:rsid w:val="DEDFCD61"/>
    <w:rsid w:val="DFEFD79F"/>
    <w:rsid w:val="DFF7E9E8"/>
    <w:rsid w:val="E70F993C"/>
    <w:rsid w:val="E9F71EFB"/>
    <w:rsid w:val="EBEFB07E"/>
    <w:rsid w:val="ECAE8611"/>
    <w:rsid w:val="ED7FF42C"/>
    <w:rsid w:val="EDC70F6B"/>
    <w:rsid w:val="EE3FE23D"/>
    <w:rsid w:val="EF73B1FB"/>
    <w:rsid w:val="EFBF9B29"/>
    <w:rsid w:val="EFFF721B"/>
    <w:rsid w:val="F273085F"/>
    <w:rsid w:val="F38D895D"/>
    <w:rsid w:val="F675B251"/>
    <w:rsid w:val="F914D92E"/>
    <w:rsid w:val="F9BEB779"/>
    <w:rsid w:val="F9CF8CB2"/>
    <w:rsid w:val="FA5DA317"/>
    <w:rsid w:val="FAF41D82"/>
    <w:rsid w:val="FB3BD7B7"/>
    <w:rsid w:val="FB6E079A"/>
    <w:rsid w:val="FB7E255A"/>
    <w:rsid w:val="FBF9E3C7"/>
    <w:rsid w:val="FCF3CC0C"/>
    <w:rsid w:val="FD338641"/>
    <w:rsid w:val="FDABA8D4"/>
    <w:rsid w:val="FDAFCAB3"/>
    <w:rsid w:val="FDBE972B"/>
    <w:rsid w:val="FDDF64D0"/>
    <w:rsid w:val="FDEEE116"/>
    <w:rsid w:val="FDFDBD3D"/>
    <w:rsid w:val="FE734873"/>
    <w:rsid w:val="FEDF0D40"/>
    <w:rsid w:val="FEDF5A06"/>
    <w:rsid w:val="FEF7BC80"/>
    <w:rsid w:val="FF5F0AC7"/>
    <w:rsid w:val="FFAFE4BC"/>
    <w:rsid w:val="FFFE7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sz w:val="24"/>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szCs w:val="20"/>
    </w:rPr>
  </w:style>
  <w:style w:type="paragraph" w:styleId="8">
    <w:name w:val="annotation text"/>
    <w:basedOn w:val="1"/>
    <w:link w:val="21"/>
    <w:semiHidden/>
    <w:unhideWhenUsed/>
    <w:qFormat/>
    <w:uiPriority w:val="99"/>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8"/>
    <w:next w:val="8"/>
    <w:link w:val="22"/>
    <w:semiHidden/>
    <w:unhideWhenUsed/>
    <w:qFormat/>
    <w:uiPriority w:val="99"/>
    <w:rPr>
      <w:b/>
      <w:bCs/>
    </w:rPr>
  </w:style>
  <w:style w:type="character" w:styleId="16">
    <w:name w:val="Strong"/>
    <w:basedOn w:val="15"/>
    <w:qFormat/>
    <w:uiPriority w:val="22"/>
    <w:rPr>
      <w:rFonts w:hint="default" w:ascii="Times New Roman" w:hAnsi="Times New Roman" w:eastAsia="宋体" w:cs="Times New Roman"/>
      <w:b/>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1"/>
    <w:semiHidden/>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rFonts w:ascii="Times New Roman" w:hAnsi="Times New Roman" w:eastAsia="宋体" w:cs="Times New Roman"/>
      <w:kern w:val="2"/>
      <w:sz w:val="18"/>
      <w:szCs w:val="18"/>
    </w:rPr>
  </w:style>
  <w:style w:type="character" w:customStyle="1" w:styleId="21">
    <w:name w:val="批注文字 字符"/>
    <w:basedOn w:val="15"/>
    <w:link w:val="8"/>
    <w:semiHidden/>
    <w:qFormat/>
    <w:uiPriority w:val="99"/>
    <w:rPr>
      <w:kern w:val="2"/>
      <w:sz w:val="21"/>
    </w:rPr>
  </w:style>
  <w:style w:type="character" w:customStyle="1" w:styleId="22">
    <w:name w:val="批注主题 字符"/>
    <w:basedOn w:val="21"/>
    <w:link w:val="13"/>
    <w:semiHidden/>
    <w:qFormat/>
    <w:uiPriority w:val="99"/>
    <w:rPr>
      <w:b/>
      <w:bCs/>
      <w:kern w:val="2"/>
      <w:sz w:val="21"/>
    </w:rPr>
  </w:style>
  <w:style w:type="paragraph" w:customStyle="1" w:styleId="23">
    <w:name w:val="Char"/>
    <w:basedOn w:val="1"/>
    <w:qFormat/>
    <w:uiPriority w:val="0"/>
  </w:style>
  <w:style w:type="paragraph" w:customStyle="1" w:styleId="24">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标题 3 字符"/>
    <w:basedOn w:val="15"/>
    <w:link w:val="4"/>
    <w:qFormat/>
    <w:uiPriority w:val="9"/>
    <w:rPr>
      <w:b/>
      <w:bCs/>
      <w:kern w:val="2"/>
      <w:sz w:val="32"/>
      <w:szCs w:val="32"/>
    </w:rPr>
  </w:style>
  <w:style w:type="paragraph" w:customStyle="1" w:styleId="27">
    <w:name w:val="HTML Top of Form"/>
    <w:basedOn w:val="1"/>
    <w:next w:val="1"/>
    <w:link w:val="28"/>
    <w:semiHidden/>
    <w:unhideWhenUsed/>
    <w:qFormat/>
    <w:uiPriority w:val="99"/>
    <w:pPr>
      <w:pBdr>
        <w:bottom w:val="single" w:color="auto" w:sz="6" w:space="1"/>
      </w:pBdr>
      <w:jc w:val="center"/>
    </w:pPr>
    <w:rPr>
      <w:rFonts w:ascii="Arial" w:hAnsi="Arial" w:cs="Arial"/>
      <w:vanish/>
      <w:sz w:val="16"/>
      <w:szCs w:val="16"/>
    </w:rPr>
  </w:style>
  <w:style w:type="character" w:customStyle="1" w:styleId="28">
    <w:name w:val="z-窗体顶端 字符"/>
    <w:basedOn w:val="15"/>
    <w:link w:val="27"/>
    <w:semiHidden/>
    <w:qFormat/>
    <w:uiPriority w:val="99"/>
    <w:rPr>
      <w:rFonts w:ascii="Arial" w:hAnsi="Arial" w:cs="Arial"/>
      <w:vanish/>
      <w:sz w:val="16"/>
      <w:szCs w:val="16"/>
    </w:rPr>
  </w:style>
  <w:style w:type="paragraph" w:customStyle="1" w:styleId="29">
    <w:name w:val="HTML Bottom of Form"/>
    <w:basedOn w:val="1"/>
    <w:next w:val="1"/>
    <w:link w:val="30"/>
    <w:semiHidden/>
    <w:unhideWhenUsed/>
    <w:qFormat/>
    <w:uiPriority w:val="99"/>
    <w:pPr>
      <w:pBdr>
        <w:top w:val="single" w:color="auto" w:sz="6" w:space="1"/>
      </w:pBdr>
      <w:jc w:val="center"/>
    </w:pPr>
    <w:rPr>
      <w:rFonts w:ascii="Arial" w:hAnsi="Arial" w:cs="Arial"/>
      <w:vanish/>
      <w:sz w:val="16"/>
      <w:szCs w:val="16"/>
    </w:rPr>
  </w:style>
  <w:style w:type="character" w:customStyle="1" w:styleId="30">
    <w:name w:val="z-窗体底端 字符"/>
    <w:basedOn w:val="15"/>
    <w:link w:val="29"/>
    <w:semiHidden/>
    <w:qFormat/>
    <w:uiPriority w:val="99"/>
    <w:rPr>
      <w:rFonts w:ascii="Arial" w:hAnsi="Arial" w:cs="Arial"/>
      <w:vanish/>
      <w:sz w:val="16"/>
      <w:szCs w:val="16"/>
    </w:rPr>
  </w:style>
  <w:style w:type="character" w:customStyle="1" w:styleId="31">
    <w:name w:val="标题 1 字符"/>
    <w:basedOn w:val="15"/>
    <w:link w:val="2"/>
    <w:qFormat/>
    <w:uiPriority w:val="9"/>
    <w:rPr>
      <w:rFonts w:ascii="宋体" w:hAnsi="宋体" w:cs="宋体"/>
      <w:b/>
      <w:bCs/>
      <w:kern w:val="44"/>
      <w:sz w:val="44"/>
      <w:szCs w:val="44"/>
    </w:rPr>
  </w:style>
  <w:style w:type="character" w:customStyle="1" w:styleId="32">
    <w:name w:val="标题 4 字符"/>
    <w:basedOn w:val="15"/>
    <w:link w:val="5"/>
    <w:qFormat/>
    <w:uiPriority w:val="9"/>
    <w:rPr>
      <w:rFonts w:asciiTheme="majorHAnsi" w:hAnsiTheme="majorHAnsi" w:eastAsiaTheme="majorEastAsia" w:cstheme="majorBidi"/>
      <w:b/>
      <w:bCs/>
      <w:sz w:val="28"/>
      <w:szCs w:val="28"/>
    </w:rPr>
  </w:style>
  <w:style w:type="character" w:customStyle="1" w:styleId="33">
    <w:name w:val="标题 5 字符"/>
    <w:basedOn w:val="15"/>
    <w:link w:val="6"/>
    <w:qFormat/>
    <w:uiPriority w:val="9"/>
    <w:rPr>
      <w:rFonts w:ascii="宋体" w:hAnsi="宋体" w:cs="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10979</Words>
  <Characters>11143</Characters>
  <Lines>60</Lines>
  <Paragraphs>17</Paragraphs>
  <TotalTime>14</TotalTime>
  <ScaleCrop>false</ScaleCrop>
  <LinksUpToDate>false</LinksUpToDate>
  <CharactersWithSpaces>11149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2024-03-25T09:11:00Z</dcterms:created>
  <dc:creator>DELL</dc:creator>
  <cp:lastModifiedBy>greatwall</cp:lastModifiedBy>
  <cp:lastPrinted>2023-06-16T08:40:00Z</cp:lastPrinted>
  <dcterms:modified xsi:type="dcterms:W3CDTF">2025-05-14T11:10:15Z</dcterms:modified>
  <dc:title>2024年海南省卫生健康科技创新联合项目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C43F72CB27654E6D9340E9C5531022C5_13</vt:lpwstr>
  </property>
  <property fmtid="{D5CDD505-2E9C-101B-9397-08002B2CF9AE}" pid="4" name="KSOTemplateDocerSaveRecord">
    <vt:lpwstr>eyJoZGlkIjoiMGYzNzhlMGJhMjIyY2I4NzZiNjI3MmVlYTEyOGE2OWEiLCJ1c2VySWQiOiIzNTM2MDE2NjAifQ==</vt:lpwstr>
  </property>
</Properties>
</file>