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97152">
      <w:pPr>
        <w:spacing w:line="560" w:lineRule="exact"/>
        <w:rPr>
          <w:rFonts w:hint="eastAsia" w:ascii="黑体" w:hAnsi="黑体" w:eastAsia="黑体"/>
          <w:color w:val="auto"/>
          <w:sz w:val="32"/>
          <w:szCs w:val="32"/>
        </w:rPr>
      </w:pPr>
      <w:r>
        <w:rPr>
          <w:rFonts w:hint="eastAsia" w:ascii="黑体" w:hAnsi="黑体" w:eastAsia="黑体"/>
          <w:color w:val="auto"/>
          <w:sz w:val="32"/>
          <w:szCs w:val="32"/>
        </w:rPr>
        <w:t>附件</w:t>
      </w:r>
    </w:p>
    <w:p w14:paraId="4B37E7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lang w:val="en-US" w:eastAsia="zh-CN" w:bidi="ar"/>
        </w:rPr>
      </w:pPr>
    </w:p>
    <w:p w14:paraId="2DBC6D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44"/>
          <w:szCs w:val="44"/>
          <w:lang w:val="en-US"/>
        </w:rPr>
      </w:pPr>
      <w:bookmarkStart w:id="0" w:name="_GoBack"/>
      <w:r>
        <w:rPr>
          <w:rFonts w:hint="eastAsia" w:ascii="方正小标宋简体" w:hAnsi="方正小标宋简体" w:eastAsia="方正小标宋简体" w:cs="方正小标宋简体"/>
          <w:color w:val="auto"/>
          <w:kern w:val="2"/>
          <w:sz w:val="44"/>
          <w:szCs w:val="44"/>
          <w:lang w:val="en-US" w:eastAsia="zh-CN" w:bidi="ar"/>
        </w:rPr>
        <w:t>广西壮族自治区医疗保障服务能力建设</w:t>
      </w:r>
    </w:p>
    <w:p w14:paraId="20838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2"/>
          <w:sz w:val="44"/>
          <w:szCs w:val="44"/>
          <w:lang w:val="en-US" w:eastAsia="zh-CN" w:bidi="ar"/>
        </w:rPr>
        <w:t>中央财政补助资金管理实施细则</w:t>
      </w:r>
    </w:p>
    <w:bookmarkEnd w:id="0"/>
    <w:p w14:paraId="707E3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仿宋_GB2312" w:cs="仿宋_GB2312"/>
          <w:color w:val="auto"/>
          <w:sz w:val="32"/>
          <w:szCs w:val="32"/>
          <w:lang w:val="en-US"/>
        </w:rPr>
      </w:pPr>
    </w:p>
    <w:p w14:paraId="7D3AD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color w:val="auto"/>
          <w:kern w:val="2"/>
          <w:sz w:val="32"/>
          <w:szCs w:val="32"/>
          <w:lang w:val="en-US" w:eastAsia="zh-CN" w:bidi="ar"/>
        </w:rPr>
        <w:t>　　</w:t>
      </w:r>
      <w:r>
        <w:rPr>
          <w:rFonts w:hint="eastAsia" w:ascii="仿宋_GB2312" w:hAnsi="Calibri" w:eastAsia="仿宋_GB2312" w:cs="仿宋_GB2312"/>
          <w:b/>
          <w:bCs w:val="0"/>
          <w:color w:val="auto"/>
          <w:kern w:val="2"/>
          <w:sz w:val="32"/>
          <w:szCs w:val="32"/>
          <w:lang w:val="en-US" w:eastAsia="zh-CN" w:bidi="ar"/>
        </w:rPr>
        <w:t>第一条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为规范和加强医疗保障服务能力建设中央财政补助资金（以下简称“补助资金”）管理，提高资金使用的安全性和有效性，根据《中华人民共和国预算法》《中华人民共和国预算法实施条例》（国务院令第729号）</w:t>
      </w:r>
      <w:r>
        <w:rPr>
          <w:rFonts w:hint="eastAsia" w:ascii="仿宋_GB2312" w:hAnsi="Calibri" w:eastAsia="仿宋_GB2312" w:cs="仿宋_GB2312"/>
          <w:color w:val="auto"/>
          <w:kern w:val="2"/>
          <w:sz w:val="32"/>
          <w:szCs w:val="32"/>
          <w:u w:val="none"/>
          <w:lang w:val="en-US" w:eastAsia="zh-CN" w:bidi="ar"/>
        </w:rPr>
        <w:t>《财政部 国家卫生健康委 国家医保局 国家中医药局 国家疾控局关于印发基本公共卫生服务等5项补助资金管理办法的通知》（财社〔2024〕56号）</w:t>
      </w:r>
      <w:r>
        <w:rPr>
          <w:rFonts w:hint="eastAsia" w:ascii="仿宋_GB2312" w:hAnsi="Calibri" w:eastAsia="仿宋_GB2312" w:cs="仿宋_GB2312"/>
          <w:color w:val="auto"/>
          <w:kern w:val="2"/>
          <w:sz w:val="32"/>
          <w:szCs w:val="32"/>
          <w:lang w:val="en-US" w:eastAsia="zh-CN" w:bidi="ar"/>
        </w:rPr>
        <w:t>等规定，结合广西实际，制定本实施细则。</w:t>
      </w:r>
    </w:p>
    <w:p w14:paraId="3D309D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b/>
          <w:bCs w:val="0"/>
          <w:color w:val="auto"/>
          <w:kern w:val="2"/>
          <w:sz w:val="32"/>
          <w:szCs w:val="32"/>
          <w:lang w:val="en-US" w:eastAsia="zh-CN" w:bidi="ar"/>
        </w:rPr>
        <w:t>第二条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本实施细则所称补助资金，是指通过共同财政事权转移支付方式安排，用于支持医疗保障部门提升医疗保障服务能力方面的补助资金。补助资金实施期限按中央规定的实施期限执行。</w:t>
      </w:r>
    </w:p>
    <w:p w14:paraId="21438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b/>
          <w:bCs w:val="0"/>
          <w:color w:val="auto"/>
          <w:kern w:val="2"/>
          <w:sz w:val="32"/>
          <w:szCs w:val="32"/>
          <w:lang w:val="en-US" w:eastAsia="zh-CN" w:bidi="ar"/>
        </w:rPr>
        <w:t>第三条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补助资金按照以下原则分配和管理：</w:t>
      </w:r>
    </w:p>
    <w:p w14:paraId="2A263F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color w:val="auto"/>
          <w:kern w:val="2"/>
          <w:sz w:val="32"/>
          <w:szCs w:val="32"/>
          <w:lang w:val="en-US" w:eastAsia="zh-CN" w:bidi="ar"/>
        </w:rPr>
        <w:t xml:space="preserve">    </w:t>
      </w:r>
      <w:r>
        <w:rPr>
          <w:rFonts w:hint="eastAsia" w:ascii="楷体_GB2312" w:hAnsi="Calibri" w:eastAsia="楷体_GB2312" w:cs="楷体_GB2312"/>
          <w:color w:val="auto"/>
          <w:kern w:val="2"/>
          <w:sz w:val="32"/>
          <w:szCs w:val="32"/>
          <w:lang w:val="en-US" w:eastAsia="zh-CN" w:bidi="ar"/>
        </w:rPr>
        <w:t>（一）合理规划，分级管理。</w:t>
      </w:r>
      <w:r>
        <w:rPr>
          <w:rFonts w:hint="eastAsia" w:ascii="仿宋_GB2312" w:hAnsi="Calibri" w:eastAsia="仿宋_GB2312" w:cs="仿宋_GB2312"/>
          <w:color w:val="auto"/>
          <w:kern w:val="2"/>
          <w:sz w:val="32"/>
          <w:szCs w:val="32"/>
          <w:lang w:val="en-US" w:eastAsia="zh-CN" w:bidi="ar"/>
        </w:rPr>
        <w:t>按照国家及自治区年度医疗保障工作重点任务以及相关规划，自治区合理确定适当补助资金的额度，具体任务由市、县（市、区）医疗保障部门根据补助资金使用方向分级负责落实。</w:t>
      </w:r>
    </w:p>
    <w:p w14:paraId="7921F9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lang w:val="en-US"/>
        </w:rPr>
      </w:pPr>
      <w:r>
        <w:rPr>
          <w:rFonts w:hint="eastAsia" w:ascii="楷体_GB2312" w:hAnsi="Calibri" w:eastAsia="楷体_GB2312" w:cs="楷体_GB2312"/>
          <w:color w:val="auto"/>
          <w:kern w:val="2"/>
          <w:sz w:val="32"/>
          <w:szCs w:val="32"/>
          <w:lang w:val="en-US" w:eastAsia="zh-CN" w:bidi="ar"/>
        </w:rPr>
        <w:t>（二）统筹安排，支持重点。</w:t>
      </w:r>
      <w:r>
        <w:rPr>
          <w:rFonts w:hint="eastAsia" w:ascii="仿宋_GB2312" w:hAnsi="Calibri" w:eastAsia="仿宋_GB2312" w:cs="仿宋_GB2312"/>
          <w:color w:val="auto"/>
          <w:kern w:val="2"/>
          <w:sz w:val="32"/>
          <w:szCs w:val="32"/>
          <w:lang w:val="en-US" w:eastAsia="zh-CN" w:bidi="ar"/>
        </w:rPr>
        <w:t>市、县（市、区）财政部门结合地方实际工作需要，统筹安排补助资金和本级经费，支持落实重点工作任务。</w:t>
      </w:r>
    </w:p>
    <w:p w14:paraId="0C43E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lang w:val="en-US"/>
        </w:rPr>
      </w:pPr>
      <w:r>
        <w:rPr>
          <w:rFonts w:hint="eastAsia" w:ascii="楷体_GB2312" w:hAnsi="Calibri" w:eastAsia="楷体_GB2312" w:cs="楷体_GB2312"/>
          <w:color w:val="auto"/>
          <w:kern w:val="2"/>
          <w:sz w:val="32"/>
          <w:szCs w:val="32"/>
          <w:lang w:val="en-US" w:eastAsia="zh-CN" w:bidi="ar"/>
        </w:rPr>
        <w:t>（三）讲求绩效，量效挂钩。</w:t>
      </w:r>
      <w:r>
        <w:rPr>
          <w:rFonts w:hint="eastAsia" w:ascii="仿宋_GB2312" w:hAnsi="Calibri" w:eastAsia="仿宋_GB2312" w:cs="仿宋_GB2312"/>
          <w:color w:val="auto"/>
          <w:kern w:val="2"/>
          <w:sz w:val="32"/>
          <w:szCs w:val="32"/>
          <w:lang w:val="en-US" w:eastAsia="zh-CN" w:bidi="ar"/>
        </w:rPr>
        <w:t>补助资金实施全过程预算绩效管理，建立绩效评价结果与资金分配挂钩机制，提高补助资金使用效益。</w:t>
      </w:r>
    </w:p>
    <w:p w14:paraId="6EF28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b/>
          <w:bCs w:val="0"/>
          <w:color w:val="auto"/>
          <w:kern w:val="2"/>
          <w:sz w:val="32"/>
          <w:szCs w:val="32"/>
          <w:lang w:val="en-US" w:eastAsia="zh-CN" w:bidi="ar"/>
        </w:rPr>
        <w:t>第四条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补助资金根据中央和自治区关于医疗保障事业规划及医疗保障领域年度重点工作进行安排使用，主要用于医保信息化标准化、基金监管、医保支付方式改革、</w:t>
      </w:r>
      <w:r>
        <w:rPr>
          <w:rFonts w:hint="eastAsia" w:ascii="仿宋_GB2312" w:hAnsi="Calibri" w:eastAsia="仿宋_GB2312" w:cs="仿宋_GB2312"/>
          <w:color w:val="auto"/>
          <w:kern w:val="2"/>
          <w:sz w:val="32"/>
          <w:szCs w:val="32"/>
          <w:u w:val="none"/>
          <w:lang w:val="en-US" w:eastAsia="zh-CN" w:bidi="ar"/>
        </w:rPr>
        <w:t>宣传引导</w:t>
      </w:r>
      <w:r>
        <w:rPr>
          <w:rFonts w:hint="eastAsia" w:ascii="仿宋_GB2312" w:hAnsi="Calibri" w:eastAsia="仿宋_GB2312" w:cs="仿宋_GB2312"/>
          <w:color w:val="auto"/>
          <w:kern w:val="2"/>
          <w:sz w:val="32"/>
          <w:szCs w:val="32"/>
          <w:lang w:val="en-US" w:eastAsia="zh-CN" w:bidi="ar"/>
        </w:rPr>
        <w:t>、经办管理服务体系建设、药品和医用耗材集中带量采购、医疗服务价格改革、医保目录实施监管等方面的工作。</w:t>
      </w:r>
    </w:p>
    <w:p w14:paraId="3EAF87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hAnsi="Calibri" w:eastAsia="仿宋_GB2312" w:cs="仿宋_GB2312"/>
          <w:color w:val="auto"/>
          <w:kern w:val="2"/>
          <w:sz w:val="32"/>
          <w:szCs w:val="32"/>
          <w:u w:val="none"/>
          <w:lang w:val="en-US" w:eastAsia="zh-CN" w:bidi="ar"/>
        </w:rPr>
        <w:t>补助资金使用不得用于以下方面：</w:t>
      </w:r>
    </w:p>
    <w:p w14:paraId="2AA65F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hAnsi="Calibri" w:eastAsia="仿宋_GB2312" w:cs="仿宋_GB2312"/>
          <w:color w:val="auto"/>
          <w:kern w:val="2"/>
          <w:sz w:val="32"/>
          <w:szCs w:val="32"/>
          <w:u w:val="none"/>
          <w:lang w:val="en-US" w:eastAsia="zh-CN" w:bidi="ar"/>
        </w:rPr>
        <w:t>（一）基础设施建设，包括建设、装修、维修办公用房和业务用房等，符合经办管理服务体系建设除外。</w:t>
      </w:r>
    </w:p>
    <w:p w14:paraId="4993B2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hAnsi="Calibri" w:eastAsia="仿宋_GB2312" w:cs="仿宋_GB2312"/>
          <w:color w:val="auto"/>
          <w:kern w:val="2"/>
          <w:sz w:val="32"/>
          <w:szCs w:val="32"/>
          <w:u w:val="none"/>
          <w:lang w:val="en-US" w:eastAsia="zh-CN" w:bidi="ar"/>
        </w:rPr>
        <w:t>（二）公用经费，包括：</w:t>
      </w:r>
    </w:p>
    <w:p w14:paraId="7E006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hAnsi="Calibri" w:eastAsia="仿宋_GB2312" w:cs="仿宋_GB2312"/>
          <w:color w:val="auto"/>
          <w:kern w:val="2"/>
          <w:sz w:val="32"/>
          <w:szCs w:val="32"/>
          <w:u w:val="none"/>
          <w:lang w:val="en-US" w:eastAsia="zh-CN" w:bidi="ar"/>
        </w:rPr>
        <w:t>1.购买</w:t>
      </w:r>
      <w:r>
        <w:rPr>
          <w:rFonts w:hint="eastAsia" w:ascii="仿宋_GB2312" w:eastAsia="仿宋_GB2312" w:cs="仿宋_GB2312"/>
          <w:color w:val="auto"/>
          <w:kern w:val="2"/>
          <w:sz w:val="32"/>
          <w:szCs w:val="32"/>
          <w:u w:val="none"/>
          <w:lang w:val="en-US" w:eastAsia="zh-CN" w:bidi="ar"/>
        </w:rPr>
        <w:t>日常</w:t>
      </w:r>
      <w:r>
        <w:rPr>
          <w:rFonts w:hint="eastAsia" w:ascii="仿宋_GB2312" w:hAnsi="Calibri" w:eastAsia="仿宋_GB2312" w:cs="仿宋_GB2312"/>
          <w:color w:val="auto"/>
          <w:kern w:val="2"/>
          <w:sz w:val="32"/>
          <w:szCs w:val="32"/>
          <w:u w:val="none"/>
          <w:lang w:val="en-US" w:eastAsia="zh-CN" w:bidi="ar"/>
        </w:rPr>
        <w:t>办公用品（含纸张、文具、耗材、饮用水等）。</w:t>
      </w:r>
    </w:p>
    <w:p w14:paraId="18F222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hAnsi="Calibri" w:eastAsia="仿宋_GB2312" w:cs="仿宋_GB2312"/>
          <w:color w:val="auto"/>
          <w:kern w:val="2"/>
          <w:sz w:val="32"/>
          <w:szCs w:val="32"/>
          <w:u w:val="none"/>
          <w:lang w:val="en-US" w:eastAsia="zh-CN" w:bidi="ar"/>
        </w:rPr>
        <w:t>2.购买经办管理服务体系建设</w:t>
      </w:r>
      <w:r>
        <w:rPr>
          <w:rFonts w:hint="eastAsia" w:ascii="仿宋_GB2312" w:eastAsia="仿宋_GB2312" w:cs="仿宋_GB2312"/>
          <w:color w:val="auto"/>
          <w:kern w:val="2"/>
          <w:sz w:val="32"/>
          <w:szCs w:val="32"/>
          <w:u w:val="none"/>
          <w:lang w:val="en-US" w:eastAsia="zh-CN" w:bidi="ar"/>
        </w:rPr>
        <w:t>专项经费以外的一般性</w:t>
      </w:r>
      <w:r>
        <w:rPr>
          <w:rFonts w:hint="eastAsia" w:ascii="仿宋_GB2312" w:hAnsi="Calibri" w:eastAsia="仿宋_GB2312" w:cs="仿宋_GB2312"/>
          <w:color w:val="auto"/>
          <w:kern w:val="2"/>
          <w:sz w:val="32"/>
          <w:szCs w:val="32"/>
          <w:u w:val="none"/>
          <w:lang w:val="en-US" w:eastAsia="zh-CN" w:bidi="ar"/>
        </w:rPr>
        <w:t>办公设施设备（含办公家具、空调设备、办公自动化设备等）</w:t>
      </w:r>
      <w:r>
        <w:rPr>
          <w:rFonts w:hint="eastAsia" w:ascii="仿宋_GB2312" w:eastAsia="仿宋_GB2312" w:cs="仿宋_GB2312"/>
          <w:color w:val="auto"/>
          <w:kern w:val="2"/>
          <w:sz w:val="32"/>
          <w:szCs w:val="32"/>
          <w:u w:val="none"/>
          <w:lang w:val="en-US" w:eastAsia="zh-CN" w:bidi="ar"/>
        </w:rPr>
        <w:t>以及</w:t>
      </w:r>
      <w:r>
        <w:rPr>
          <w:rFonts w:hint="eastAsia" w:ascii="仿宋_GB2312" w:hAnsi="Calibri" w:eastAsia="仿宋_GB2312" w:cs="仿宋_GB2312"/>
          <w:color w:val="auto"/>
          <w:kern w:val="2"/>
          <w:sz w:val="32"/>
          <w:szCs w:val="32"/>
          <w:u w:val="none"/>
          <w:lang w:val="en-US" w:eastAsia="zh-CN" w:bidi="ar"/>
        </w:rPr>
        <w:t>软件、系统、数据库、服务器等信息技术支出</w:t>
      </w:r>
      <w:r>
        <w:rPr>
          <w:rFonts w:hint="eastAsia" w:ascii="仿宋_GB2312" w:eastAsia="仿宋_GB2312" w:cs="仿宋_GB2312"/>
          <w:color w:val="auto"/>
          <w:kern w:val="2"/>
          <w:sz w:val="32"/>
          <w:szCs w:val="32"/>
          <w:u w:val="none"/>
          <w:lang w:val="en-US" w:eastAsia="zh-CN" w:bidi="ar"/>
        </w:rPr>
        <w:t>。</w:t>
      </w:r>
    </w:p>
    <w:p w14:paraId="656FC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hAnsi="Calibri" w:eastAsia="仿宋_GB2312" w:cs="仿宋_GB2312"/>
          <w:color w:val="auto"/>
          <w:kern w:val="2"/>
          <w:sz w:val="32"/>
          <w:szCs w:val="32"/>
          <w:u w:val="none"/>
          <w:lang w:val="en-US" w:eastAsia="zh-CN" w:bidi="ar"/>
        </w:rPr>
        <w:t>3.设施设备维修维护（含电梯维修、空调维修、电脑维修、打印机维修等）。</w:t>
      </w:r>
    </w:p>
    <w:p w14:paraId="59D634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hAnsi="Calibri" w:eastAsia="仿宋_GB2312" w:cs="仿宋_GB2312"/>
          <w:color w:val="auto"/>
          <w:kern w:val="2"/>
          <w:sz w:val="32"/>
          <w:szCs w:val="32"/>
          <w:u w:val="none"/>
          <w:lang w:val="en-US" w:eastAsia="zh-CN" w:bidi="ar"/>
        </w:rPr>
        <w:t>4.水费、电费、物业费、电话费、常规网络费、邮寄费、</w:t>
      </w:r>
      <w:r>
        <w:rPr>
          <w:rFonts w:hint="eastAsia" w:ascii="仿宋_GB2312" w:eastAsia="仿宋_GB2312" w:cs="仿宋_GB2312"/>
          <w:color w:val="auto"/>
          <w:kern w:val="2"/>
          <w:sz w:val="32"/>
          <w:szCs w:val="32"/>
          <w:u w:val="none"/>
          <w:lang w:val="en-US" w:eastAsia="zh-CN" w:bidi="ar"/>
        </w:rPr>
        <w:t>差旅费（涉及专项工作的除外）、</w:t>
      </w:r>
      <w:r>
        <w:rPr>
          <w:rFonts w:hint="eastAsia" w:ascii="仿宋_GB2312" w:hAnsi="Calibri" w:eastAsia="仿宋_GB2312" w:cs="仿宋_GB2312"/>
          <w:color w:val="auto"/>
          <w:kern w:val="2"/>
          <w:sz w:val="32"/>
          <w:szCs w:val="32"/>
          <w:u w:val="none"/>
          <w:lang w:val="en-US" w:eastAsia="zh-CN" w:bidi="ar"/>
        </w:rPr>
        <w:t>征订综合性报刊等支出。</w:t>
      </w:r>
    </w:p>
    <w:p w14:paraId="1CE37A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u w:val="none"/>
          <w:lang w:val="en-US"/>
        </w:rPr>
      </w:pPr>
      <w:r>
        <w:rPr>
          <w:rFonts w:hint="eastAsia" w:ascii="仿宋_GB2312" w:eastAsia="仿宋_GB2312" w:cs="仿宋_GB2312"/>
          <w:color w:val="auto"/>
          <w:kern w:val="2"/>
          <w:sz w:val="32"/>
          <w:szCs w:val="32"/>
          <w:u w:val="none"/>
          <w:lang w:val="en-US" w:eastAsia="zh-CN" w:bidi="ar"/>
        </w:rPr>
        <w:t>5</w:t>
      </w:r>
      <w:r>
        <w:rPr>
          <w:rFonts w:hint="eastAsia" w:ascii="仿宋_GB2312" w:hAnsi="Calibri" w:eastAsia="仿宋_GB2312" w:cs="仿宋_GB2312"/>
          <w:color w:val="auto"/>
          <w:kern w:val="2"/>
          <w:sz w:val="32"/>
          <w:szCs w:val="32"/>
          <w:u w:val="none"/>
          <w:lang w:val="en-US" w:eastAsia="zh-CN" w:bidi="ar"/>
        </w:rPr>
        <w:t>.与</w:t>
      </w:r>
      <w:r>
        <w:rPr>
          <w:rFonts w:hint="eastAsia" w:ascii="仿宋_GB2312" w:eastAsia="仿宋_GB2312" w:cs="仿宋_GB2312"/>
          <w:color w:val="auto"/>
          <w:kern w:val="2"/>
          <w:sz w:val="32"/>
          <w:szCs w:val="32"/>
          <w:u w:val="none"/>
          <w:lang w:val="en-US" w:eastAsia="zh-CN" w:bidi="ar"/>
        </w:rPr>
        <w:t>第四条允许支出范围无关</w:t>
      </w:r>
      <w:r>
        <w:rPr>
          <w:rFonts w:hint="eastAsia" w:ascii="仿宋_GB2312" w:hAnsi="Calibri" w:eastAsia="仿宋_GB2312" w:cs="仿宋_GB2312"/>
          <w:color w:val="auto"/>
          <w:kern w:val="2"/>
          <w:sz w:val="32"/>
          <w:szCs w:val="32"/>
          <w:u w:val="none"/>
          <w:lang w:val="en-US" w:eastAsia="zh-CN" w:bidi="ar"/>
        </w:rPr>
        <w:t>的培训</w:t>
      </w:r>
      <w:r>
        <w:rPr>
          <w:rFonts w:hint="eastAsia" w:ascii="仿宋_GB2312" w:eastAsia="仿宋_GB2312" w:cs="仿宋_GB2312"/>
          <w:color w:val="auto"/>
          <w:kern w:val="2"/>
          <w:sz w:val="32"/>
          <w:szCs w:val="32"/>
          <w:u w:val="none"/>
          <w:lang w:val="en-US" w:eastAsia="zh-CN" w:bidi="ar"/>
        </w:rPr>
        <w:t>、</w:t>
      </w:r>
      <w:r>
        <w:rPr>
          <w:rFonts w:hint="eastAsia" w:ascii="仿宋_GB2312" w:hAnsi="Calibri" w:eastAsia="仿宋_GB2312" w:cs="仿宋_GB2312"/>
          <w:color w:val="auto"/>
          <w:kern w:val="2"/>
          <w:sz w:val="32"/>
          <w:szCs w:val="32"/>
          <w:u w:val="none"/>
          <w:lang w:val="en-US" w:eastAsia="zh-CN" w:bidi="ar"/>
        </w:rPr>
        <w:t>会议、研讨会、讲座、评审</w:t>
      </w:r>
      <w:r>
        <w:rPr>
          <w:rFonts w:hint="eastAsia" w:ascii="仿宋_GB2312" w:eastAsia="仿宋_GB2312" w:cs="仿宋_GB2312"/>
          <w:color w:val="auto"/>
          <w:kern w:val="2"/>
          <w:sz w:val="32"/>
          <w:szCs w:val="32"/>
          <w:u w:val="none"/>
          <w:lang w:val="en-US" w:eastAsia="zh-CN" w:bidi="ar"/>
        </w:rPr>
        <w:t>、</w:t>
      </w:r>
      <w:r>
        <w:rPr>
          <w:rFonts w:hint="eastAsia" w:ascii="仿宋_GB2312" w:hAnsi="Calibri" w:eastAsia="仿宋_GB2312" w:cs="仿宋_GB2312"/>
          <w:color w:val="auto"/>
          <w:kern w:val="2"/>
          <w:sz w:val="32"/>
          <w:szCs w:val="32"/>
          <w:u w:val="none"/>
          <w:lang w:val="en-US" w:eastAsia="zh-CN" w:bidi="ar"/>
        </w:rPr>
        <w:t>咨询</w:t>
      </w:r>
      <w:r>
        <w:rPr>
          <w:rFonts w:hint="eastAsia" w:ascii="仿宋_GB2312" w:eastAsia="仿宋_GB2312" w:cs="仿宋_GB2312"/>
          <w:color w:val="auto"/>
          <w:kern w:val="2"/>
          <w:sz w:val="32"/>
          <w:szCs w:val="32"/>
          <w:u w:val="none"/>
          <w:lang w:val="en-US" w:eastAsia="zh-CN" w:bidi="ar"/>
        </w:rPr>
        <w:t>、</w:t>
      </w:r>
      <w:r>
        <w:rPr>
          <w:rFonts w:hint="eastAsia" w:ascii="仿宋_GB2312" w:hAnsi="Calibri" w:eastAsia="仿宋_GB2312" w:cs="仿宋_GB2312"/>
          <w:color w:val="auto"/>
          <w:kern w:val="2"/>
          <w:sz w:val="32"/>
          <w:szCs w:val="32"/>
          <w:u w:val="none"/>
          <w:lang w:val="en-US" w:eastAsia="zh-CN" w:bidi="ar"/>
        </w:rPr>
        <w:t>劳务等</w:t>
      </w:r>
      <w:r>
        <w:rPr>
          <w:rFonts w:hint="eastAsia" w:ascii="仿宋_GB2312" w:eastAsia="仿宋_GB2312" w:cs="仿宋_GB2312"/>
          <w:color w:val="auto"/>
          <w:kern w:val="2"/>
          <w:sz w:val="32"/>
          <w:szCs w:val="32"/>
          <w:u w:val="none"/>
          <w:lang w:val="en-US" w:eastAsia="zh-CN" w:bidi="ar"/>
        </w:rPr>
        <w:t>费用</w:t>
      </w:r>
      <w:r>
        <w:rPr>
          <w:rFonts w:hint="eastAsia" w:ascii="仿宋_GB2312" w:hAnsi="Calibri" w:eastAsia="仿宋_GB2312" w:cs="仿宋_GB2312"/>
          <w:color w:val="auto"/>
          <w:kern w:val="2"/>
          <w:sz w:val="32"/>
          <w:szCs w:val="32"/>
          <w:u w:val="none"/>
          <w:lang w:val="en-US" w:eastAsia="zh-CN" w:bidi="ar"/>
        </w:rPr>
        <w:t>。</w:t>
      </w:r>
    </w:p>
    <w:p w14:paraId="10A95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eastAsia="仿宋_GB2312" w:cs="仿宋_GB2312"/>
          <w:color w:val="auto"/>
          <w:kern w:val="2"/>
          <w:sz w:val="32"/>
          <w:szCs w:val="32"/>
          <w:u w:val="none"/>
          <w:lang w:val="en-US" w:eastAsia="zh-CN" w:bidi="ar"/>
        </w:rPr>
        <w:t>6</w:t>
      </w:r>
      <w:r>
        <w:rPr>
          <w:rFonts w:hint="eastAsia" w:ascii="仿宋_GB2312" w:hAnsi="Calibri" w:eastAsia="仿宋_GB2312" w:cs="仿宋_GB2312"/>
          <w:color w:val="auto"/>
          <w:kern w:val="2"/>
          <w:sz w:val="32"/>
          <w:szCs w:val="32"/>
          <w:u w:val="none"/>
          <w:lang w:val="en-US" w:eastAsia="zh-CN" w:bidi="ar"/>
        </w:rPr>
        <w:t>.公务接待费、公务用车购置</w:t>
      </w:r>
      <w:r>
        <w:rPr>
          <w:rFonts w:hint="eastAsia" w:ascii="仿宋_GB2312" w:eastAsia="仿宋_GB2312" w:cs="仿宋_GB2312"/>
          <w:color w:val="auto"/>
          <w:kern w:val="2"/>
          <w:sz w:val="32"/>
          <w:szCs w:val="32"/>
          <w:u w:val="none"/>
          <w:lang w:val="en-US" w:eastAsia="zh-CN" w:bidi="ar"/>
        </w:rPr>
        <w:t>费</w:t>
      </w:r>
      <w:r>
        <w:rPr>
          <w:rFonts w:hint="eastAsia" w:ascii="仿宋_GB2312" w:hAnsi="Calibri" w:eastAsia="仿宋_GB2312" w:cs="仿宋_GB2312"/>
          <w:color w:val="auto"/>
          <w:kern w:val="2"/>
          <w:sz w:val="32"/>
          <w:szCs w:val="32"/>
          <w:u w:val="none"/>
          <w:lang w:val="en-US" w:eastAsia="zh-CN" w:bidi="ar"/>
        </w:rPr>
        <w:t>、公务用车运行和维护费、因公出国（境）费用。</w:t>
      </w:r>
    </w:p>
    <w:p w14:paraId="617CD2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hAnsi="Calibri" w:eastAsia="仿宋_GB2312" w:cs="仿宋_GB2312"/>
          <w:color w:val="auto"/>
          <w:kern w:val="2"/>
          <w:sz w:val="32"/>
          <w:szCs w:val="32"/>
          <w:u w:val="none"/>
          <w:lang w:val="en-US" w:eastAsia="zh-CN" w:bidi="ar"/>
        </w:rPr>
        <w:t>（</w:t>
      </w:r>
      <w:r>
        <w:rPr>
          <w:rFonts w:hint="eastAsia" w:ascii="仿宋_GB2312" w:eastAsia="仿宋_GB2312" w:cs="仿宋_GB2312"/>
          <w:color w:val="auto"/>
          <w:kern w:val="2"/>
          <w:sz w:val="32"/>
          <w:szCs w:val="32"/>
          <w:u w:val="none"/>
          <w:lang w:val="en-US" w:eastAsia="zh-CN" w:bidi="ar"/>
        </w:rPr>
        <w:t>三</w:t>
      </w:r>
      <w:r>
        <w:rPr>
          <w:rFonts w:hint="eastAsia" w:ascii="仿宋_GB2312" w:hAnsi="Calibri" w:eastAsia="仿宋_GB2312" w:cs="仿宋_GB2312"/>
          <w:color w:val="auto"/>
          <w:kern w:val="2"/>
          <w:sz w:val="32"/>
          <w:szCs w:val="32"/>
          <w:u w:val="none"/>
          <w:lang w:val="en-US" w:eastAsia="zh-CN" w:bidi="ar"/>
        </w:rPr>
        <w:t>）人员工资、津贴补贴、个人和家庭的补助等支出。</w:t>
      </w:r>
    </w:p>
    <w:p w14:paraId="024E4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hAnsi="Calibri" w:eastAsia="仿宋_GB2312" w:cs="仿宋_GB2312"/>
          <w:color w:val="auto"/>
          <w:kern w:val="2"/>
          <w:sz w:val="32"/>
          <w:szCs w:val="32"/>
          <w:u w:val="none"/>
          <w:lang w:val="en-US" w:eastAsia="zh-CN" w:bidi="ar"/>
        </w:rPr>
        <w:t>（</w:t>
      </w:r>
      <w:r>
        <w:rPr>
          <w:rFonts w:hint="eastAsia" w:ascii="仿宋_GB2312" w:eastAsia="仿宋_GB2312" w:cs="仿宋_GB2312"/>
          <w:color w:val="auto"/>
          <w:kern w:val="2"/>
          <w:sz w:val="32"/>
          <w:szCs w:val="32"/>
          <w:u w:val="none"/>
          <w:lang w:val="en-US" w:eastAsia="zh-CN" w:bidi="ar"/>
        </w:rPr>
        <w:t>四</w:t>
      </w:r>
      <w:r>
        <w:rPr>
          <w:rFonts w:hint="eastAsia" w:ascii="仿宋_GB2312" w:hAnsi="Calibri" w:eastAsia="仿宋_GB2312" w:cs="仿宋_GB2312"/>
          <w:color w:val="auto"/>
          <w:kern w:val="2"/>
          <w:sz w:val="32"/>
          <w:szCs w:val="32"/>
          <w:u w:val="none"/>
          <w:lang w:val="en-US" w:eastAsia="zh-CN" w:bidi="ar"/>
        </w:rPr>
        <w:t>）非重点和试点工作的资本性开支。</w:t>
      </w:r>
    </w:p>
    <w:p w14:paraId="630F3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hAnsi="Calibri" w:eastAsia="仿宋_GB2312" w:cs="仿宋_GB2312"/>
          <w:color w:val="auto"/>
          <w:kern w:val="2"/>
          <w:sz w:val="32"/>
          <w:szCs w:val="32"/>
          <w:u w:val="none"/>
          <w:lang w:val="en-US" w:eastAsia="zh-CN" w:bidi="ar"/>
        </w:rPr>
        <w:t>（</w:t>
      </w:r>
      <w:r>
        <w:rPr>
          <w:rFonts w:hint="eastAsia" w:ascii="仿宋_GB2312" w:eastAsia="仿宋_GB2312" w:cs="仿宋_GB2312"/>
          <w:color w:val="auto"/>
          <w:kern w:val="2"/>
          <w:sz w:val="32"/>
          <w:szCs w:val="32"/>
          <w:u w:val="none"/>
          <w:lang w:val="en-US" w:eastAsia="zh-CN" w:bidi="ar"/>
        </w:rPr>
        <w:t>五</w:t>
      </w:r>
      <w:r>
        <w:rPr>
          <w:rFonts w:hint="eastAsia" w:ascii="仿宋_GB2312" w:hAnsi="Calibri" w:eastAsia="仿宋_GB2312" w:cs="仿宋_GB2312"/>
          <w:color w:val="auto"/>
          <w:kern w:val="2"/>
          <w:sz w:val="32"/>
          <w:szCs w:val="32"/>
          <w:u w:val="none"/>
          <w:lang w:val="en-US" w:eastAsia="zh-CN" w:bidi="ar"/>
        </w:rPr>
        <w:t>）支付罚款、捐款、赞助、投资等支出。</w:t>
      </w:r>
    </w:p>
    <w:p w14:paraId="28A6A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_GB2312" w:eastAsia="仿宋_GB2312" w:cs="仿宋_GB2312"/>
          <w:color w:val="auto"/>
          <w:sz w:val="32"/>
          <w:szCs w:val="32"/>
          <w:u w:val="none"/>
          <w:lang w:val="en-US"/>
        </w:rPr>
      </w:pPr>
      <w:r>
        <w:rPr>
          <w:rFonts w:hint="eastAsia" w:ascii="仿宋_GB2312" w:hAnsi="Calibri" w:eastAsia="仿宋_GB2312" w:cs="仿宋_GB2312"/>
          <w:color w:val="auto"/>
          <w:kern w:val="2"/>
          <w:sz w:val="32"/>
          <w:szCs w:val="32"/>
          <w:u w:val="none"/>
          <w:lang w:val="en-US" w:eastAsia="zh-CN" w:bidi="ar"/>
        </w:rPr>
        <w:t>（</w:t>
      </w:r>
      <w:r>
        <w:rPr>
          <w:rFonts w:hint="eastAsia" w:ascii="仿宋_GB2312" w:eastAsia="仿宋_GB2312" w:cs="仿宋_GB2312"/>
          <w:color w:val="auto"/>
          <w:kern w:val="2"/>
          <w:sz w:val="32"/>
          <w:szCs w:val="32"/>
          <w:u w:val="none"/>
          <w:lang w:val="en-US" w:eastAsia="zh-CN" w:bidi="ar"/>
        </w:rPr>
        <w:t>六</w:t>
      </w:r>
      <w:r>
        <w:rPr>
          <w:rFonts w:hint="eastAsia" w:ascii="仿宋_GB2312" w:hAnsi="Calibri" w:eastAsia="仿宋_GB2312" w:cs="仿宋_GB2312"/>
          <w:color w:val="auto"/>
          <w:kern w:val="2"/>
          <w:sz w:val="32"/>
          <w:szCs w:val="32"/>
          <w:u w:val="none"/>
          <w:lang w:val="en-US" w:eastAsia="zh-CN" w:bidi="ar"/>
        </w:rPr>
        <w:t>）</w:t>
      </w:r>
      <w:r>
        <w:rPr>
          <w:rFonts w:hint="eastAsia" w:ascii="仿宋_GB2312" w:eastAsia="仿宋_GB2312" w:cs="仿宋_GB2312"/>
          <w:color w:val="auto"/>
          <w:kern w:val="2"/>
          <w:sz w:val="32"/>
          <w:szCs w:val="32"/>
          <w:u w:val="none"/>
          <w:lang w:val="en-US" w:eastAsia="zh-CN" w:bidi="ar"/>
        </w:rPr>
        <w:t>其他与</w:t>
      </w:r>
      <w:r>
        <w:rPr>
          <w:rFonts w:hint="eastAsia" w:ascii="仿宋_GB2312" w:hAnsi="Calibri" w:eastAsia="仿宋_GB2312" w:cs="仿宋_GB2312"/>
          <w:color w:val="auto"/>
          <w:kern w:val="2"/>
          <w:sz w:val="32"/>
          <w:szCs w:val="32"/>
          <w:lang w:val="en-US" w:eastAsia="zh-CN" w:bidi="ar"/>
        </w:rPr>
        <w:t>医疗保障服务能力</w:t>
      </w:r>
      <w:r>
        <w:rPr>
          <w:rFonts w:hint="eastAsia" w:ascii="仿宋_GB2312" w:eastAsia="仿宋_GB2312" w:cs="仿宋_GB2312"/>
          <w:color w:val="auto"/>
          <w:kern w:val="2"/>
          <w:sz w:val="32"/>
          <w:szCs w:val="32"/>
          <w:lang w:val="en-US" w:eastAsia="zh-CN" w:bidi="ar"/>
        </w:rPr>
        <w:t>提升无关的支出，以及</w:t>
      </w:r>
      <w:r>
        <w:rPr>
          <w:rFonts w:hint="eastAsia" w:ascii="仿宋_GB2312" w:hAnsi="Calibri" w:eastAsia="仿宋_GB2312" w:cs="仿宋_GB2312"/>
          <w:color w:val="auto"/>
          <w:kern w:val="2"/>
          <w:sz w:val="32"/>
          <w:szCs w:val="32"/>
          <w:u w:val="none"/>
          <w:lang w:val="en-US" w:eastAsia="zh-CN" w:bidi="ar"/>
        </w:rPr>
        <w:t>国家</w:t>
      </w:r>
      <w:r>
        <w:rPr>
          <w:rFonts w:hint="eastAsia" w:ascii="仿宋_GB2312" w:eastAsia="仿宋_GB2312" w:cs="仿宋_GB2312"/>
          <w:color w:val="auto"/>
          <w:kern w:val="2"/>
          <w:sz w:val="32"/>
          <w:szCs w:val="32"/>
          <w:u w:val="none"/>
          <w:lang w:val="en-US" w:eastAsia="zh-CN" w:bidi="ar"/>
        </w:rPr>
        <w:t>和自治区</w:t>
      </w:r>
      <w:r>
        <w:rPr>
          <w:rFonts w:hint="eastAsia" w:ascii="仿宋_GB2312" w:hAnsi="Calibri" w:eastAsia="仿宋_GB2312" w:cs="仿宋_GB2312"/>
          <w:color w:val="auto"/>
          <w:kern w:val="2"/>
          <w:sz w:val="32"/>
          <w:szCs w:val="32"/>
          <w:u w:val="none"/>
          <w:lang w:val="en-US" w:eastAsia="zh-CN" w:bidi="ar"/>
        </w:rPr>
        <w:t>禁止列支的其他支出。</w:t>
      </w:r>
    </w:p>
    <w:p w14:paraId="0AD8E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spacing w:val="-6"/>
          <w:sz w:val="32"/>
          <w:szCs w:val="32"/>
          <w:lang w:val="en-US"/>
        </w:rPr>
      </w:pPr>
      <w:r>
        <w:rPr>
          <w:rFonts w:hint="eastAsia" w:ascii="仿宋_GB2312" w:hAnsi="Calibri" w:eastAsia="仿宋_GB2312" w:cs="仿宋_GB2312"/>
          <w:b/>
          <w:bCs w:val="0"/>
          <w:color w:val="auto"/>
          <w:kern w:val="2"/>
          <w:sz w:val="32"/>
          <w:szCs w:val="32"/>
          <w:lang w:val="en-US" w:eastAsia="zh-CN" w:bidi="ar"/>
        </w:rPr>
        <w:t>第五条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补助资金</w:t>
      </w:r>
      <w:r>
        <w:rPr>
          <w:rFonts w:hint="eastAsia" w:ascii="仿宋_GB2312" w:eastAsia="仿宋_GB2312" w:cs="仿宋_GB2312"/>
          <w:color w:val="auto"/>
          <w:kern w:val="2"/>
          <w:sz w:val="32"/>
          <w:szCs w:val="32"/>
          <w:lang w:val="en-US" w:eastAsia="zh-CN" w:bidi="ar"/>
        </w:rPr>
        <w:t>主要</w:t>
      </w:r>
      <w:r>
        <w:rPr>
          <w:rFonts w:hint="eastAsia" w:ascii="仿宋_GB2312" w:hAnsi="Calibri" w:eastAsia="仿宋_GB2312" w:cs="仿宋_GB2312"/>
          <w:color w:val="auto"/>
          <w:kern w:val="2"/>
          <w:sz w:val="32"/>
          <w:szCs w:val="32"/>
          <w:lang w:val="en-US" w:eastAsia="zh-CN" w:bidi="ar"/>
        </w:rPr>
        <w:t>采用因素法分配</w:t>
      </w:r>
      <w:r>
        <w:rPr>
          <w:rFonts w:hint="eastAsia" w:ascii="仿宋_GB2312" w:eastAsia="仿宋_GB2312" w:cs="仿宋_GB2312"/>
          <w:color w:val="auto"/>
          <w:kern w:val="2"/>
          <w:sz w:val="32"/>
          <w:szCs w:val="32"/>
          <w:lang w:val="en-US" w:eastAsia="zh-CN" w:bidi="ar"/>
        </w:rPr>
        <w:t>，</w:t>
      </w:r>
      <w:r>
        <w:rPr>
          <w:rFonts w:hint="eastAsia" w:ascii="仿宋_GB2312" w:hAnsi="Calibri" w:eastAsia="仿宋_GB2312" w:cs="仿宋_GB2312"/>
          <w:color w:val="auto"/>
          <w:kern w:val="2"/>
          <w:sz w:val="32"/>
          <w:szCs w:val="32"/>
          <w:u w:val="none"/>
          <w:lang w:val="en-US" w:eastAsia="zh-CN" w:bidi="ar"/>
        </w:rPr>
        <w:t>对</w:t>
      </w:r>
      <w:r>
        <w:rPr>
          <w:rFonts w:hint="eastAsia" w:ascii="仿宋_GB2312" w:eastAsia="仿宋_GB2312" w:cs="仿宋_GB2312"/>
          <w:color w:val="auto"/>
          <w:kern w:val="2"/>
          <w:sz w:val="32"/>
          <w:szCs w:val="32"/>
          <w:u w:val="none"/>
          <w:lang w:val="en-US" w:eastAsia="zh-CN" w:bidi="ar"/>
        </w:rPr>
        <w:t>国家及自治区重点工作</w:t>
      </w:r>
      <w:r>
        <w:rPr>
          <w:rFonts w:hint="eastAsia" w:ascii="仿宋_GB2312" w:hAnsi="Calibri" w:eastAsia="仿宋_GB2312" w:cs="仿宋_GB2312"/>
          <w:color w:val="auto"/>
          <w:kern w:val="2"/>
          <w:sz w:val="32"/>
          <w:szCs w:val="32"/>
          <w:u w:val="none"/>
          <w:lang w:val="en-US" w:eastAsia="zh-CN" w:bidi="ar"/>
        </w:rPr>
        <w:t>、相关改革或者试点，可以采取定额补助</w:t>
      </w:r>
      <w:r>
        <w:rPr>
          <w:rFonts w:hint="eastAsia" w:ascii="仿宋_GB2312" w:eastAsia="仿宋_GB2312" w:cs="仿宋_GB2312"/>
          <w:color w:val="auto"/>
          <w:kern w:val="2"/>
          <w:sz w:val="32"/>
          <w:szCs w:val="32"/>
          <w:u w:val="none"/>
          <w:lang w:val="en-US" w:eastAsia="zh-CN" w:bidi="ar"/>
        </w:rPr>
        <w:t>，定额补助额度根据年度预算规模、工作量等确定</w:t>
      </w:r>
      <w:r>
        <w:rPr>
          <w:rFonts w:hint="eastAsia" w:ascii="仿宋_GB2312" w:hAnsi="Calibri" w:eastAsia="仿宋_GB2312" w:cs="仿宋_GB2312"/>
          <w:color w:val="auto"/>
          <w:kern w:val="2"/>
          <w:sz w:val="32"/>
          <w:szCs w:val="32"/>
          <w:u w:val="none"/>
          <w:lang w:val="en-US" w:eastAsia="zh-CN" w:bidi="ar"/>
        </w:rPr>
        <w:t>。</w:t>
      </w:r>
      <w:r>
        <w:rPr>
          <w:rFonts w:hint="eastAsia" w:ascii="仿宋_GB2312" w:eastAsia="仿宋_GB2312" w:cs="仿宋_GB2312"/>
          <w:color w:val="auto"/>
          <w:kern w:val="2"/>
          <w:sz w:val="32"/>
          <w:szCs w:val="32"/>
          <w:u w:val="none"/>
          <w:lang w:val="en-US" w:eastAsia="zh-CN" w:bidi="ar"/>
        </w:rPr>
        <w:t>因素法</w:t>
      </w:r>
      <w:r>
        <w:rPr>
          <w:rFonts w:hint="eastAsia" w:ascii="仿宋_GB2312" w:hAnsi="Calibri" w:eastAsia="仿宋_GB2312" w:cs="仿宋_GB2312"/>
          <w:color w:val="auto"/>
          <w:kern w:val="2"/>
          <w:sz w:val="32"/>
          <w:szCs w:val="32"/>
          <w:lang w:val="en-US" w:eastAsia="zh-CN" w:bidi="ar"/>
        </w:rPr>
        <w:t>分配主要考虑</w:t>
      </w:r>
      <w:r>
        <w:rPr>
          <w:rFonts w:hint="eastAsia" w:ascii="仿宋_GB2312" w:eastAsia="仿宋_GB2312" w:cs="仿宋_GB2312"/>
          <w:color w:val="auto"/>
          <w:kern w:val="2"/>
          <w:sz w:val="32"/>
          <w:szCs w:val="32"/>
          <w:lang w:val="en-US" w:eastAsia="zh-CN" w:bidi="ar"/>
        </w:rPr>
        <w:t>的因素包括</w:t>
      </w:r>
      <w:r>
        <w:rPr>
          <w:rFonts w:hint="eastAsia" w:ascii="仿宋_GB2312" w:hAnsi="Calibri" w:eastAsia="仿宋_GB2312" w:cs="仿宋_GB2312"/>
          <w:color w:val="auto"/>
          <w:kern w:val="2"/>
          <w:sz w:val="32"/>
          <w:szCs w:val="32"/>
          <w:lang w:val="en-US" w:eastAsia="zh-CN" w:bidi="ar"/>
        </w:rPr>
        <w:t>：基础因素</w:t>
      </w:r>
      <w:r>
        <w:rPr>
          <w:rFonts w:hint="eastAsia" w:ascii="仿宋_GB2312" w:hAnsi="仿宋_GB2312" w:eastAsia="仿宋_GB2312" w:cs="仿宋_GB2312"/>
          <w:color w:val="auto"/>
          <w:sz w:val="32"/>
          <w:szCs w:val="32"/>
          <w:lang w:val="en-US" w:eastAsia="zh-CN"/>
        </w:rPr>
        <w:t>、</w:t>
      </w:r>
      <w:r>
        <w:rPr>
          <w:rFonts w:hint="eastAsia" w:ascii="仿宋_GB2312" w:hAnsi="Calibri" w:eastAsia="仿宋_GB2312" w:cs="仿宋_GB2312"/>
          <w:color w:val="auto"/>
          <w:kern w:val="2"/>
          <w:sz w:val="32"/>
          <w:szCs w:val="32"/>
          <w:lang w:val="en-US" w:eastAsia="zh-CN" w:bidi="ar"/>
        </w:rPr>
        <w:t>绩效因素（补助资金绩效评价情况、国家及自</w:t>
      </w:r>
      <w:r>
        <w:rPr>
          <w:rFonts w:hint="eastAsia" w:ascii="仿宋_GB2312" w:hAnsi="Calibri" w:eastAsia="仿宋_GB2312" w:cs="仿宋_GB2312"/>
          <w:color w:val="auto"/>
          <w:spacing w:val="-6"/>
          <w:kern w:val="2"/>
          <w:sz w:val="32"/>
          <w:szCs w:val="32"/>
          <w:lang w:val="en-US" w:eastAsia="zh-CN" w:bidi="ar"/>
        </w:rPr>
        <w:t>治区年度重点工作评价情况）和财力因素（财政困难程度系数）等。</w:t>
      </w:r>
    </w:p>
    <w:p w14:paraId="12C3C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lang w:val="en-US"/>
        </w:rPr>
      </w:pPr>
      <w:r>
        <w:rPr>
          <w:rFonts w:hint="default" w:ascii="Calibri" w:hAnsi="Calibri" w:eastAsia="宋体" w:cs="Times New Roman"/>
          <w:color w:val="auto"/>
          <w:kern w:val="2"/>
          <w:sz w:val="21"/>
          <w:szCs w:val="24"/>
          <w:lang w:val="en-US" w:eastAsia="zh-CN" w:bidi="ar"/>
        </w:rPr>
        <w:drawing>
          <wp:anchor distT="0" distB="0" distL="114300" distR="114300" simplePos="0" relativeHeight="251659264" behindDoc="0" locked="0" layoutInCell="1" allowOverlap="1">
            <wp:simplePos x="0" y="0"/>
            <wp:positionH relativeFrom="column">
              <wp:posOffset>108585</wp:posOffset>
            </wp:positionH>
            <wp:positionV relativeFrom="paragraph">
              <wp:posOffset>125730</wp:posOffset>
            </wp:positionV>
            <wp:extent cx="5372100" cy="513715"/>
            <wp:effectExtent l="0" t="0" r="7620" b="4445"/>
            <wp:wrapNone/>
            <wp:docPr id="1" name="图片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Grp="1" noChangeAspect="1"/>
                    </pic:cNvPicPr>
                  </pic:nvPicPr>
                  <pic:blipFill>
                    <a:blip r:embed="rId4"/>
                    <a:stretch>
                      <a:fillRect/>
                    </a:stretch>
                  </pic:blipFill>
                  <pic:spPr>
                    <a:xfrm>
                      <a:off x="0" y="0"/>
                      <a:ext cx="5372100" cy="513715"/>
                    </a:xfrm>
                    <a:prstGeom prst="rect">
                      <a:avLst/>
                    </a:prstGeom>
                    <a:noFill/>
                    <a:ln>
                      <a:noFill/>
                    </a:ln>
                  </pic:spPr>
                </pic:pic>
              </a:graphicData>
            </a:graphic>
          </wp:anchor>
        </w:drawing>
      </w:r>
    </w:p>
    <w:p w14:paraId="2B95DB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仿宋_GB2312" w:cs="仿宋_GB2312"/>
          <w:color w:val="auto"/>
          <w:sz w:val="32"/>
          <w:szCs w:val="32"/>
          <w:lang w:val="en-US"/>
        </w:rPr>
      </w:pPr>
    </w:p>
    <w:p w14:paraId="4FE114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u w:val="none"/>
          <w:lang w:val="en-US" w:eastAsia="zh-CN" w:bidi="ar"/>
        </w:rPr>
      </w:pPr>
      <w:r>
        <w:rPr>
          <w:rFonts w:hint="eastAsia" w:ascii="仿宋_GB2312" w:hAnsi="Calibri" w:eastAsia="仿宋_GB2312" w:cs="仿宋_GB2312"/>
          <w:color w:val="auto"/>
          <w:kern w:val="2"/>
          <w:sz w:val="32"/>
          <w:szCs w:val="32"/>
          <w:u w:val="none"/>
          <w:lang w:val="en-US" w:eastAsia="zh-CN" w:bidi="ar"/>
        </w:rPr>
        <w:t>基础因素</w:t>
      </w:r>
      <w:r>
        <w:rPr>
          <w:rFonts w:hint="eastAsia" w:ascii="仿宋_GB2312" w:eastAsia="仿宋_GB2312" w:cs="仿宋_GB2312"/>
          <w:color w:val="auto"/>
          <w:kern w:val="2"/>
          <w:sz w:val="32"/>
          <w:szCs w:val="32"/>
          <w:u w:val="none"/>
          <w:lang w:val="en-US" w:eastAsia="zh-CN" w:bidi="ar"/>
        </w:rPr>
        <w:t>主要包括常住人口数量、定点医药机构数量、村（社区）数量等，</w:t>
      </w:r>
      <w:r>
        <w:rPr>
          <w:rFonts w:hint="eastAsia" w:ascii="仿宋_GB2312" w:hAnsi="Calibri" w:eastAsia="仿宋_GB2312" w:cs="仿宋_GB2312"/>
          <w:color w:val="auto"/>
          <w:kern w:val="2"/>
          <w:sz w:val="32"/>
          <w:szCs w:val="32"/>
          <w:u w:val="none"/>
          <w:lang w:val="en-US" w:eastAsia="zh-CN" w:bidi="ar"/>
        </w:rPr>
        <w:t>根据年度工作重点及需要支持的资金使用方向，由自治区医保局商自治区财政厅</w:t>
      </w:r>
      <w:r>
        <w:rPr>
          <w:rFonts w:hint="eastAsia" w:ascii="仿宋_GB2312" w:eastAsia="仿宋_GB2312" w:cs="仿宋_GB2312"/>
          <w:color w:val="auto"/>
          <w:kern w:val="2"/>
          <w:sz w:val="32"/>
          <w:szCs w:val="32"/>
          <w:u w:val="none"/>
          <w:lang w:val="en-US" w:eastAsia="zh-CN" w:bidi="ar"/>
        </w:rPr>
        <w:t>结合实际</w:t>
      </w:r>
      <w:r>
        <w:rPr>
          <w:rFonts w:hint="eastAsia" w:ascii="仿宋_GB2312" w:hAnsi="Calibri" w:eastAsia="仿宋_GB2312" w:cs="仿宋_GB2312"/>
          <w:color w:val="auto"/>
          <w:kern w:val="2"/>
          <w:sz w:val="32"/>
          <w:szCs w:val="32"/>
          <w:u w:val="none"/>
          <w:lang w:val="en-US" w:eastAsia="zh-CN" w:bidi="ar"/>
        </w:rPr>
        <w:t>确定。</w:t>
      </w:r>
    </w:p>
    <w:p w14:paraId="1C440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highlight w:val="yellow"/>
          <w:u w:val="none"/>
          <w:lang w:val="en-US"/>
        </w:rPr>
      </w:pPr>
      <w:r>
        <w:rPr>
          <w:rFonts w:hint="eastAsia" w:ascii="仿宋_GB2312" w:hAnsi="Calibri" w:eastAsia="仿宋_GB2312" w:cs="仿宋_GB2312"/>
          <w:color w:val="auto"/>
          <w:kern w:val="2"/>
          <w:sz w:val="32"/>
          <w:szCs w:val="32"/>
          <w:u w:val="none"/>
          <w:lang w:val="en-US" w:eastAsia="zh-CN" w:bidi="ar"/>
        </w:rPr>
        <w:t>为提高数据使用的科学性，可根据实际情况适当引入审核调整机制，对基础数据的年度增减幅度设定上下限、对异常或离散数据进行数学处理等。</w:t>
      </w:r>
    </w:p>
    <w:p w14:paraId="2FACE3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b/>
          <w:bCs w:val="0"/>
          <w:color w:val="auto"/>
          <w:kern w:val="2"/>
          <w:sz w:val="32"/>
          <w:szCs w:val="32"/>
          <w:lang w:val="en-US" w:eastAsia="zh-CN" w:bidi="ar"/>
        </w:rPr>
        <w:t>第六条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 xml:space="preserve">补助资金分配要求。 </w:t>
      </w:r>
    </w:p>
    <w:p w14:paraId="7103EB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color w:val="auto"/>
          <w:kern w:val="2"/>
          <w:sz w:val="32"/>
          <w:szCs w:val="32"/>
          <w:lang w:val="en-US" w:eastAsia="zh-CN" w:bidi="ar"/>
        </w:rPr>
        <w:t>　　（一）自治区财政厅会同自治区医保局在收到中央下达财政转移支付的通知后，30日内分配下达补助资金</w:t>
      </w:r>
      <w:r>
        <w:rPr>
          <w:rFonts w:hint="eastAsia" w:ascii="仿宋_GB2312" w:eastAsia="仿宋_GB2312" w:cs="仿宋_GB2312"/>
          <w:color w:val="auto"/>
          <w:kern w:val="2"/>
          <w:sz w:val="32"/>
          <w:szCs w:val="32"/>
          <w:lang w:val="en-US" w:eastAsia="zh-CN" w:bidi="ar"/>
        </w:rPr>
        <w:t>和绩效目标，并抄送财政部广西监管局</w:t>
      </w:r>
      <w:r>
        <w:rPr>
          <w:rFonts w:hint="eastAsia" w:ascii="仿宋_GB2312" w:hAnsi="Calibri" w:eastAsia="仿宋_GB2312" w:cs="仿宋_GB2312"/>
          <w:color w:val="auto"/>
          <w:kern w:val="2"/>
          <w:sz w:val="32"/>
          <w:szCs w:val="32"/>
          <w:lang w:val="en-US" w:eastAsia="zh-CN" w:bidi="ar"/>
        </w:rPr>
        <w:t>。中央提前下达资金分配给自治区本级使用的，应按规定编入自治区医保局下年度部门预算。资金分配方案不需要报自治区人民政府审定的，自治区医保局应在分配下达时限要求10天前将资金分配方案送达自治区财政厅；需要报自治区人民政府审定的，自治区医保局应在分配下达时限要求10天前将资金分配方案联合自治区财政厅报自治区人民政府审定。</w:t>
      </w:r>
    </w:p>
    <w:p w14:paraId="5379C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color w:val="auto"/>
          <w:kern w:val="2"/>
          <w:sz w:val="32"/>
          <w:szCs w:val="32"/>
          <w:lang w:val="en-US" w:eastAsia="zh-CN" w:bidi="ar"/>
        </w:rPr>
        <w:t>（二）市、县（市、区）财政部门收到上级下达转移支付资金的通知后，应在3个工作日内书面告知同级医保部门，要求其在规定时限内提出资金分配方案，并在30日内正式分解下达完毕。</w:t>
      </w:r>
    </w:p>
    <w:p w14:paraId="2DE2D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color w:val="auto"/>
          <w:kern w:val="2"/>
          <w:sz w:val="32"/>
          <w:szCs w:val="32"/>
          <w:lang w:val="en-US" w:eastAsia="zh-CN" w:bidi="ar"/>
        </w:rPr>
        <w:t>（三）市、县（市、区）财政部门在收到转移支付资金时，应核对无误后再下达或拨付。如发现问题，应立即向上级财政部门报告。市、县（市、区）医保部门发现问题，应立即向同级财政部门和上级对口部门反映。各地不得擅自分配处置存疑的转移支付资金。</w:t>
      </w:r>
    </w:p>
    <w:p w14:paraId="56CE4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b/>
          <w:bCs w:val="0"/>
          <w:color w:val="auto"/>
          <w:kern w:val="2"/>
          <w:sz w:val="32"/>
          <w:szCs w:val="32"/>
          <w:lang w:val="en-US" w:eastAsia="zh-CN" w:bidi="ar"/>
        </w:rPr>
        <w:t>第七条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各级医保部门、财政部门按照全面实施预算绩效管理要求对补助资金实施全过程绩效管理，按照下达的绩效目标组织预算执行，做好绩效运行监控和绩效评价，并加强绩效评价结果应用。</w:t>
      </w:r>
    </w:p>
    <w:p w14:paraId="37A97B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color w:val="auto"/>
          <w:kern w:val="2"/>
          <w:sz w:val="32"/>
          <w:szCs w:val="32"/>
          <w:lang w:val="en-US" w:eastAsia="zh-CN" w:bidi="ar"/>
        </w:rPr>
        <w:t xml:space="preserve">    绩效</w:t>
      </w:r>
      <w:r>
        <w:rPr>
          <w:rFonts w:hint="eastAsia" w:ascii="仿宋_GB2312" w:eastAsia="仿宋_GB2312" w:cs="仿宋_GB2312"/>
          <w:color w:val="auto"/>
          <w:kern w:val="2"/>
          <w:sz w:val="32"/>
          <w:szCs w:val="32"/>
          <w:lang w:val="en-US" w:eastAsia="zh-CN" w:bidi="ar"/>
        </w:rPr>
        <w:t>自评</w:t>
      </w:r>
      <w:r>
        <w:rPr>
          <w:rFonts w:hint="eastAsia" w:ascii="仿宋_GB2312" w:hAnsi="Calibri" w:eastAsia="仿宋_GB2312" w:cs="仿宋_GB2312"/>
          <w:color w:val="auto"/>
          <w:kern w:val="2"/>
          <w:sz w:val="32"/>
          <w:szCs w:val="32"/>
          <w:lang w:val="en-US" w:eastAsia="zh-CN" w:bidi="ar"/>
        </w:rPr>
        <w:t>工作原则上每年开展一次，</w:t>
      </w:r>
      <w:r>
        <w:rPr>
          <w:rFonts w:hint="eastAsia" w:ascii="仿宋_GB2312" w:eastAsia="仿宋_GB2312" w:cs="仿宋_GB2312"/>
          <w:color w:val="auto"/>
          <w:kern w:val="2"/>
          <w:sz w:val="32"/>
          <w:szCs w:val="32"/>
          <w:lang w:val="en-US" w:eastAsia="zh-CN" w:bidi="ar"/>
        </w:rPr>
        <w:t>县级医保部门会同财政部门对本地区补助资金开展绩效自评，按要求向市级主管部门报送绩效自评材料，</w:t>
      </w:r>
      <w:r>
        <w:rPr>
          <w:rFonts w:hint="eastAsia" w:ascii="仿宋_GB2312" w:hAnsi="Calibri" w:eastAsia="仿宋_GB2312" w:cs="仿宋_GB2312"/>
          <w:color w:val="auto"/>
          <w:kern w:val="2"/>
          <w:sz w:val="32"/>
          <w:szCs w:val="32"/>
          <w:lang w:val="en-US" w:eastAsia="zh-CN" w:bidi="ar"/>
        </w:rPr>
        <w:t>各设区市医保部门会同财政部门</w:t>
      </w:r>
      <w:r>
        <w:rPr>
          <w:rFonts w:hint="eastAsia" w:ascii="仿宋_GB2312" w:eastAsia="仿宋_GB2312" w:cs="仿宋_GB2312"/>
          <w:color w:val="auto"/>
          <w:kern w:val="2"/>
          <w:sz w:val="32"/>
          <w:szCs w:val="32"/>
          <w:lang w:val="en-US" w:eastAsia="zh-CN" w:bidi="ar"/>
        </w:rPr>
        <w:t>审核汇总后，</w:t>
      </w:r>
      <w:r>
        <w:rPr>
          <w:rFonts w:hint="eastAsia" w:ascii="仿宋_GB2312" w:hAnsi="Calibri" w:eastAsia="仿宋_GB2312" w:cs="仿宋_GB2312"/>
          <w:color w:val="auto"/>
          <w:kern w:val="2"/>
          <w:sz w:val="32"/>
          <w:szCs w:val="32"/>
          <w:lang w:val="en-US" w:eastAsia="zh-CN" w:bidi="ar"/>
        </w:rPr>
        <w:t>于</w:t>
      </w:r>
      <w:r>
        <w:rPr>
          <w:rFonts w:hint="eastAsia" w:ascii="仿宋_GB2312" w:eastAsia="仿宋_GB2312" w:cs="仿宋_GB2312"/>
          <w:color w:val="auto"/>
          <w:kern w:val="2"/>
          <w:sz w:val="32"/>
          <w:szCs w:val="32"/>
          <w:lang w:val="en-US" w:eastAsia="zh-CN" w:bidi="ar"/>
        </w:rPr>
        <w:t>规定时间内</w:t>
      </w:r>
      <w:r>
        <w:rPr>
          <w:rFonts w:hint="eastAsia" w:ascii="仿宋_GB2312" w:hAnsi="Calibri" w:eastAsia="仿宋_GB2312" w:cs="仿宋_GB2312"/>
          <w:color w:val="auto"/>
          <w:kern w:val="2"/>
          <w:sz w:val="32"/>
          <w:szCs w:val="32"/>
          <w:lang w:val="en-US" w:eastAsia="zh-CN" w:bidi="ar"/>
        </w:rPr>
        <w:t>将本统筹区上年</w:t>
      </w:r>
      <w:r>
        <w:rPr>
          <w:rFonts w:hint="eastAsia" w:ascii="仿宋_GB2312" w:eastAsia="仿宋_GB2312" w:cs="仿宋_GB2312"/>
          <w:color w:val="auto"/>
          <w:kern w:val="2"/>
          <w:sz w:val="32"/>
          <w:szCs w:val="32"/>
          <w:lang w:val="en-US" w:eastAsia="zh-CN" w:bidi="ar"/>
        </w:rPr>
        <w:t>度</w:t>
      </w:r>
      <w:r>
        <w:rPr>
          <w:rFonts w:hint="eastAsia" w:ascii="仿宋_GB2312" w:hAnsi="Calibri" w:eastAsia="仿宋_GB2312" w:cs="仿宋_GB2312"/>
          <w:color w:val="auto"/>
          <w:kern w:val="2"/>
          <w:sz w:val="32"/>
          <w:szCs w:val="32"/>
          <w:lang w:val="en-US" w:eastAsia="zh-CN" w:bidi="ar"/>
        </w:rPr>
        <w:t>补助资金绩效自评</w:t>
      </w:r>
      <w:r>
        <w:rPr>
          <w:rFonts w:hint="eastAsia" w:ascii="仿宋_GB2312" w:eastAsia="仿宋_GB2312" w:cs="仿宋_GB2312"/>
          <w:color w:val="auto"/>
          <w:kern w:val="2"/>
          <w:sz w:val="32"/>
          <w:szCs w:val="32"/>
          <w:lang w:val="en-US" w:eastAsia="zh-CN" w:bidi="ar"/>
        </w:rPr>
        <w:t>材料</w:t>
      </w:r>
      <w:r>
        <w:rPr>
          <w:rFonts w:hint="eastAsia" w:ascii="仿宋_GB2312" w:hAnsi="Calibri" w:eastAsia="仿宋_GB2312" w:cs="仿宋_GB2312"/>
          <w:color w:val="auto"/>
          <w:kern w:val="2"/>
          <w:sz w:val="32"/>
          <w:szCs w:val="32"/>
          <w:lang w:val="en-US" w:eastAsia="zh-CN" w:bidi="ar"/>
        </w:rPr>
        <w:t>报自治区医保局和自治区财政厅。自治区医保局、财政厅根据需要对各地实施补助资金绩效管理情况进行抽查，并对各市、县（市、区）项目开展情况和资金使用绩效自评工作予以复核</w:t>
      </w:r>
      <w:r>
        <w:rPr>
          <w:rFonts w:hint="eastAsia" w:ascii="仿宋_GB2312" w:eastAsia="仿宋_GB2312" w:cs="仿宋_GB2312"/>
          <w:color w:val="auto"/>
          <w:kern w:val="2"/>
          <w:sz w:val="32"/>
          <w:szCs w:val="32"/>
          <w:lang w:val="en-US" w:eastAsia="zh-CN" w:bidi="ar"/>
        </w:rPr>
        <w:t>，</w:t>
      </w:r>
      <w:r>
        <w:rPr>
          <w:rFonts w:hint="eastAsia" w:ascii="仿宋_GB2312" w:hAnsi="Calibri" w:eastAsia="仿宋_GB2312" w:cs="仿宋_GB2312"/>
          <w:color w:val="auto"/>
          <w:kern w:val="2"/>
          <w:sz w:val="32"/>
          <w:szCs w:val="32"/>
          <w:lang w:val="en-US" w:eastAsia="zh-CN" w:bidi="ar"/>
        </w:rPr>
        <w:t>适时组织开展重点绩效评价。必要时委托第三方中介机构开展。</w:t>
      </w:r>
    </w:p>
    <w:p w14:paraId="4C1678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color w:val="auto"/>
          <w:kern w:val="2"/>
          <w:sz w:val="32"/>
          <w:szCs w:val="32"/>
          <w:lang w:val="en-US" w:eastAsia="zh-CN" w:bidi="ar"/>
        </w:rPr>
        <w:t xml:space="preserve">    绩效评价和复核结果作为</w:t>
      </w:r>
      <w:r>
        <w:rPr>
          <w:rFonts w:hint="eastAsia" w:ascii="仿宋_GB2312" w:eastAsia="仿宋_GB2312" w:cs="仿宋_GB2312"/>
          <w:color w:val="auto"/>
          <w:kern w:val="2"/>
          <w:sz w:val="32"/>
          <w:szCs w:val="32"/>
          <w:lang w:val="en-US" w:eastAsia="zh-CN" w:bidi="ar"/>
        </w:rPr>
        <w:t>完善政策和</w:t>
      </w:r>
      <w:r>
        <w:rPr>
          <w:rFonts w:hint="eastAsia" w:ascii="仿宋_GB2312" w:hAnsi="Calibri" w:eastAsia="仿宋_GB2312" w:cs="仿宋_GB2312"/>
          <w:color w:val="auto"/>
          <w:kern w:val="2"/>
          <w:sz w:val="32"/>
          <w:szCs w:val="32"/>
          <w:lang w:val="en-US" w:eastAsia="zh-CN" w:bidi="ar"/>
        </w:rPr>
        <w:t>以后年度预算资金分配的重要参考依据。市、县（市、区）医保部门、财政部门要做好绩效管理信息公开工作。</w:t>
      </w:r>
    </w:p>
    <w:p w14:paraId="16076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b/>
          <w:bCs w:val="0"/>
          <w:color w:val="auto"/>
          <w:kern w:val="2"/>
          <w:sz w:val="32"/>
          <w:szCs w:val="32"/>
          <w:lang w:val="en-US" w:eastAsia="zh-CN" w:bidi="ar"/>
        </w:rPr>
        <w:t>第八条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市、县（市、区）财政部门要积极推进政府购买服务，市、县（市、区）医疗保障部门要会同财政部门做好项目的成本测算工作，合理确定购买服务内容、服务标准和采购预算等需求。</w:t>
      </w:r>
    </w:p>
    <w:p w14:paraId="5511D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left="0" w:right="0" w:firstLine="643"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b/>
          <w:bCs w:val="0"/>
          <w:color w:val="auto"/>
          <w:kern w:val="2"/>
          <w:sz w:val="32"/>
          <w:szCs w:val="32"/>
          <w:lang w:val="en-US" w:eastAsia="zh-CN" w:bidi="ar"/>
        </w:rPr>
        <w:t>第九条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市、县（市、区）财政部门、医保部门要按照预算管理和国库管理有关规定，强化预算执行管理，提高资金使用效益。补助资金原则上应在当年执行完毕，年度未支出的补助资金应按照财政部、自治区结转结余资金管理的有关规定办理。</w:t>
      </w:r>
      <w:r>
        <w:rPr>
          <w:rFonts w:hint="eastAsia" w:ascii="仿宋_GB2312" w:hAnsi="Calibri" w:eastAsia="仿宋_GB2312" w:cs="仿宋_GB2312"/>
          <w:color w:val="auto"/>
          <w:kern w:val="2"/>
          <w:sz w:val="32"/>
          <w:szCs w:val="32"/>
          <w:u w:val="none"/>
          <w:lang w:val="en-US" w:eastAsia="zh-CN" w:bidi="ar"/>
        </w:rPr>
        <w:t>下一年度仍有支出需求的，必须在预算一体化系统进行指标结转，不得收回预算后再通过本级预算另行安排，确保项目可追踪。</w:t>
      </w:r>
    </w:p>
    <w:p w14:paraId="69CBD0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left="0" w:right="0" w:firstLine="640"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color w:val="auto"/>
          <w:kern w:val="2"/>
          <w:sz w:val="32"/>
          <w:szCs w:val="32"/>
          <w:lang w:val="en-US" w:eastAsia="zh-CN" w:bidi="ar"/>
        </w:rPr>
        <w:t>补助资金的支付按照国库集中支付制度有关规定执行，补助资金在使用过程中涉及政府采购的，应当按照政府采购法律法规和有关制度规定执行。</w:t>
      </w:r>
    </w:p>
    <w:p w14:paraId="6C8143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6" w:lineRule="exact"/>
        <w:ind w:left="0" w:right="0" w:firstLine="640"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color w:val="auto"/>
          <w:kern w:val="2"/>
          <w:sz w:val="32"/>
          <w:szCs w:val="32"/>
          <w:lang w:val="en-US" w:eastAsia="zh-CN" w:bidi="ar"/>
        </w:rPr>
        <w:t>市、县（市、区）医保部门必须加强补助资金的使用和管理，严格执行财务规章制度，根据年度工作计划，结合本地实际安排使用资金，确保保质保量完成任务。</w:t>
      </w:r>
    </w:p>
    <w:p w14:paraId="6506B4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b/>
          <w:bCs w:val="0"/>
          <w:color w:val="auto"/>
          <w:kern w:val="2"/>
          <w:sz w:val="32"/>
          <w:szCs w:val="32"/>
          <w:lang w:val="en-US" w:eastAsia="zh-CN" w:bidi="ar"/>
        </w:rPr>
        <w:t>第十条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补助资金依法接受财政、审计、监察等部门监督，必要时可以委托专业机构或具有资质的社会机构开展补助资金监督检查工作。</w:t>
      </w:r>
    </w:p>
    <w:p w14:paraId="4A4D2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color w:val="auto"/>
          <w:kern w:val="2"/>
          <w:sz w:val="32"/>
          <w:szCs w:val="32"/>
          <w:lang w:val="en-US" w:eastAsia="zh-CN" w:bidi="ar"/>
        </w:rPr>
        <w:t>市、县（市、区）医保、财政部门要加强对资金使用情况的监督管理，及时发现和纠正有关问题。按照“谁申请、谁管理，谁使用、谁负责”的原则，落实项目管理和资金使用主体责任，确保项目实施规范有序、资金使用安全有效。切实防范和化解财政风险，强化流程控制、依法合规分配和使用资金，实行不相容岗位（职责）分离控制。</w:t>
      </w:r>
    </w:p>
    <w:p w14:paraId="4BDBE2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b/>
          <w:bCs w:val="0"/>
          <w:color w:val="auto"/>
          <w:kern w:val="2"/>
          <w:sz w:val="32"/>
          <w:szCs w:val="32"/>
          <w:lang w:val="en-US" w:eastAsia="zh-CN" w:bidi="ar"/>
        </w:rPr>
        <w:t>第十一条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各级医保部门、财政部门在补助资金分配、审核工作中，工作人员存在违反规定分配资金，向不符合条件的单位（或项目）分配资金或者擅自超出规定的范围或者标准分配或使用补助资金，以及其他滥用职权、玩忽职守、徇私舞弊等违法违规行为的，依法追究相应责任。</w:t>
      </w:r>
    </w:p>
    <w:p w14:paraId="1E898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eastAsia="仿宋_GB2312" w:cs="仿宋_GB2312"/>
          <w:color w:val="auto"/>
          <w:sz w:val="32"/>
          <w:szCs w:val="32"/>
          <w:lang w:val="en-US"/>
        </w:rPr>
      </w:pPr>
      <w:r>
        <w:rPr>
          <w:rFonts w:hint="eastAsia" w:ascii="仿宋_GB2312" w:hAnsi="Calibri" w:eastAsia="仿宋_GB2312" w:cs="仿宋_GB2312"/>
          <w:b/>
          <w:bCs w:val="0"/>
          <w:color w:val="auto"/>
          <w:kern w:val="2"/>
          <w:sz w:val="32"/>
          <w:szCs w:val="32"/>
          <w:lang w:val="en-US" w:eastAsia="zh-CN" w:bidi="ar"/>
        </w:rPr>
        <w:t>第十二条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lang w:val="en-US" w:eastAsia="zh-CN" w:bidi="ar"/>
        </w:rPr>
        <w:t>本实施细则由自治区医保局、自治区财政厅按职能解释。</w:t>
      </w:r>
    </w:p>
    <w:p w14:paraId="28D1D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Calibri" w:eastAsia="仿宋_GB2312" w:cs="仿宋_GB2312"/>
          <w:color w:val="auto"/>
          <w:kern w:val="2"/>
          <w:sz w:val="32"/>
          <w:szCs w:val="32"/>
          <w:u w:val="none"/>
          <w:lang w:val="en-US" w:eastAsia="zh-CN" w:bidi="ar"/>
        </w:rPr>
      </w:pPr>
      <w:r>
        <w:rPr>
          <w:rFonts w:hint="eastAsia" w:ascii="仿宋_GB2312" w:hAnsi="Calibri" w:eastAsia="仿宋_GB2312" w:cs="仿宋_GB2312"/>
          <w:b/>
          <w:bCs w:val="0"/>
          <w:color w:val="auto"/>
          <w:kern w:val="2"/>
          <w:sz w:val="32"/>
          <w:szCs w:val="32"/>
          <w:lang w:val="en-US" w:eastAsia="zh-CN" w:bidi="ar"/>
        </w:rPr>
        <w:t>第十三条</w:t>
      </w:r>
      <w:r>
        <w:rPr>
          <w:rFonts w:hint="eastAsia" w:ascii="仿宋_GB2312" w:eastAsia="仿宋_GB2312" w:cs="仿宋_GB2312"/>
          <w:b/>
          <w:bCs w:val="0"/>
          <w:color w:val="auto"/>
          <w:kern w:val="2"/>
          <w:sz w:val="32"/>
          <w:szCs w:val="32"/>
          <w:lang w:val="en-US" w:eastAsia="zh-CN" w:bidi="ar"/>
        </w:rPr>
        <w:t xml:space="preserve">  </w:t>
      </w:r>
      <w:r>
        <w:rPr>
          <w:rFonts w:hint="eastAsia" w:ascii="仿宋_GB2312" w:hAnsi="Calibri" w:eastAsia="仿宋_GB2312" w:cs="仿宋_GB2312"/>
          <w:color w:val="auto"/>
          <w:kern w:val="2"/>
          <w:sz w:val="32"/>
          <w:szCs w:val="32"/>
          <w:u w:val="none"/>
          <w:lang w:val="en-US" w:eastAsia="zh-CN" w:bidi="ar"/>
        </w:rPr>
        <w:t>《广西壮族自治区医疗保障局 广西壮族自治区财政厅关于印发〈广西壮族自治区医疗保障服务能力建设中央财政补助资金管理实施细则〉的通知》（桂医保发〔2022〕39号）同时废止。</w:t>
      </w:r>
    </w:p>
    <w:p w14:paraId="65F060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auto"/>
          <w:kern w:val="2"/>
          <w:sz w:val="32"/>
          <w:szCs w:val="32"/>
          <w:u w:val="none"/>
          <w:lang w:val="en-US" w:eastAsia="zh-CN" w:bidi="ar"/>
        </w:rPr>
      </w:pPr>
    </w:p>
    <w:p w14:paraId="32A613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7016A"/>
    <w:rsid w:val="088F107E"/>
    <w:rsid w:val="1A577055"/>
    <w:rsid w:val="208B0D99"/>
    <w:rsid w:val="27D711E9"/>
    <w:rsid w:val="2EF20691"/>
    <w:rsid w:val="31FD013D"/>
    <w:rsid w:val="3F07016A"/>
    <w:rsid w:val="5077108F"/>
    <w:rsid w:val="6D0C75A1"/>
    <w:rsid w:val="7ABB6566"/>
    <w:rsid w:val="7F34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宋体" w:cs="Times New Roman"/>
      <w:b/>
      <w:kern w:val="44"/>
      <w:sz w:val="44"/>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7">
    <w:name w:val="1"/>
    <w:basedOn w:val="1"/>
    <w:next w:val="1"/>
    <w:qFormat/>
    <w:uiPriority w:val="0"/>
    <w:pPr>
      <w:spacing w:line="440" w:lineRule="exact"/>
      <w:ind w:firstLine="480" w:firstLineChars="200"/>
    </w:pPr>
    <w:rPr>
      <w:rFonts w:hint="eastAsia" w:ascii="宋体" w:hAnsi="宋体" w:eastAsia="宋体" w:cs="宋体"/>
      <w:kern w:val="0"/>
      <w:sz w:val="24"/>
    </w:rPr>
  </w:style>
  <w:style w:type="paragraph" w:customStyle="1" w:styleId="8">
    <w:name w:val="样式1"/>
    <w:basedOn w:val="4"/>
    <w:qFormat/>
    <w:uiPriority w:val="0"/>
    <w:pPr>
      <w:spacing w:before="100" w:beforeLines="100" w:after="100" w:afterLines="100" w:line="440" w:lineRule="exact"/>
    </w:pPr>
    <w:rPr>
      <w:rFonts w:hint="eastAsia" w:ascii="黑体" w:hAnsi="黑体" w:eastAsia="黑体" w:cs="黑体"/>
      <w:b w:val="0"/>
      <w:sz w:val="28"/>
      <w:szCs w:val="28"/>
    </w:rPr>
  </w:style>
  <w:style w:type="paragraph" w:customStyle="1" w:styleId="9">
    <w:name w:val="样式2"/>
    <w:basedOn w:val="1"/>
    <w:qFormat/>
    <w:uiPriority w:val="0"/>
    <w:pPr>
      <w:spacing w:before="50" w:beforeLines="50" w:after="50" w:afterLines="50" w:line="440" w:lineRule="exact"/>
      <w:outlineLvl w:val="1"/>
    </w:pPr>
    <w:rPr>
      <w:rFonts w:hint="eastAsia" w:ascii="黑体" w:hAnsi="黑体" w:eastAsia="黑体" w:cs="黑体"/>
      <w:sz w:val="24"/>
    </w:rPr>
  </w:style>
  <w:style w:type="paragraph" w:customStyle="1" w:styleId="10">
    <w:name w:val="正"/>
    <w:basedOn w:val="1"/>
    <w:qFormat/>
    <w:uiPriority w:val="0"/>
    <w:pPr>
      <w:adjustRightInd w:val="0"/>
      <w:snapToGrid w:val="0"/>
      <w:spacing w:line="440" w:lineRule="exact"/>
      <w:ind w:firstLine="480" w:firstLineChars="200"/>
    </w:pPr>
    <w:rPr>
      <w:rFonts w:hint="eastAsia" w:ascii="宋体" w:hAnsi="宋体" w:eastAsia="宋体"/>
      <w:color w:val="000000" w:themeColor="text1"/>
      <w:sz w:val="24"/>
      <w:szCs w:val="24"/>
      <w14:textFill>
        <w14:solidFill>
          <w14:schemeClr w14:val="tx1"/>
        </w14:solidFill>
      </w14:textFill>
    </w:rPr>
  </w:style>
  <w:style w:type="paragraph" w:customStyle="1" w:styleId="11">
    <w:name w:val="标1"/>
    <w:basedOn w:val="1"/>
    <w:qFormat/>
    <w:uiPriority w:val="0"/>
    <w:pPr>
      <w:adjustRightInd w:val="0"/>
      <w:snapToGrid w:val="0"/>
      <w:spacing w:before="50" w:beforeLines="50" w:after="50" w:afterLines="50" w:line="440" w:lineRule="exact"/>
      <w:ind w:firstLine="560" w:firstLineChars="200"/>
    </w:pPr>
    <w:rPr>
      <w:rFonts w:hint="eastAsia" w:ascii="Times New Roman" w:hAnsi="Times New Roman" w:eastAsia="黑体" w:cs="黑体"/>
      <w:color w:val="000000" w:themeColor="text1"/>
      <w:sz w:val="28"/>
      <w:szCs w:val="28"/>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2025-05-17T06:52:00Z</dcterms:created>
  <dc:creator>Jeuin</dc:creator>
  <cp:lastModifiedBy>Jeuin</cp:lastModifiedBy>
  <dcterms:modified xsi:type="dcterms:W3CDTF">2025-05-17T06:52:47Z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55A4E81F70A04811BBA3D74F2872E98B_11</vt:lpwstr>
  </property>
  <property fmtid="{D5CDD505-2E9C-101B-9397-08002B2CF9AE}" pid="4" name="KSOTemplateDocerSaveRecord">
    <vt:lpwstr>eyJoZGlkIjoiODViY2JkMjU3NGYzZTEwMzZmMGFkZWViYmNkYWU3NDIiLCJ1c2VySWQiOiI2NDIyMTMyNjUifQ==</vt:lpwstr>
  </property>
</Properties>
</file>