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8B45E">
      <w:pPr>
        <w:adjustRightInd w:val="0"/>
        <w:snapToGrid w:val="0"/>
        <w:spacing w:line="660" w:lineRule="exact"/>
        <w:rPr>
          <w:rFonts w:hint="eastAsia" w:ascii="CG Times" w:hAnsi="CG Times" w:eastAsia="方正仿宋简体"/>
          <w:color w:val="000000"/>
          <w:spacing w:val="10"/>
        </w:rPr>
      </w:pPr>
      <w:bookmarkStart w:id="0" w:name="_Hlk187246151"/>
    </w:p>
    <w:p w14:paraId="45F28856">
      <w:pPr>
        <w:adjustRightInd w:val="0"/>
        <w:snapToGrid w:val="0"/>
        <w:spacing w:line="660" w:lineRule="exact"/>
        <w:rPr>
          <w:rFonts w:hint="eastAsia" w:ascii="CG Times" w:hAnsi="CG Times" w:eastAsia="方正仿宋简体"/>
          <w:color w:val="000000"/>
          <w:spacing w:val="10"/>
        </w:rPr>
      </w:pPr>
    </w:p>
    <w:tbl>
      <w:tblPr>
        <w:tblStyle w:val="12"/>
        <w:tblW w:w="9061" w:type="dxa"/>
        <w:jc w:val="center"/>
        <w:tblLayout w:type="autofit"/>
        <w:tblCellMar>
          <w:top w:w="0" w:type="dxa"/>
          <w:left w:w="108" w:type="dxa"/>
          <w:bottom w:w="0" w:type="dxa"/>
          <w:right w:w="108" w:type="dxa"/>
        </w:tblCellMar>
      </w:tblPr>
      <w:tblGrid>
        <w:gridCol w:w="7226"/>
        <w:gridCol w:w="1835"/>
      </w:tblGrid>
      <w:tr w14:paraId="4D8C4EAF">
        <w:tblPrEx>
          <w:tblCellMar>
            <w:top w:w="0" w:type="dxa"/>
            <w:left w:w="108" w:type="dxa"/>
            <w:bottom w:w="0" w:type="dxa"/>
            <w:right w:w="108" w:type="dxa"/>
          </w:tblCellMar>
        </w:tblPrEx>
        <w:trPr>
          <w:jc w:val="center"/>
        </w:trPr>
        <w:tc>
          <w:tcPr>
            <w:tcW w:w="7226" w:type="dxa"/>
            <w:noWrap w:val="0"/>
            <w:tcMar>
              <w:left w:w="0" w:type="dxa"/>
              <w:right w:w="0" w:type="dxa"/>
            </w:tcMar>
            <w:vAlign w:val="center"/>
          </w:tcPr>
          <w:p w14:paraId="1077B07C">
            <w:pPr>
              <w:spacing w:line="900" w:lineRule="exact"/>
              <w:ind w:right="42" w:rightChars="20"/>
              <w:jc w:val="distribute"/>
              <w:rPr>
                <w:rFonts w:hint="eastAsia" w:ascii="方正小标宋简体" w:eastAsia="方正小标宋简体"/>
                <w:color w:val="FF0000"/>
                <w:w w:val="92"/>
                <w:sz w:val="56"/>
                <w:szCs w:val="56"/>
              </w:rPr>
            </w:pPr>
            <w:r>
              <w:rPr>
                <w:rFonts w:hint="eastAsia" w:ascii="方正小标宋简体" w:eastAsia="方正小标宋简体"/>
                <w:color w:val="FF0000"/>
                <w:w w:val="92"/>
                <w:sz w:val="56"/>
                <w:szCs w:val="56"/>
              </w:rPr>
              <w:t>广西壮族自治区科学技术厅</w:t>
            </w:r>
          </w:p>
        </w:tc>
        <w:tc>
          <w:tcPr>
            <w:tcW w:w="1835" w:type="dxa"/>
            <w:vMerge w:val="restart"/>
            <w:noWrap w:val="0"/>
            <w:tcMar>
              <w:left w:w="0" w:type="dxa"/>
              <w:right w:w="0" w:type="dxa"/>
            </w:tcMar>
            <w:vAlign w:val="center"/>
          </w:tcPr>
          <w:p w14:paraId="105AE5E9">
            <w:pPr>
              <w:jc w:val="right"/>
              <w:rPr>
                <w:rFonts w:hint="eastAsia" w:ascii="方正小标宋简体" w:eastAsia="方正小标宋简体"/>
                <w:color w:val="FF0000"/>
                <w:sz w:val="86"/>
                <w:szCs w:val="86"/>
              </w:rPr>
            </w:pPr>
            <w:r>
              <w:rPr>
                <w:rFonts w:hint="eastAsia" w:ascii="方正小标宋简体" w:eastAsia="方正小标宋简体"/>
                <w:color w:val="FF0000"/>
                <w:sz w:val="86"/>
                <w:szCs w:val="86"/>
              </w:rPr>
              <w:t>文件</w:t>
            </w:r>
          </w:p>
        </w:tc>
      </w:tr>
      <w:tr w14:paraId="277D7CE0">
        <w:tblPrEx>
          <w:tblCellMar>
            <w:top w:w="0" w:type="dxa"/>
            <w:left w:w="108" w:type="dxa"/>
            <w:bottom w:w="0" w:type="dxa"/>
            <w:right w:w="108" w:type="dxa"/>
          </w:tblCellMar>
        </w:tblPrEx>
        <w:trPr>
          <w:jc w:val="center"/>
        </w:trPr>
        <w:tc>
          <w:tcPr>
            <w:tcW w:w="7226" w:type="dxa"/>
            <w:noWrap w:val="0"/>
            <w:tcMar>
              <w:left w:w="0" w:type="dxa"/>
              <w:right w:w="0" w:type="dxa"/>
            </w:tcMar>
            <w:vAlign w:val="center"/>
          </w:tcPr>
          <w:p w14:paraId="3706E838">
            <w:pPr>
              <w:spacing w:line="900" w:lineRule="exact"/>
              <w:ind w:right="42" w:rightChars="20"/>
              <w:jc w:val="distribute"/>
              <w:rPr>
                <w:rFonts w:hint="eastAsia" w:ascii="方正小标宋简体" w:eastAsia="方正小标宋简体"/>
                <w:color w:val="FF0000"/>
                <w:w w:val="92"/>
                <w:sz w:val="56"/>
                <w:szCs w:val="56"/>
              </w:rPr>
            </w:pPr>
            <w:r>
              <w:rPr>
                <w:rFonts w:hint="eastAsia" w:ascii="方正小标宋简体" w:eastAsia="方正小标宋简体"/>
                <w:color w:val="FF0000"/>
                <w:w w:val="92"/>
                <w:sz w:val="56"/>
                <w:szCs w:val="56"/>
              </w:rPr>
              <w:t>广西壮族自治区工业和信息化厅</w:t>
            </w:r>
          </w:p>
        </w:tc>
        <w:tc>
          <w:tcPr>
            <w:tcW w:w="1835" w:type="dxa"/>
            <w:vMerge w:val="continue"/>
            <w:noWrap w:val="0"/>
            <w:tcMar>
              <w:left w:w="0" w:type="dxa"/>
              <w:right w:w="0" w:type="dxa"/>
            </w:tcMar>
            <w:vAlign w:val="center"/>
          </w:tcPr>
          <w:p w14:paraId="3BBAC3BC">
            <w:pPr>
              <w:jc w:val="center"/>
              <w:rPr>
                <w:rFonts w:hint="eastAsia" w:ascii="方正小标宋简体" w:eastAsia="方正小标宋简体"/>
                <w:color w:val="FF0000"/>
                <w:sz w:val="86"/>
                <w:szCs w:val="86"/>
              </w:rPr>
            </w:pPr>
          </w:p>
        </w:tc>
      </w:tr>
      <w:tr w14:paraId="342914F4">
        <w:tblPrEx>
          <w:tblCellMar>
            <w:top w:w="0" w:type="dxa"/>
            <w:left w:w="108" w:type="dxa"/>
            <w:bottom w:w="0" w:type="dxa"/>
            <w:right w:w="108" w:type="dxa"/>
          </w:tblCellMar>
        </w:tblPrEx>
        <w:trPr>
          <w:jc w:val="center"/>
        </w:trPr>
        <w:tc>
          <w:tcPr>
            <w:tcW w:w="7226" w:type="dxa"/>
            <w:noWrap w:val="0"/>
            <w:tcMar>
              <w:left w:w="0" w:type="dxa"/>
              <w:right w:w="0" w:type="dxa"/>
            </w:tcMar>
            <w:vAlign w:val="center"/>
          </w:tcPr>
          <w:p w14:paraId="78B5182F">
            <w:pPr>
              <w:spacing w:line="900" w:lineRule="exact"/>
              <w:ind w:right="42" w:rightChars="20"/>
              <w:jc w:val="distribute"/>
              <w:rPr>
                <w:rFonts w:hint="eastAsia" w:ascii="方正小标宋简体" w:eastAsia="方正小标宋简体"/>
                <w:color w:val="FF0000"/>
                <w:w w:val="92"/>
                <w:sz w:val="56"/>
                <w:szCs w:val="56"/>
              </w:rPr>
            </w:pPr>
            <w:r>
              <w:rPr>
                <w:rFonts w:hint="eastAsia" w:ascii="方正小标宋简体" w:eastAsia="方正小标宋简体"/>
                <w:color w:val="FF0000"/>
                <w:w w:val="92"/>
                <w:sz w:val="56"/>
                <w:szCs w:val="56"/>
              </w:rPr>
              <w:t>广西壮族自治区财政厅</w:t>
            </w:r>
          </w:p>
        </w:tc>
        <w:tc>
          <w:tcPr>
            <w:tcW w:w="1835" w:type="dxa"/>
            <w:vMerge w:val="continue"/>
            <w:noWrap w:val="0"/>
            <w:tcMar>
              <w:left w:w="0" w:type="dxa"/>
              <w:right w:w="0" w:type="dxa"/>
            </w:tcMar>
            <w:vAlign w:val="center"/>
          </w:tcPr>
          <w:p w14:paraId="02266F4C">
            <w:pPr>
              <w:jc w:val="center"/>
              <w:rPr>
                <w:rFonts w:hint="eastAsia" w:ascii="方正小标宋简体" w:eastAsia="方正小标宋简体"/>
                <w:color w:val="FF0000"/>
                <w:sz w:val="86"/>
                <w:szCs w:val="86"/>
              </w:rPr>
            </w:pPr>
          </w:p>
        </w:tc>
      </w:tr>
    </w:tbl>
    <w:p w14:paraId="7BA7314D">
      <w:pPr>
        <w:adjustRightInd w:val="0"/>
        <w:snapToGrid w:val="0"/>
        <w:spacing w:line="400" w:lineRule="exact"/>
        <w:jc w:val="center"/>
        <w:rPr>
          <w:rFonts w:hint="eastAsia" w:ascii="方正小标宋_GBK" w:hAnsi="CG Times" w:eastAsia="方正小标宋_GBK"/>
          <w:snapToGrid w:val="0"/>
          <w:color w:val="000000"/>
          <w:spacing w:val="-10"/>
          <w:kern w:val="0"/>
          <w:sz w:val="92"/>
          <w:szCs w:val="92"/>
        </w:rPr>
      </w:pPr>
    </w:p>
    <w:p w14:paraId="4B6AD362">
      <w:pPr>
        <w:spacing w:line="400" w:lineRule="exact"/>
        <w:jc w:val="center"/>
        <w:rPr>
          <w:rFonts w:eastAsia="仿宋_GB2312"/>
          <w:color w:val="000000"/>
          <w:sz w:val="32"/>
          <w:szCs w:val="32"/>
        </w:rPr>
      </w:pPr>
    </w:p>
    <w:p w14:paraId="5406EF5E">
      <w:pPr>
        <w:jc w:val="center"/>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桂科规字〔2025〕</w:t>
      </w:r>
      <w:r>
        <w:rPr>
          <w:rFonts w:hint="eastAsia" w:ascii="Times New Roman" w:hAnsi="Times New Roman" w:eastAsia="仿宋_GB2312" w:cs="Times New Roman"/>
          <w:bCs/>
          <w:snapToGrid w:val="0"/>
          <w:kern w:val="0"/>
          <w:sz w:val="32"/>
          <w:szCs w:val="32"/>
          <w:lang w:val="en-US" w:eastAsia="zh-CN"/>
        </w:rPr>
        <w:t>4</w:t>
      </w:r>
      <w:r>
        <w:rPr>
          <w:rFonts w:hint="default" w:ascii="Times New Roman" w:hAnsi="Times New Roman" w:eastAsia="仿宋_GB2312" w:cs="Times New Roman"/>
          <w:bCs/>
          <w:snapToGrid w:val="0"/>
          <w:kern w:val="0"/>
          <w:sz w:val="32"/>
          <w:szCs w:val="32"/>
        </w:rPr>
        <w:t>号</w:t>
      </w:r>
    </w:p>
    <w:p w14:paraId="54584821">
      <w:pPr>
        <w:adjustRightInd w:val="0"/>
        <w:snapToGrid w:val="0"/>
        <w:spacing w:line="32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82550</wp:posOffset>
                </wp:positionV>
                <wp:extent cx="5760085" cy="0"/>
                <wp:effectExtent l="0" t="19050" r="635" b="26670"/>
                <wp:wrapNone/>
                <wp:docPr id="1" name="直线 22"/>
                <wp:cNvGraphicFramePr/>
                <a:graphic xmlns:a="http://schemas.openxmlformats.org/drawingml/2006/main">
                  <a:graphicData uri="http://schemas.microsoft.com/office/word/2010/wordprocessingShape">
                    <wps:wsp>
                      <wps:cNvSpPr/>
                      <wps:spPr>
                        <a:xfrm flipV="1">
                          <a:off x="0" y="0"/>
                          <a:ext cx="576008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2" o:spid="_x0000_s1026" o:spt="20" style="position:absolute;left:0pt;flip:y;margin-left:-5.7pt;margin-top:6.5pt;height:0pt;width:453.55pt;z-index:251659264;mso-width-relative:page;mso-height-relative:page;" filled="f" stroked="t" coordsize="21600,21600" o:gfxdata="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J1ridgAAAAJAQAADwAAAAAAAAABACAAAAAiAAAAZHJzL2Rvd25yZXYueG1sUEsBAhQA&#10;FAAAAAgAh07iQALmSo/yAQAA5wMAAA4AAAAAAAAAAQAgAAAAJwEAAGRycy9lMm9Eb2MueG1sUEsF&#10;BgAAAAAGAAYAWQEAAIsFAAAAAA==&#10;">
                <v:fill on="f" focussize="0,0"/>
                <v:stroke weight="3pt" color="#FF0000" joinstyle="round"/>
                <v:imagedata o:title=""/>
                <o:lock v:ext="edit" aspectratio="f"/>
              </v:line>
            </w:pict>
          </mc:Fallback>
        </mc:AlternateContent>
      </w:r>
    </w:p>
    <w:p w14:paraId="2C1035C1">
      <w:pPr>
        <w:adjustRightInd w:val="0"/>
        <w:snapToGrid w:val="0"/>
        <w:spacing w:line="590" w:lineRule="exact"/>
        <w:jc w:val="center"/>
        <w:rPr>
          <w:rFonts w:eastAsia="方正仿宋_GBK"/>
          <w:color w:val="000000"/>
          <w:sz w:val="32"/>
          <w:szCs w:val="32"/>
        </w:rPr>
      </w:pPr>
    </w:p>
    <w:p w14:paraId="08CB7D06">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eastAsia="方正小标宋_GBK"/>
          <w:snapToGrid w:val="0"/>
          <w:color w:val="000000"/>
          <w:sz w:val="44"/>
          <w:szCs w:val="44"/>
        </w:rPr>
      </w:pPr>
      <w:r>
        <w:rPr>
          <w:rFonts w:hint="eastAsia" w:ascii="方正小标宋_GBK" w:eastAsia="方正小标宋_GBK"/>
          <w:snapToGrid w:val="0"/>
          <w:color w:val="000000"/>
          <w:spacing w:val="20"/>
          <w:sz w:val="44"/>
          <w:szCs w:val="44"/>
        </w:rPr>
        <w:t>自治区科技厅  自治区工业和信息化</w:t>
      </w:r>
      <w:r>
        <w:rPr>
          <w:rFonts w:hint="eastAsia" w:ascii="方正小标宋_GBK" w:eastAsia="方正小标宋_GBK"/>
          <w:snapToGrid w:val="0"/>
          <w:color w:val="000000"/>
          <w:sz w:val="44"/>
          <w:szCs w:val="44"/>
        </w:rPr>
        <w:t>厅</w:t>
      </w:r>
    </w:p>
    <w:p w14:paraId="7151A6E0">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eastAsia="方正小标宋_GBK"/>
          <w:snapToGrid w:val="0"/>
          <w:color w:val="000000"/>
          <w:sz w:val="44"/>
          <w:szCs w:val="44"/>
        </w:rPr>
      </w:pPr>
      <w:r>
        <w:rPr>
          <w:rFonts w:hint="eastAsia" w:ascii="方正小标宋_GBK" w:eastAsia="方正小标宋_GBK"/>
          <w:snapToGrid w:val="0"/>
          <w:color w:val="000000"/>
          <w:sz w:val="44"/>
          <w:szCs w:val="44"/>
        </w:rPr>
        <w:t>自治区财政厅关于印发《广西壮族自治区</w:t>
      </w:r>
    </w:p>
    <w:p w14:paraId="062BE47C">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eastAsia="方正小标宋_GBK"/>
          <w:snapToGrid w:val="0"/>
          <w:color w:val="000000"/>
          <w:sz w:val="44"/>
          <w:szCs w:val="44"/>
        </w:rPr>
      </w:pPr>
      <w:r>
        <w:rPr>
          <w:rFonts w:hint="eastAsia" w:ascii="方正小标宋_GBK" w:eastAsia="方正小标宋_GBK"/>
          <w:snapToGrid w:val="0"/>
          <w:color w:val="000000"/>
          <w:sz w:val="44"/>
          <w:szCs w:val="44"/>
        </w:rPr>
        <w:t>国内首台（套）重大技术装备认定与</w:t>
      </w:r>
    </w:p>
    <w:p w14:paraId="306AFE7C">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奖励实施办法》的通知</w:t>
      </w:r>
    </w:p>
    <w:p w14:paraId="316F02C5">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eastAsia="方正仿宋_GBK"/>
          <w:sz w:val="32"/>
          <w:szCs w:val="32"/>
        </w:rPr>
      </w:pPr>
    </w:p>
    <w:p w14:paraId="79476C9E">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各设区市科技局、工业和信息化局、财政局，</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有关单位：</w:t>
      </w:r>
    </w:p>
    <w:p w14:paraId="13330D64">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为贯彻落实《广西壮族自治区科技创新条例》，自治区科技厅会同自治区工业和信息化厅、财政厅在《广西壮族自治区国内首台（套）重大技术装备认定与奖励实施办法》（</w:t>
      </w:r>
      <w:r>
        <w:rPr>
          <w:rFonts w:hint="default" w:ascii="Times New Roman" w:hAnsi="Times New Roman" w:eastAsia="仿宋_GB2312" w:cs="Times New Roman"/>
          <w:bCs/>
          <w:snapToGrid w:val="0"/>
          <w:kern w:val="0"/>
          <w:sz w:val="32"/>
          <w:szCs w:val="32"/>
        </w:rPr>
        <w:t>桂科高字〔2022〕125号</w:t>
      </w:r>
      <w:r>
        <w:rPr>
          <w:rFonts w:hint="default" w:ascii="Times New Roman" w:hAnsi="Times New Roman" w:eastAsia="仿宋_GB2312" w:cs="Times New Roman"/>
          <w:sz w:val="32"/>
          <w:szCs w:val="32"/>
        </w:rPr>
        <w:t>）的基础上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研究制定了《广西壮族自治区国内首台（套）重大技术装备认定与奖励实施办法》。现印发你们，请遵照执行。</w:t>
      </w:r>
    </w:p>
    <w:p w14:paraId="611208B0">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sz w:val="32"/>
          <w:szCs w:val="32"/>
        </w:rPr>
      </w:pPr>
    </w:p>
    <w:p w14:paraId="4101B2E4">
      <w:pPr>
        <w:pStyle w:val="2"/>
        <w:keepNext w:val="0"/>
        <w:keepLines w:val="0"/>
        <w:pageBreakBefore w:val="0"/>
        <w:kinsoku/>
        <w:wordWrap/>
        <w:overflowPunct/>
        <w:topLinePunct w:val="0"/>
        <w:autoSpaceDE/>
        <w:autoSpaceDN/>
        <w:bidi w:val="0"/>
        <w:spacing w:line="640" w:lineRule="exact"/>
        <w:textAlignment w:val="auto"/>
        <w:rPr>
          <w:rFonts w:hint="default"/>
        </w:rPr>
      </w:pPr>
    </w:p>
    <w:tbl>
      <w:tblPr>
        <w:tblStyle w:val="12"/>
        <w:tblW w:w="4988" w:type="pct"/>
        <w:jc w:val="center"/>
        <w:tblLayout w:type="autofit"/>
        <w:tblCellMar>
          <w:top w:w="0" w:type="dxa"/>
          <w:left w:w="0" w:type="dxa"/>
          <w:bottom w:w="0" w:type="dxa"/>
          <w:right w:w="0" w:type="dxa"/>
        </w:tblCellMar>
      </w:tblPr>
      <w:tblGrid>
        <w:gridCol w:w="2602"/>
        <w:gridCol w:w="507"/>
        <w:gridCol w:w="2602"/>
        <w:gridCol w:w="510"/>
        <w:gridCol w:w="2602"/>
      </w:tblGrid>
      <w:tr w14:paraId="55CBD19C">
        <w:tblPrEx>
          <w:tblCellMar>
            <w:top w:w="0" w:type="dxa"/>
            <w:left w:w="0" w:type="dxa"/>
            <w:bottom w:w="0" w:type="dxa"/>
            <w:right w:w="0" w:type="dxa"/>
          </w:tblCellMar>
        </w:tblPrEx>
        <w:trPr>
          <w:jc w:val="center"/>
        </w:trPr>
        <w:tc>
          <w:tcPr>
            <w:tcW w:w="1474" w:type="pct"/>
            <w:noWrap w:val="0"/>
            <w:vAlign w:val="top"/>
          </w:tcPr>
          <w:p w14:paraId="50DEBB10">
            <w:pPr>
              <w:adjustRightInd w:val="0"/>
              <w:snapToGrid w:val="0"/>
              <w:spacing w:line="570" w:lineRule="exact"/>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广西壮族自治区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科学技术厅</w:t>
            </w:r>
          </w:p>
        </w:tc>
        <w:tc>
          <w:tcPr>
            <w:tcW w:w="287" w:type="pct"/>
            <w:noWrap w:val="0"/>
            <w:vAlign w:val="top"/>
          </w:tcPr>
          <w:p w14:paraId="53FE68F2">
            <w:pPr>
              <w:adjustRightInd w:val="0"/>
              <w:snapToGrid w:val="0"/>
              <w:spacing w:line="570" w:lineRule="exact"/>
              <w:jc w:val="distribute"/>
              <w:rPr>
                <w:rFonts w:hint="default" w:ascii="Times New Roman" w:hAnsi="Times New Roman" w:eastAsia="仿宋_GB2312" w:cs="Times New Roman"/>
                <w:sz w:val="32"/>
                <w:szCs w:val="32"/>
              </w:rPr>
            </w:pPr>
          </w:p>
        </w:tc>
        <w:tc>
          <w:tcPr>
            <w:tcW w:w="1474" w:type="pct"/>
            <w:noWrap w:val="0"/>
            <w:vAlign w:val="top"/>
          </w:tcPr>
          <w:p w14:paraId="768171F6">
            <w:pPr>
              <w:adjustRightInd w:val="0"/>
              <w:snapToGrid w:val="0"/>
              <w:spacing w:line="570" w:lineRule="exact"/>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广西壮族自治区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工业和信息化厅</w:t>
            </w:r>
          </w:p>
        </w:tc>
        <w:tc>
          <w:tcPr>
            <w:tcW w:w="289" w:type="pct"/>
            <w:noWrap w:val="0"/>
            <w:vAlign w:val="top"/>
          </w:tcPr>
          <w:p w14:paraId="0E12E9B0">
            <w:pPr>
              <w:adjustRightInd w:val="0"/>
              <w:snapToGrid w:val="0"/>
              <w:spacing w:line="570" w:lineRule="exact"/>
              <w:jc w:val="distribute"/>
              <w:rPr>
                <w:rFonts w:hint="default" w:ascii="Times New Roman" w:hAnsi="Times New Roman" w:eastAsia="仿宋_GB2312" w:cs="Times New Roman"/>
                <w:sz w:val="32"/>
                <w:szCs w:val="32"/>
              </w:rPr>
            </w:pPr>
          </w:p>
        </w:tc>
        <w:tc>
          <w:tcPr>
            <w:tcW w:w="1474" w:type="pct"/>
            <w:noWrap w:val="0"/>
            <w:vAlign w:val="top"/>
          </w:tcPr>
          <w:p w14:paraId="413F129C">
            <w:pPr>
              <w:adjustRightInd w:val="0"/>
              <w:snapToGrid w:val="0"/>
              <w:spacing w:line="570" w:lineRule="exact"/>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广西壮族自治区</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厅</w:t>
            </w:r>
          </w:p>
        </w:tc>
      </w:tr>
      <w:tr w14:paraId="62F4F82D">
        <w:tblPrEx>
          <w:tblCellMar>
            <w:top w:w="0" w:type="dxa"/>
            <w:left w:w="0" w:type="dxa"/>
            <w:bottom w:w="0" w:type="dxa"/>
            <w:right w:w="0" w:type="dxa"/>
          </w:tblCellMar>
        </w:tblPrEx>
        <w:trPr>
          <w:jc w:val="center"/>
        </w:trPr>
        <w:tc>
          <w:tcPr>
            <w:tcW w:w="1474" w:type="pct"/>
            <w:noWrap w:val="0"/>
            <w:vAlign w:val="top"/>
          </w:tcPr>
          <w:p w14:paraId="5CC53D5F">
            <w:pPr>
              <w:adjustRightInd w:val="0"/>
              <w:snapToGrid w:val="0"/>
              <w:spacing w:line="570" w:lineRule="exact"/>
              <w:jc w:val="distribute"/>
              <w:rPr>
                <w:rFonts w:hint="default" w:ascii="Times New Roman" w:hAnsi="Times New Roman" w:eastAsia="仿宋_GB2312" w:cs="Times New Roman"/>
                <w:sz w:val="32"/>
                <w:szCs w:val="32"/>
              </w:rPr>
            </w:pPr>
          </w:p>
        </w:tc>
        <w:tc>
          <w:tcPr>
            <w:tcW w:w="287" w:type="pct"/>
            <w:noWrap w:val="0"/>
            <w:vAlign w:val="top"/>
          </w:tcPr>
          <w:p w14:paraId="6FA65CAF">
            <w:pPr>
              <w:adjustRightInd w:val="0"/>
              <w:snapToGrid w:val="0"/>
              <w:spacing w:line="570" w:lineRule="exact"/>
              <w:jc w:val="distribute"/>
              <w:rPr>
                <w:rFonts w:hint="default" w:ascii="Times New Roman" w:hAnsi="Times New Roman" w:eastAsia="仿宋_GB2312" w:cs="Times New Roman"/>
                <w:sz w:val="32"/>
                <w:szCs w:val="32"/>
              </w:rPr>
            </w:pPr>
          </w:p>
        </w:tc>
        <w:tc>
          <w:tcPr>
            <w:tcW w:w="1474" w:type="pct"/>
            <w:noWrap w:val="0"/>
            <w:vAlign w:val="top"/>
          </w:tcPr>
          <w:p w14:paraId="752B492B">
            <w:pPr>
              <w:adjustRightInd w:val="0"/>
              <w:snapToGrid w:val="0"/>
              <w:spacing w:line="570" w:lineRule="exact"/>
              <w:jc w:val="distribute"/>
              <w:rPr>
                <w:rFonts w:hint="default" w:ascii="Times New Roman" w:hAnsi="Times New Roman" w:eastAsia="仿宋_GB2312" w:cs="Times New Roman"/>
                <w:sz w:val="32"/>
                <w:szCs w:val="32"/>
              </w:rPr>
            </w:pPr>
          </w:p>
        </w:tc>
        <w:tc>
          <w:tcPr>
            <w:tcW w:w="289" w:type="pct"/>
            <w:noWrap w:val="0"/>
            <w:vAlign w:val="top"/>
          </w:tcPr>
          <w:p w14:paraId="41F644C9">
            <w:pPr>
              <w:adjustRightInd w:val="0"/>
              <w:snapToGrid w:val="0"/>
              <w:spacing w:line="570" w:lineRule="exact"/>
              <w:jc w:val="distribute"/>
              <w:rPr>
                <w:rFonts w:hint="default" w:ascii="Times New Roman" w:hAnsi="Times New Roman" w:eastAsia="仿宋_GB2312" w:cs="Times New Roman"/>
                <w:sz w:val="32"/>
                <w:szCs w:val="32"/>
              </w:rPr>
            </w:pPr>
          </w:p>
        </w:tc>
        <w:tc>
          <w:tcPr>
            <w:tcW w:w="1474" w:type="pct"/>
            <w:noWrap w:val="0"/>
            <w:vAlign w:val="top"/>
          </w:tcPr>
          <w:p w14:paraId="70C699CA">
            <w:pPr>
              <w:adjustRightInd w:val="0"/>
              <w:snapToGrid w:val="0"/>
              <w:spacing w:line="570" w:lineRule="exact"/>
              <w:jc w:val="center"/>
              <w:rPr>
                <w:rFonts w:hint="default" w:ascii="Times New Roman" w:hAnsi="Times New Roman" w:eastAsia="仿宋_GB2312" w:cs="Times New Roman"/>
                <w:spacing w:val="24"/>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tc>
      </w:tr>
    </w:tbl>
    <w:p w14:paraId="24288D34">
      <w:pPr>
        <w:adjustRightInd w:val="0"/>
        <w:snapToGrid w:val="0"/>
        <w:spacing w:line="570" w:lineRule="exact"/>
        <w:ind w:firstLine="640" w:firstLineChars="200"/>
        <w:jc w:val="left"/>
        <w:rPr>
          <w:rFonts w:hint="default" w:ascii="Times New Roman" w:hAnsi="Times New Roman" w:eastAsia="仿宋_GB2312" w:cs="Times New Roman"/>
          <w:sz w:val="32"/>
          <w:szCs w:val="32"/>
        </w:rPr>
      </w:pPr>
    </w:p>
    <w:p w14:paraId="7AD2067C">
      <w:pPr>
        <w:adjustRightInd w:val="0"/>
        <w:snapToGrid w:val="0"/>
        <w:spacing w:line="57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01A04B71">
      <w:pPr>
        <w:keepNext w:val="0"/>
        <w:keepLines w:val="0"/>
        <w:pageBreakBefore w:val="0"/>
        <w:widowControl w:val="0"/>
        <w:shd w:val="clear" w:color="auto" w:fill="auto"/>
        <w:kinsoku/>
        <w:wordWrap/>
        <w:overflowPunct/>
        <w:topLinePunct w:val="0"/>
        <w:autoSpaceDE/>
        <w:autoSpaceDN/>
        <w:bidi w:val="0"/>
        <w:spacing w:line="600" w:lineRule="exact"/>
        <w:textAlignment w:val="auto"/>
        <w:rPr>
          <w:rFonts w:hint="default"/>
          <w:lang w:val="en-US"/>
        </w:rPr>
      </w:pPr>
      <w:bookmarkStart w:id="1" w:name="_GoBack"/>
      <w:bookmarkEnd w:id="1"/>
      <w:r>
        <w:rPr>
          <w:rFonts w:hint="default" w:ascii="Times New Roman" w:hAnsi="Times New Roman" w:eastAsia="黑体" w:cs="Times New Roman"/>
          <w:color w:val="auto"/>
          <w:w w:val="99"/>
          <w:kern w:val="2"/>
          <w:sz w:val="32"/>
          <w:szCs w:val="32"/>
          <w:shd w:val="clear" w:color="auto" w:fill="FFFFFF"/>
          <w:lang w:val="en-US" w:eastAsia="zh-CN" w:bidi="ar"/>
        </w:rPr>
        <w:br w:type="page"/>
      </w:r>
    </w:p>
    <w:p w14:paraId="0560478D">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广西壮族自治区国内首台（套）重大技术</w:t>
      </w:r>
    </w:p>
    <w:p w14:paraId="1C2F1B77">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装备认定与奖励实施办法</w:t>
      </w:r>
    </w:p>
    <w:bookmarkEnd w:id="0"/>
    <w:p w14:paraId="297F1A14">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textAlignment w:val="auto"/>
        <w:outlineLvl w:val="0"/>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32"/>
          <w:szCs w:val="32"/>
        </w:rPr>
        <w:t xml:space="preserve"> </w:t>
      </w:r>
    </w:p>
    <w:p w14:paraId="77E5B203">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黑体" w:hAnsi="黑体" w:eastAsia="黑体" w:cs="黑体"/>
          <w:snapToGrid w:val="0"/>
        </w:rPr>
      </w:pPr>
      <w:r>
        <w:rPr>
          <w:rFonts w:hint="eastAsia" w:ascii="黑体" w:hAnsi="黑体" w:eastAsia="黑体" w:cs="黑体"/>
          <w:snapToGrid w:val="0"/>
        </w:rPr>
        <w:t>第一章  总  则</w:t>
      </w:r>
    </w:p>
    <w:p w14:paraId="698AA69F">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643"/>
        <w:textAlignment w:val="auto"/>
        <w:rPr>
          <w:rFonts w:ascii="Times New Roman" w:hAnsi="Times New Roman"/>
          <w:b/>
          <w:bCs/>
          <w:snapToGrid w:val="0"/>
        </w:rPr>
      </w:pPr>
    </w:p>
    <w:p w14:paraId="0661C2A6">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b w:val="0"/>
          <w:bCs w:val="0"/>
          <w:snapToGrid w:val="0"/>
        </w:rPr>
        <w:t>第一条</w:t>
      </w:r>
      <w:r>
        <w:rPr>
          <w:rFonts w:ascii="Times New Roman" w:hAnsi="Times New Roman"/>
          <w:snapToGrid w:val="0"/>
        </w:rPr>
        <w:t xml:space="preserve">  为贯彻落实《广西壮族自治区人民政府关于促进全社会加大研发经费投入的实施意见》（桂政发〔2019〕57号）和</w:t>
      </w:r>
      <w:r>
        <w:rPr>
          <w:rStyle w:val="36"/>
          <w:rFonts w:ascii="Times New Roman" w:hAnsi="Times New Roman"/>
          <w:snapToGrid w:val="0"/>
          <w:color w:val="auto"/>
        </w:rPr>
        <w:t>《广西壮族自治区科技创新条例》</w:t>
      </w:r>
      <w:r>
        <w:rPr>
          <w:rFonts w:ascii="Times New Roman" w:hAnsi="Times New Roman"/>
          <w:snapToGrid w:val="0"/>
        </w:rPr>
        <w:t>，促进企业成为技术创新研发投入、科研组织、成果转化的主体，鼓励企业开发具有自主知识产权、技术含量高、经济效益好的重大技术装备，支持国内首台（套）重大技术装备的研制和示范应用，提升我区装备制造业整体水平和企业核心竞争力，促进工业结构调整和高质量发展，特制定本办法。</w:t>
      </w:r>
    </w:p>
    <w:p w14:paraId="168D9A78">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cs="Times New Roman"/>
          <w:snapToGrid w:val="0"/>
        </w:rPr>
      </w:pPr>
      <w:r>
        <w:rPr>
          <w:rFonts w:hint="eastAsia" w:ascii="黑体" w:hAnsi="黑体" w:eastAsia="黑体" w:cs="黑体"/>
          <w:b w:val="0"/>
          <w:bCs w:val="0"/>
          <w:snapToGrid w:val="0"/>
        </w:rPr>
        <w:t>第二条</w:t>
      </w:r>
      <w:r>
        <w:rPr>
          <w:rFonts w:ascii="Times New Roman" w:hAnsi="Times New Roman"/>
          <w:snapToGrid w:val="0"/>
        </w:rPr>
        <w:t xml:space="preserve">  本办法所称国内首台（套）重大技术装备是指经过创新，其品种、规格或技术参数等有重大突破，</w:t>
      </w:r>
      <w:r>
        <w:rPr>
          <w:rFonts w:hint="eastAsia" w:ascii="Times New Roman" w:hAnsi="Times New Roman" w:cs="Times New Roman"/>
          <w:snapToGrid w:val="0"/>
          <w:lang w:eastAsia="zh-CN"/>
        </w:rPr>
        <w:t>核心技术指标达到国内领先水平，</w:t>
      </w:r>
      <w:r>
        <w:rPr>
          <w:rFonts w:ascii="Times New Roman" w:hAnsi="Times New Roman" w:cs="Times New Roman"/>
          <w:snapToGrid w:val="0"/>
        </w:rPr>
        <w:t>拥有自主知识产权但尚未取得</w:t>
      </w:r>
      <w:r>
        <w:rPr>
          <w:rFonts w:hint="eastAsia" w:ascii="Times New Roman" w:hAnsi="Times New Roman" w:cs="Times New Roman"/>
          <w:snapToGrid w:val="0"/>
        </w:rPr>
        <w:t>明显</w:t>
      </w:r>
      <w:r>
        <w:rPr>
          <w:rFonts w:ascii="Times New Roman" w:hAnsi="Times New Roman" w:cs="Times New Roman"/>
          <w:snapToGrid w:val="0"/>
        </w:rPr>
        <w:t>市场业绩的成套设备、整机设备及核心部件等。</w:t>
      </w:r>
    </w:p>
    <w:p w14:paraId="642033EE">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第三条</w:t>
      </w:r>
      <w:r>
        <w:rPr>
          <w:rFonts w:ascii="Times New Roman" w:hAnsi="Times New Roman"/>
          <w:snapToGrid w:val="0"/>
        </w:rPr>
        <w:t xml:space="preserve">  自治区科技厅、工业和信息化厅、财政厅负责全区首台（套）重大技术装备的认定和奖励实施管理。</w:t>
      </w:r>
    </w:p>
    <w:p w14:paraId="48250BFE">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p>
    <w:p w14:paraId="34E25CB8">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黑体" w:hAnsi="黑体" w:eastAsia="黑体" w:cs="黑体"/>
          <w:snapToGrid w:val="0"/>
        </w:rPr>
      </w:pPr>
      <w:r>
        <w:rPr>
          <w:rFonts w:hint="eastAsia" w:ascii="黑体" w:hAnsi="黑体" w:eastAsia="黑体" w:cs="黑体"/>
          <w:snapToGrid w:val="0"/>
        </w:rPr>
        <w:t>第二章  认定条件</w:t>
      </w:r>
    </w:p>
    <w:p w14:paraId="16CA5ECE">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643"/>
        <w:textAlignment w:val="auto"/>
        <w:rPr>
          <w:rFonts w:ascii="Times New Roman" w:hAnsi="Times New Roman"/>
          <w:b/>
          <w:bCs/>
          <w:snapToGrid w:val="0"/>
        </w:rPr>
      </w:pPr>
    </w:p>
    <w:p w14:paraId="49324182">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第四条</w:t>
      </w:r>
      <w:r>
        <w:rPr>
          <w:rFonts w:ascii="Times New Roman" w:hAnsi="Times New Roman"/>
          <w:snapToGrid w:val="0"/>
        </w:rPr>
        <w:t xml:space="preserve">  申请认定</w:t>
      </w:r>
      <w:r>
        <w:rPr>
          <w:rFonts w:hint="eastAsia"/>
          <w:snapToGrid w:val="0"/>
          <w:lang w:eastAsia="zh-CN"/>
        </w:rPr>
        <w:t>为</w:t>
      </w:r>
      <w:r>
        <w:rPr>
          <w:rFonts w:ascii="Times New Roman" w:hAnsi="Times New Roman"/>
          <w:snapToGrid w:val="0"/>
        </w:rPr>
        <w:t>国内首台（套）重大技术装备</w:t>
      </w:r>
      <w:r>
        <w:rPr>
          <w:rFonts w:hint="eastAsia"/>
          <w:snapToGrid w:val="0"/>
          <w:lang w:eastAsia="zh-CN"/>
        </w:rPr>
        <w:t>的装备产品</w:t>
      </w:r>
      <w:r>
        <w:rPr>
          <w:rFonts w:ascii="Times New Roman" w:hAnsi="Times New Roman"/>
          <w:snapToGrid w:val="0"/>
        </w:rPr>
        <w:t>，原则上成套设备价</w:t>
      </w:r>
      <w:r>
        <w:rPr>
          <w:rFonts w:ascii="Times New Roman" w:hAnsi="Times New Roman" w:cs="Times New Roman"/>
          <w:snapToGrid w:val="0"/>
        </w:rPr>
        <w:t>格每套50万元以上，整机</w:t>
      </w:r>
      <w:r>
        <w:rPr>
          <w:rFonts w:hint="eastAsia" w:ascii="Times New Roman" w:hAnsi="Times New Roman" w:cs="Times New Roman"/>
          <w:snapToGrid w:val="0"/>
          <w:lang w:eastAsia="zh-CN"/>
        </w:rPr>
        <w:t>设备</w:t>
      </w:r>
      <w:r>
        <w:rPr>
          <w:rFonts w:ascii="Times New Roman" w:hAnsi="Times New Roman" w:cs="Times New Roman"/>
          <w:snapToGrid w:val="0"/>
        </w:rPr>
        <w:t>价格每台20万元以上，关键核心部件价格每个10万元以</w:t>
      </w:r>
      <w:r>
        <w:rPr>
          <w:rFonts w:ascii="Times New Roman" w:hAnsi="Times New Roman"/>
          <w:snapToGrid w:val="0"/>
        </w:rPr>
        <w:t>上。</w:t>
      </w:r>
    </w:p>
    <w:p w14:paraId="0E96E1BF">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第五条</w:t>
      </w:r>
      <w:r>
        <w:rPr>
          <w:rFonts w:ascii="Times New Roman" w:hAnsi="Times New Roman"/>
          <w:snapToGrid w:val="0"/>
        </w:rPr>
        <w:t xml:space="preserve">  申请认定</w:t>
      </w:r>
      <w:r>
        <w:rPr>
          <w:rFonts w:hint="eastAsia"/>
          <w:snapToGrid w:val="0"/>
          <w:lang w:eastAsia="zh-CN"/>
        </w:rPr>
        <w:t>的</w:t>
      </w:r>
      <w:r>
        <w:rPr>
          <w:rFonts w:ascii="Times New Roman" w:hAnsi="Times New Roman"/>
          <w:snapToGrid w:val="0"/>
        </w:rPr>
        <w:t>装备</w:t>
      </w:r>
      <w:r>
        <w:rPr>
          <w:rFonts w:hint="eastAsia"/>
          <w:snapToGrid w:val="0"/>
          <w:lang w:eastAsia="zh-CN"/>
        </w:rPr>
        <w:t>产品及对应申请单位还</w:t>
      </w:r>
      <w:r>
        <w:rPr>
          <w:rFonts w:ascii="Times New Roman" w:hAnsi="Times New Roman"/>
          <w:snapToGrid w:val="0"/>
        </w:rPr>
        <w:t>应符合以下条件：</w:t>
      </w:r>
    </w:p>
    <w:p w14:paraId="5CDB9324">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（一）申请单位是在广西区域内</w:t>
      </w:r>
      <w:r>
        <w:rPr>
          <w:rFonts w:ascii="Times New Roman" w:hAnsi="Times New Roman" w:cs="Times New Roman"/>
          <w:snapToGrid w:val="0"/>
        </w:rPr>
        <w:t>开展经营活动的</w:t>
      </w:r>
      <w:r>
        <w:rPr>
          <w:rFonts w:hint="eastAsia" w:ascii="Times New Roman" w:hAnsi="Times New Roman" w:cs="Times New Roman"/>
          <w:snapToGrid w:val="0"/>
        </w:rPr>
        <w:t>制造</w:t>
      </w:r>
      <w:r>
        <w:rPr>
          <w:rFonts w:ascii="Times New Roman" w:hAnsi="Times New Roman" w:cs="Times New Roman"/>
          <w:snapToGrid w:val="0"/>
        </w:rPr>
        <w:t>业企业</w:t>
      </w:r>
      <w:r>
        <w:rPr>
          <w:rFonts w:ascii="Times New Roman" w:hAnsi="Times New Roman"/>
          <w:snapToGrid w:val="0"/>
        </w:rPr>
        <w:t>。</w:t>
      </w:r>
    </w:p>
    <w:p w14:paraId="5A3B6835">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（二）申请单位通过其主导的技术创新活动，所生产、销售的装备</w:t>
      </w:r>
      <w:r>
        <w:rPr>
          <w:snapToGrid w:val="0"/>
          <w:lang w:val="en"/>
        </w:rPr>
        <w:t>产品</w:t>
      </w:r>
      <w:r>
        <w:rPr>
          <w:rFonts w:ascii="Times New Roman" w:hAnsi="Times New Roman"/>
          <w:snapToGrid w:val="0"/>
        </w:rPr>
        <w:t>在我国依法拥有其知识产权的所有权，或者依法通过受让取得其知识产权的所有权，并拥有产品注册商标所有权。</w:t>
      </w:r>
    </w:p>
    <w:p w14:paraId="3FF3EDFB">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（三）申请单位具备</w:t>
      </w:r>
      <w:r>
        <w:rPr>
          <w:rFonts w:hint="eastAsia"/>
          <w:snapToGrid w:val="0"/>
          <w:lang w:eastAsia="zh-CN"/>
        </w:rPr>
        <w:t>装备</w:t>
      </w:r>
      <w:r>
        <w:rPr>
          <w:rFonts w:ascii="Times New Roman" w:hAnsi="Times New Roman"/>
          <w:snapToGrid w:val="0"/>
        </w:rPr>
        <w:t>产品设计及主要关键部件的制造、组装能力，以及具备批量生产的基础条件。</w:t>
      </w:r>
    </w:p>
    <w:p w14:paraId="39825ABE">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（四）申请单位掌握</w:t>
      </w:r>
      <w:r>
        <w:rPr>
          <w:rFonts w:hint="eastAsia"/>
          <w:snapToGrid w:val="0"/>
          <w:lang w:eastAsia="zh-CN"/>
        </w:rPr>
        <w:t>装备</w:t>
      </w:r>
      <w:r>
        <w:rPr>
          <w:rFonts w:ascii="Times New Roman" w:hAnsi="Times New Roman"/>
          <w:snapToGrid w:val="0"/>
        </w:rPr>
        <w:t>产品生产的核心技术和关键工艺</w:t>
      </w:r>
      <w:r>
        <w:rPr>
          <w:rFonts w:hint="eastAsia"/>
          <w:snapToGrid w:val="0"/>
          <w:lang w:eastAsia="zh-CN"/>
        </w:rPr>
        <w:t>，</w:t>
      </w:r>
      <w:r>
        <w:rPr>
          <w:rFonts w:ascii="Times New Roman" w:hAnsi="Times New Roman"/>
          <w:snapToGrid w:val="0"/>
        </w:rPr>
        <w:t>或应用新技术原理、新设计构思，在结构、性能、材质、工艺等方面对原有产品率先进行根本性改进。</w:t>
      </w:r>
    </w:p>
    <w:p w14:paraId="1D5A1A2E">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（五）</w:t>
      </w:r>
      <w:r>
        <w:rPr>
          <w:snapToGrid w:val="0"/>
          <w:lang w:val="en"/>
        </w:rPr>
        <w:t>装备产品</w:t>
      </w:r>
      <w:r>
        <w:rPr>
          <w:rFonts w:ascii="Times New Roman" w:hAnsi="Times New Roman"/>
          <w:snapToGrid w:val="0"/>
        </w:rPr>
        <w:t>在同类产品中</w:t>
      </w:r>
      <w:r>
        <w:rPr>
          <w:rFonts w:hint="default"/>
          <w:snapToGrid w:val="0"/>
          <w:lang w:eastAsia="zh-CN"/>
        </w:rPr>
        <w:t>核心技术指标</w:t>
      </w:r>
      <w:r>
        <w:rPr>
          <w:rFonts w:ascii="Times New Roman" w:hAnsi="Times New Roman"/>
          <w:snapToGrid w:val="0"/>
        </w:rPr>
        <w:t>应达到国内领先水平。</w:t>
      </w:r>
    </w:p>
    <w:p w14:paraId="0CBE86BF">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（六）属于国家特殊行业管理要求的</w:t>
      </w:r>
      <w:r>
        <w:rPr>
          <w:rFonts w:hint="eastAsia"/>
          <w:snapToGrid w:val="0"/>
          <w:lang w:eastAsia="zh-CN"/>
        </w:rPr>
        <w:t>装备</w:t>
      </w:r>
      <w:r>
        <w:rPr>
          <w:rFonts w:ascii="Times New Roman" w:hAnsi="Times New Roman"/>
          <w:snapToGrid w:val="0"/>
        </w:rPr>
        <w:t>产品（如：军工、医疗器械、压力容器等产品），需具有相关行业主管部门批准颁发的产品生产许可证；属于国家实施强制性产品认证的</w:t>
      </w:r>
      <w:r>
        <w:rPr>
          <w:rFonts w:hint="eastAsia"/>
          <w:snapToGrid w:val="0"/>
          <w:lang w:eastAsia="zh-CN"/>
        </w:rPr>
        <w:t>装备</w:t>
      </w:r>
      <w:r>
        <w:rPr>
          <w:rFonts w:ascii="Times New Roman" w:hAnsi="Times New Roman"/>
          <w:snapToGrid w:val="0"/>
        </w:rPr>
        <w:t>产品，需通过强制性产品认证。</w:t>
      </w:r>
    </w:p>
    <w:p w14:paraId="39716BB2">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643"/>
        <w:textAlignment w:val="auto"/>
        <w:rPr>
          <w:rFonts w:ascii="Times New Roman" w:hAnsi="Times New Roman"/>
          <w:b w:val="0"/>
          <w:bCs w:val="0"/>
          <w:snapToGrid w:val="0"/>
        </w:rPr>
      </w:pPr>
      <w:r>
        <w:rPr>
          <w:rFonts w:ascii="Times New Roman" w:hAnsi="Times New Roman"/>
          <w:b w:val="0"/>
          <w:bCs w:val="0"/>
          <w:snapToGrid w:val="0"/>
        </w:rPr>
        <w:t>（七）通过财政性科技资金支持</w:t>
      </w:r>
      <w:r>
        <w:rPr>
          <w:rFonts w:hint="eastAsia" w:ascii="Times New Roman" w:hAnsi="Times New Roman"/>
          <w:b w:val="0"/>
          <w:bCs w:val="0"/>
          <w:snapToGrid w:val="0"/>
        </w:rPr>
        <w:t>直接</w:t>
      </w:r>
      <w:r>
        <w:rPr>
          <w:rFonts w:ascii="Times New Roman" w:hAnsi="Times New Roman"/>
          <w:b w:val="0"/>
          <w:bCs w:val="0"/>
          <w:snapToGrid w:val="0"/>
        </w:rPr>
        <w:t>形成的装备产品也可申请首台（套）重大技术装备认定，但不予以奖励。</w:t>
      </w:r>
    </w:p>
    <w:p w14:paraId="3BA0CCA2">
      <w:pPr>
        <w:pStyle w:val="3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textAlignment w:val="auto"/>
        <w:rPr>
          <w:rFonts w:ascii="Times New Roman" w:hAnsi="Times New Roman"/>
          <w:snapToGrid w:val="0"/>
        </w:rPr>
      </w:pPr>
    </w:p>
    <w:p w14:paraId="7D6CB99C">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黑体" w:hAnsi="黑体" w:eastAsia="黑体" w:cs="黑体"/>
          <w:snapToGrid w:val="0"/>
        </w:rPr>
      </w:pPr>
      <w:r>
        <w:rPr>
          <w:rFonts w:hint="eastAsia" w:ascii="黑体" w:hAnsi="黑体" w:eastAsia="黑体" w:cs="黑体"/>
          <w:snapToGrid w:val="0"/>
        </w:rPr>
        <w:t>第三章  认定程序</w:t>
      </w:r>
    </w:p>
    <w:p w14:paraId="151D59CA">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643"/>
        <w:textAlignment w:val="auto"/>
        <w:rPr>
          <w:rFonts w:ascii="Times New Roman" w:hAnsi="Times New Roman"/>
          <w:b/>
          <w:bCs/>
          <w:snapToGrid w:val="0"/>
        </w:rPr>
      </w:pPr>
      <w:r>
        <w:rPr>
          <w:rFonts w:ascii="Times New Roman" w:hAnsi="Times New Roman"/>
          <w:b/>
          <w:bCs/>
          <w:snapToGrid w:val="0"/>
        </w:rPr>
        <w:t xml:space="preserve"> </w:t>
      </w:r>
    </w:p>
    <w:p w14:paraId="7E8EC4FB">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b w:val="0"/>
          <w:bCs w:val="0"/>
          <w:snapToGrid w:val="0"/>
        </w:rPr>
      </w:pPr>
      <w:r>
        <w:rPr>
          <w:rFonts w:hint="eastAsia" w:ascii="黑体" w:hAnsi="黑体" w:eastAsia="黑体" w:cs="黑体"/>
          <w:snapToGrid w:val="0"/>
        </w:rPr>
        <w:t>第六条</w:t>
      </w:r>
      <w:r>
        <w:rPr>
          <w:rFonts w:ascii="Times New Roman" w:hAnsi="Times New Roman"/>
          <w:snapToGrid w:val="0"/>
        </w:rPr>
        <w:t xml:space="preserve">  申</w:t>
      </w:r>
      <w:r>
        <w:rPr>
          <w:rFonts w:ascii="Times New Roman" w:hAnsi="Times New Roman"/>
          <w:b w:val="0"/>
          <w:bCs w:val="0"/>
          <w:snapToGrid w:val="0"/>
        </w:rPr>
        <w:t>请单位需向所在地的设区市科技主管部门提交有关纸质版和电子版申报材料。如涉及保密事项，请申请单位自行做脱密处理后提交。</w:t>
      </w:r>
    </w:p>
    <w:p w14:paraId="4D9A366C">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第七条</w:t>
      </w:r>
      <w:r>
        <w:rPr>
          <w:rFonts w:ascii="Times New Roman" w:hAnsi="Times New Roman"/>
          <w:snapToGrid w:val="0"/>
        </w:rPr>
        <w:t xml:space="preserve">  设区市科技主管部门对申请材料进行初审后，将初审意见和申请材料报自治区科技厅。</w:t>
      </w:r>
    </w:p>
    <w:p w14:paraId="1D1E452F">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第八条</w:t>
      </w:r>
      <w:r>
        <w:rPr>
          <w:rFonts w:ascii="Times New Roman" w:hAnsi="Times New Roman"/>
          <w:snapToGrid w:val="0"/>
        </w:rPr>
        <w:t xml:space="preserve">  自治区科技厅收到申请材料后，</w:t>
      </w:r>
      <w:r>
        <w:rPr>
          <w:rFonts w:ascii="Times New Roman" w:hAnsi="Times New Roman"/>
          <w:b w:val="0"/>
          <w:bCs w:val="0"/>
          <w:snapToGrid w:val="0"/>
        </w:rPr>
        <w:t>联合自治区工业和信息化厅、财政厅组</w:t>
      </w:r>
      <w:r>
        <w:rPr>
          <w:rFonts w:ascii="Times New Roman" w:hAnsi="Times New Roman"/>
          <w:snapToGrid w:val="0"/>
        </w:rPr>
        <w:t>织专家进行评审。专家组由相关领域技术和财务专家组成，专家组不少于6人</w:t>
      </w:r>
      <w:r>
        <w:rPr>
          <w:rFonts w:hint="eastAsia" w:ascii="Times New Roman" w:hAnsi="Times New Roman"/>
          <w:snapToGrid w:val="0"/>
        </w:rPr>
        <w:t>（其中技术专家不少于5人，财务专家不少于1人）。</w:t>
      </w:r>
      <w:r>
        <w:rPr>
          <w:rFonts w:ascii="Times New Roman" w:hAnsi="Times New Roman"/>
          <w:snapToGrid w:val="0"/>
        </w:rPr>
        <w:t>专家组按照科学、客观、公平、公正的原则参与首台（套）重大技术装备产品认定的评审工作。</w:t>
      </w:r>
    </w:p>
    <w:p w14:paraId="684609B0">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b w:val="0"/>
          <w:bCs w:val="0"/>
          <w:snapToGrid w:val="0"/>
        </w:rPr>
      </w:pPr>
      <w:r>
        <w:rPr>
          <w:rFonts w:hint="eastAsia" w:ascii="黑体" w:hAnsi="黑体" w:eastAsia="黑体" w:cs="黑体"/>
          <w:snapToGrid w:val="0"/>
        </w:rPr>
        <w:t>第九条</w:t>
      </w:r>
      <w:r>
        <w:rPr>
          <w:rFonts w:ascii="Times New Roman" w:hAnsi="Times New Roman"/>
          <w:snapToGrid w:val="0"/>
        </w:rPr>
        <w:t xml:space="preserve">  专家组评审程序为：专家审查材料、评议、形成专家组评审意见</w:t>
      </w:r>
      <w:r>
        <w:rPr>
          <w:rFonts w:hint="eastAsia"/>
          <w:snapToGrid w:val="0"/>
          <w:lang w:eastAsia="zh-CN"/>
        </w:rPr>
        <w:t>。</w:t>
      </w:r>
      <w:r>
        <w:rPr>
          <w:rFonts w:ascii="Times New Roman" w:hAnsi="Times New Roman"/>
          <w:snapToGrid w:val="0"/>
        </w:rPr>
        <w:t>专家组评审意见经专家</w:t>
      </w:r>
      <w:r>
        <w:rPr>
          <w:rFonts w:hint="eastAsia"/>
          <w:snapToGrid w:val="0"/>
          <w:lang w:eastAsia="zh-CN"/>
        </w:rPr>
        <w:t>组</w:t>
      </w:r>
      <w:r>
        <w:rPr>
          <w:rFonts w:ascii="Times New Roman" w:hAnsi="Times New Roman"/>
          <w:snapToGrid w:val="0"/>
        </w:rPr>
        <w:t>签字生效</w:t>
      </w:r>
      <w:r>
        <w:rPr>
          <w:rFonts w:hint="eastAsia"/>
          <w:snapToGrid w:val="0"/>
          <w:lang w:eastAsia="zh-CN"/>
        </w:rPr>
        <w:t>，</w:t>
      </w:r>
      <w:r>
        <w:rPr>
          <w:rFonts w:ascii="Times New Roman" w:hAnsi="Times New Roman"/>
          <w:snapToGrid w:val="0"/>
        </w:rPr>
        <w:t>专家组应对出具</w:t>
      </w:r>
      <w:r>
        <w:rPr>
          <w:rFonts w:hint="eastAsia"/>
          <w:snapToGrid w:val="0"/>
          <w:lang w:eastAsia="zh-CN"/>
        </w:rPr>
        <w:t>评审</w:t>
      </w:r>
      <w:r>
        <w:rPr>
          <w:rFonts w:ascii="Times New Roman" w:hAnsi="Times New Roman"/>
          <w:snapToGrid w:val="0"/>
        </w:rPr>
        <w:t>意见的真实性负责。</w:t>
      </w:r>
      <w:r>
        <w:rPr>
          <w:rFonts w:ascii="Times New Roman" w:hAnsi="Times New Roman"/>
          <w:b w:val="0"/>
          <w:bCs w:val="0"/>
          <w:snapToGrid w:val="0"/>
        </w:rPr>
        <w:t>如专家在评审活动中</w:t>
      </w:r>
      <w:r>
        <w:rPr>
          <w:rFonts w:hint="eastAsia"/>
          <w:b w:val="0"/>
          <w:bCs w:val="0"/>
          <w:snapToGrid w:val="0"/>
          <w:lang w:eastAsia="zh-CN"/>
        </w:rPr>
        <w:t>存在</w:t>
      </w:r>
      <w:r>
        <w:rPr>
          <w:rFonts w:ascii="Times New Roman" w:hAnsi="Times New Roman"/>
          <w:b w:val="0"/>
          <w:bCs w:val="0"/>
          <w:snapToGrid w:val="0"/>
        </w:rPr>
        <w:t>违反学术道德、评审不公</w:t>
      </w:r>
      <w:r>
        <w:rPr>
          <w:rFonts w:hint="eastAsia"/>
          <w:b w:val="0"/>
          <w:bCs w:val="0"/>
          <w:snapToGrid w:val="0"/>
          <w:lang w:eastAsia="zh-CN"/>
        </w:rPr>
        <w:t>或其他</w:t>
      </w:r>
      <w:r>
        <w:rPr>
          <w:rFonts w:ascii="Times New Roman" w:hAnsi="Times New Roman"/>
          <w:b w:val="0"/>
          <w:bCs w:val="0"/>
          <w:snapToGrid w:val="0"/>
        </w:rPr>
        <w:t>失信行为，</w:t>
      </w:r>
      <w:r>
        <w:rPr>
          <w:rFonts w:hint="eastAsia" w:ascii="Times New Roman" w:hAnsi="Times New Roman"/>
          <w:b w:val="0"/>
          <w:bCs w:val="0"/>
          <w:snapToGrid w:val="0"/>
          <w:highlight w:val="none"/>
          <w:lang w:val="en-US" w:eastAsia="zh-CN"/>
        </w:rPr>
        <w:t>依法</w:t>
      </w:r>
      <w:r>
        <w:rPr>
          <w:rFonts w:ascii="Times New Roman" w:hAnsi="Times New Roman"/>
          <w:b w:val="0"/>
          <w:bCs w:val="0"/>
          <w:snapToGrid w:val="0"/>
          <w:highlight w:val="none"/>
        </w:rPr>
        <w:t>取</w:t>
      </w:r>
      <w:r>
        <w:rPr>
          <w:rFonts w:ascii="Times New Roman" w:hAnsi="Times New Roman"/>
          <w:b w:val="0"/>
          <w:bCs w:val="0"/>
          <w:snapToGrid w:val="0"/>
        </w:rPr>
        <w:t>消评审资格；情节严重的，建议由所在单位或有关部门依规依纪依法给予处分，</w:t>
      </w:r>
      <w:r>
        <w:rPr>
          <w:rFonts w:hint="eastAsia"/>
          <w:b w:val="0"/>
          <w:bCs w:val="0"/>
          <w:snapToGrid w:val="0"/>
          <w:lang w:eastAsia="zh-CN"/>
        </w:rPr>
        <w:t>依法</w:t>
      </w:r>
      <w:r>
        <w:rPr>
          <w:rFonts w:ascii="Times New Roman" w:hAnsi="Times New Roman"/>
          <w:b w:val="0"/>
          <w:bCs w:val="0"/>
          <w:snapToGrid w:val="0"/>
        </w:rPr>
        <w:t>纳入科技活动违规行为或科研诚信失信行为记录。</w:t>
      </w:r>
    </w:p>
    <w:p w14:paraId="07308ADD">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第十条</w:t>
      </w:r>
      <w:r>
        <w:rPr>
          <w:rFonts w:ascii="Times New Roman" w:hAnsi="Times New Roman"/>
          <w:snapToGrid w:val="0"/>
        </w:rPr>
        <w:t xml:space="preserve">  自治区科技厅根据专家组的评审意见，会同自治区工业和信息化厅、财政厅会审确认，并通过自治区科技厅向社会公示《广西</w:t>
      </w:r>
      <w:r>
        <w:rPr>
          <w:rFonts w:hint="default" w:ascii="Times New Roman" w:hAnsi="Times New Roman" w:eastAsia="仿宋_GB2312" w:cs="Times New Roman"/>
          <w:snapToGrid w:val="0"/>
          <w:lang w:val="en-US" w:eastAsia="zh-CN"/>
        </w:rPr>
        <w:t>XX</w:t>
      </w:r>
      <w:r>
        <w:rPr>
          <w:rFonts w:ascii="Times New Roman" w:hAnsi="Times New Roman"/>
          <w:snapToGrid w:val="0"/>
        </w:rPr>
        <w:t>年度国内首台（套）重大技术装备</w:t>
      </w:r>
      <w:r>
        <w:rPr>
          <w:rFonts w:ascii="Times New Roman" w:hAnsi="Times New Roman"/>
          <w:b w:val="0"/>
          <w:bCs w:val="0"/>
          <w:snapToGrid w:val="0"/>
        </w:rPr>
        <w:t>拟认定</w:t>
      </w:r>
      <w:r>
        <w:rPr>
          <w:rFonts w:ascii="Times New Roman" w:hAnsi="Times New Roman"/>
          <w:snapToGrid w:val="0"/>
        </w:rPr>
        <w:t>名单》，公示期为5个工作日。</w:t>
      </w:r>
    </w:p>
    <w:p w14:paraId="2AACC74C">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第十一条</w:t>
      </w:r>
      <w:r>
        <w:rPr>
          <w:rFonts w:ascii="Times New Roman" w:hAnsi="Times New Roman"/>
          <w:snapToGrid w:val="0"/>
        </w:rPr>
        <w:t xml:space="preserve">  经公示无异议后，对确认的国内首台（套）重大技术装备，自治区科技厅、工业和信息化厅、财政厅联合正式发布《广西</w:t>
      </w:r>
      <w:r>
        <w:rPr>
          <w:rFonts w:hint="default" w:ascii="Times New Roman" w:hAnsi="Times New Roman" w:eastAsia="仿宋_GB2312" w:cs="Times New Roman"/>
          <w:snapToGrid w:val="0"/>
          <w:lang w:val="en-US" w:eastAsia="zh-CN"/>
        </w:rPr>
        <w:t>XX</w:t>
      </w:r>
      <w:r>
        <w:rPr>
          <w:rFonts w:ascii="Times New Roman" w:hAnsi="Times New Roman"/>
          <w:snapToGrid w:val="0"/>
        </w:rPr>
        <w:t>年度国内首台（套）重大技术装备名单》，并颁发《</w:t>
      </w:r>
      <w:r>
        <w:rPr>
          <w:rFonts w:hint="eastAsia"/>
          <w:snapToGrid w:val="0"/>
          <w:lang w:eastAsia="zh-CN"/>
        </w:rPr>
        <w:t>广西</w:t>
      </w:r>
      <w:r>
        <w:rPr>
          <w:rFonts w:ascii="Times New Roman" w:hAnsi="Times New Roman"/>
          <w:snapToGrid w:val="0"/>
        </w:rPr>
        <w:t>国内首台（套）重大技术装备认定证书》，作为享受相关优惠政策的依据</w:t>
      </w:r>
      <w:r>
        <w:rPr>
          <w:rFonts w:ascii="Times New Roman" w:hAnsi="Times New Roman"/>
          <w:b w:val="0"/>
          <w:bCs w:val="0"/>
          <w:snapToGrid w:val="0"/>
        </w:rPr>
        <w:t>，</w:t>
      </w:r>
      <w:r>
        <w:rPr>
          <w:rFonts w:hint="eastAsia"/>
          <w:b w:val="0"/>
          <w:bCs w:val="0"/>
          <w:snapToGrid w:val="0"/>
          <w:lang w:eastAsia="zh-CN"/>
        </w:rPr>
        <w:t>广西国内</w:t>
      </w:r>
      <w:r>
        <w:rPr>
          <w:rFonts w:ascii="Times New Roman" w:hAnsi="Times New Roman"/>
          <w:b w:val="0"/>
          <w:bCs w:val="0"/>
          <w:snapToGrid w:val="0"/>
          <w:lang w:bidi="ar"/>
        </w:rPr>
        <w:t>首台（套）</w:t>
      </w:r>
      <w:r>
        <w:rPr>
          <w:rFonts w:ascii="Times New Roman" w:hAnsi="Times New Roman"/>
          <w:snapToGrid w:val="0"/>
        </w:rPr>
        <w:t>重大技术</w:t>
      </w:r>
      <w:r>
        <w:rPr>
          <w:rFonts w:ascii="Times New Roman" w:hAnsi="Times New Roman"/>
          <w:b w:val="0"/>
          <w:bCs w:val="0"/>
          <w:snapToGrid w:val="0"/>
          <w:lang w:bidi="ar"/>
        </w:rPr>
        <w:t>装备认定资格自认定之日起三年内有效。</w:t>
      </w:r>
    </w:p>
    <w:p w14:paraId="060BDCFE">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ascii="Times New Roman" w:hAnsi="Times New Roman"/>
          <w:snapToGrid w:val="0"/>
        </w:rPr>
        <w:t xml:space="preserve"> </w:t>
      </w:r>
    </w:p>
    <w:p w14:paraId="2FE213F9">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黑体" w:hAnsi="黑体" w:eastAsia="黑体" w:cs="黑体"/>
          <w:snapToGrid w:val="0"/>
        </w:rPr>
      </w:pPr>
      <w:r>
        <w:rPr>
          <w:rFonts w:hint="eastAsia" w:ascii="黑体" w:hAnsi="黑体" w:eastAsia="黑体" w:cs="黑体"/>
          <w:snapToGrid w:val="0"/>
        </w:rPr>
        <w:t>第四章  奖励政策</w:t>
      </w:r>
    </w:p>
    <w:p w14:paraId="0F211E38">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643"/>
        <w:textAlignment w:val="auto"/>
        <w:rPr>
          <w:rFonts w:ascii="Times New Roman" w:hAnsi="Times New Roman"/>
          <w:b/>
          <w:bCs/>
          <w:snapToGrid w:val="0"/>
        </w:rPr>
      </w:pPr>
      <w:r>
        <w:rPr>
          <w:rFonts w:ascii="Times New Roman" w:hAnsi="Times New Roman"/>
          <w:b/>
          <w:bCs/>
          <w:snapToGrid w:val="0"/>
        </w:rPr>
        <w:t xml:space="preserve"> </w:t>
      </w:r>
    </w:p>
    <w:p w14:paraId="7C402026">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cs="Times New Roman"/>
          <w:snapToGrid w:val="0"/>
        </w:rPr>
      </w:pPr>
      <w:r>
        <w:rPr>
          <w:rFonts w:hint="eastAsia" w:ascii="黑体" w:hAnsi="黑体" w:eastAsia="黑体" w:cs="黑体"/>
          <w:snapToGrid w:val="0"/>
        </w:rPr>
        <w:t>第十二条</w:t>
      </w:r>
      <w:r>
        <w:rPr>
          <w:rFonts w:ascii="Times New Roman" w:hAnsi="Times New Roman"/>
          <w:snapToGrid w:val="0"/>
        </w:rPr>
        <w:t xml:space="preserve">  对</w:t>
      </w:r>
      <w:r>
        <w:rPr>
          <w:rFonts w:hint="eastAsia"/>
          <w:b w:val="0"/>
          <w:bCs w:val="0"/>
          <w:snapToGrid w:val="0"/>
        </w:rPr>
        <w:t>获得</w:t>
      </w:r>
      <w:r>
        <w:rPr>
          <w:rFonts w:ascii="Times New Roman" w:hAnsi="Times New Roman"/>
          <w:snapToGrid w:val="0"/>
        </w:rPr>
        <w:t>广西国内首台（套）重大技术装备认定的生产企业，按照首台（套）重大技术装备产品销售</w:t>
      </w:r>
      <w:r>
        <w:rPr>
          <w:rFonts w:ascii="Times New Roman" w:hAnsi="Times New Roman" w:cs="Times New Roman"/>
          <w:snapToGrid w:val="0"/>
        </w:rPr>
        <w:t>价格的50%给予奖励，单户企业单台（套）装备</w:t>
      </w:r>
      <w:r>
        <w:rPr>
          <w:rFonts w:hint="eastAsia" w:cs="Times New Roman"/>
          <w:snapToGrid w:val="0"/>
          <w:lang w:eastAsia="zh-CN"/>
        </w:rPr>
        <w:t>产品</w:t>
      </w:r>
      <w:r>
        <w:rPr>
          <w:rFonts w:ascii="Times New Roman" w:hAnsi="Times New Roman" w:cs="Times New Roman"/>
          <w:snapToGrid w:val="0"/>
        </w:rPr>
        <w:t>奖励最高金额不超过200万元</w:t>
      </w:r>
      <w:r>
        <w:rPr>
          <w:rFonts w:hint="eastAsia" w:cs="Times New Roman"/>
          <w:snapToGrid w:val="0"/>
          <w:lang w:eastAsia="zh-CN"/>
        </w:rPr>
        <w:t>。</w:t>
      </w:r>
      <w:r>
        <w:rPr>
          <w:rFonts w:ascii="Times New Roman" w:hAnsi="Times New Roman" w:cs="Times New Roman"/>
          <w:snapToGrid w:val="0"/>
        </w:rPr>
        <w:t>同一</w:t>
      </w:r>
      <w:r>
        <w:rPr>
          <w:rFonts w:hint="eastAsia" w:cs="Times New Roman"/>
          <w:snapToGrid w:val="0"/>
          <w:lang w:eastAsia="zh-CN"/>
        </w:rPr>
        <w:t>装备</w:t>
      </w:r>
      <w:r>
        <w:rPr>
          <w:rFonts w:ascii="Times New Roman" w:hAnsi="Times New Roman" w:cs="Times New Roman"/>
          <w:snapToGrid w:val="0"/>
        </w:rPr>
        <w:t>产品只奖励一次。</w:t>
      </w:r>
    </w:p>
    <w:p w14:paraId="42B11692">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cs="Times New Roman"/>
          <w:snapToGrid w:val="0"/>
        </w:rPr>
      </w:pPr>
      <w:r>
        <w:rPr>
          <w:rFonts w:hint="eastAsia" w:ascii="黑体" w:hAnsi="黑体" w:eastAsia="黑体" w:cs="黑体"/>
          <w:snapToGrid w:val="0"/>
        </w:rPr>
        <w:t>第十三条</w:t>
      </w:r>
      <w:r>
        <w:rPr>
          <w:rFonts w:ascii="Times New Roman" w:hAnsi="Times New Roman"/>
          <w:snapToGrid w:val="0"/>
        </w:rPr>
        <w:t xml:space="preserve">  国内首台（套）重大技术装备奖励经费从广西</w:t>
      </w:r>
      <w:r>
        <w:rPr>
          <w:rFonts w:hint="eastAsia" w:ascii="Times New Roman" w:hAnsi="Times New Roman" w:cs="Times New Roman"/>
          <w:snapToGrid w:val="0"/>
          <w:lang w:eastAsia="zh-CN"/>
        </w:rPr>
        <w:t>科技领域专项资金</w:t>
      </w:r>
      <w:r>
        <w:rPr>
          <w:rFonts w:ascii="Times New Roman" w:hAnsi="Times New Roman" w:cs="Times New Roman"/>
          <w:snapToGrid w:val="0"/>
        </w:rPr>
        <w:t>中统筹解决。</w:t>
      </w:r>
    </w:p>
    <w:p w14:paraId="7F224BE2">
      <w:pPr>
        <w:pStyle w:val="3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textAlignment w:val="auto"/>
        <w:rPr>
          <w:rFonts w:ascii="Times New Roman" w:hAnsi="Times New Roman"/>
          <w:snapToGrid w:val="0"/>
        </w:rPr>
      </w:pPr>
    </w:p>
    <w:p w14:paraId="2856A616">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default" w:ascii="黑体" w:hAnsi="黑体" w:eastAsia="黑体" w:cs="黑体"/>
          <w:snapToGrid w:val="0"/>
          <w:lang w:val="en-US" w:eastAsia="zh-CN"/>
        </w:rPr>
      </w:pPr>
      <w:r>
        <w:rPr>
          <w:rFonts w:hint="eastAsia" w:ascii="黑体" w:hAnsi="黑体" w:eastAsia="黑体" w:cs="黑体"/>
          <w:snapToGrid w:val="0"/>
        </w:rPr>
        <w:t xml:space="preserve">第五章  </w:t>
      </w:r>
      <w:r>
        <w:rPr>
          <w:rFonts w:hint="eastAsia" w:ascii="黑体" w:hAnsi="黑体" w:eastAsia="黑体" w:cs="黑体"/>
          <w:snapToGrid w:val="0"/>
          <w:lang w:val="en-US" w:eastAsia="zh-CN"/>
        </w:rPr>
        <w:t>监督管理</w:t>
      </w:r>
    </w:p>
    <w:p w14:paraId="71BC7A8A">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textAlignment w:val="auto"/>
        <w:rPr>
          <w:rFonts w:ascii="Times New Roman" w:hAnsi="Times New Roman"/>
          <w:snapToGrid w:val="0"/>
        </w:rPr>
      </w:pPr>
    </w:p>
    <w:p w14:paraId="04BB859A">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cs="Times New Roman"/>
          <w:snapToGrid w:val="0"/>
        </w:rPr>
      </w:pPr>
      <w:r>
        <w:rPr>
          <w:rFonts w:hint="eastAsia" w:ascii="黑体" w:hAnsi="黑体" w:eastAsia="黑体" w:cs="黑体"/>
          <w:snapToGrid w:val="0"/>
        </w:rPr>
        <w:t>第十四条</w:t>
      </w:r>
      <w:r>
        <w:rPr>
          <w:rFonts w:ascii="Times New Roman" w:hAnsi="Times New Roman"/>
          <w:snapToGrid w:val="0"/>
        </w:rPr>
        <w:t xml:space="preserve">  申请单位在申请国内首台（套）重大技术装备的认定过程中，应提供真实材料和数据。对隐瞒真实情况、提供虚假材料或采取其他手段骗取认定证书的，一经发现核实，撤销认定结论，收回认定证书，</w:t>
      </w:r>
      <w:r>
        <w:rPr>
          <w:rFonts w:ascii="Times New Roman" w:hAnsi="Times New Roman" w:cs="Times New Roman"/>
          <w:snapToGrid w:val="0"/>
        </w:rPr>
        <w:t>追回获得的奖励资金，</w:t>
      </w:r>
      <w:r>
        <w:rPr>
          <w:rFonts w:hint="eastAsia" w:cs="Times New Roman"/>
          <w:snapToGrid w:val="0"/>
          <w:lang w:eastAsia="zh-CN"/>
        </w:rPr>
        <w:t>按照《财政违法行为处罚处分条例》等国家规定追究相应责任，涉嫌违法犯罪的，依法移送有关机关处理。</w:t>
      </w:r>
      <w:r>
        <w:rPr>
          <w:rFonts w:hint="eastAsia" w:ascii="Times New Roman" w:hAnsi="Times New Roman" w:cs="Times New Roman"/>
          <w:snapToGrid w:val="0"/>
        </w:rPr>
        <w:t>依法</w:t>
      </w:r>
      <w:r>
        <w:rPr>
          <w:rFonts w:ascii="Times New Roman" w:hAnsi="Times New Roman" w:cs="Times New Roman"/>
          <w:snapToGrid w:val="0"/>
        </w:rPr>
        <w:t>纳入科技活动违规行为或科研诚信失信行为记录，</w:t>
      </w:r>
      <w:r>
        <w:rPr>
          <w:rFonts w:hint="eastAsia" w:ascii="Times New Roman" w:hAnsi="Times New Roman" w:cs="Times New Roman"/>
          <w:snapToGrid w:val="0"/>
        </w:rPr>
        <w:t>依法</w:t>
      </w:r>
      <w:r>
        <w:rPr>
          <w:rFonts w:ascii="Times New Roman" w:hAnsi="Times New Roman" w:cs="Times New Roman"/>
          <w:snapToGrid w:val="0"/>
        </w:rPr>
        <w:t>取消申请单位后续申请认定的资格。</w:t>
      </w:r>
    </w:p>
    <w:p w14:paraId="399068FD">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ascii="Times New Roman" w:hAnsi="Times New Roman"/>
          <w:snapToGrid w:val="0"/>
        </w:rPr>
      </w:pPr>
    </w:p>
    <w:p w14:paraId="7CB7E6F5">
      <w:pPr>
        <w:pStyle w:val="34"/>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黑体" w:hAnsi="黑体" w:eastAsia="黑体" w:cs="黑体"/>
          <w:snapToGrid w:val="0"/>
        </w:rPr>
      </w:pPr>
      <w:r>
        <w:rPr>
          <w:rFonts w:hint="eastAsia" w:ascii="黑体" w:hAnsi="黑体" w:eastAsia="黑体" w:cs="黑体"/>
          <w:snapToGrid w:val="0"/>
        </w:rPr>
        <w:t>第六章  附  则</w:t>
      </w:r>
    </w:p>
    <w:p w14:paraId="024A1711">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b/>
          <w:bCs/>
          <w:snapToGrid w:val="0"/>
        </w:rPr>
      </w:pPr>
    </w:p>
    <w:p w14:paraId="11636410">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snapToGrid w:val="0"/>
        </w:rPr>
      </w:pPr>
      <w:r>
        <w:rPr>
          <w:rFonts w:hint="eastAsia" w:ascii="黑体" w:hAnsi="黑体" w:eastAsia="黑体" w:cs="黑体"/>
          <w:snapToGrid w:val="0"/>
        </w:rPr>
        <w:t>第十五条</w:t>
      </w:r>
      <w:r>
        <w:rPr>
          <w:rFonts w:ascii="Times New Roman" w:hAnsi="Times New Roman"/>
          <w:snapToGrid w:val="0"/>
        </w:rPr>
        <w:t xml:space="preserve">  本办法由自治区科技厅、工业和信息化厅、财政厅负责解释。</w:t>
      </w:r>
    </w:p>
    <w:p w14:paraId="12C32051">
      <w:pPr>
        <w:pStyle w:val="34"/>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ascii="Times New Roman" w:hAnsi="Times New Roman" w:cs="Times New Roman"/>
          <w:snapToGrid w:val="0"/>
        </w:rPr>
      </w:pPr>
      <w:r>
        <w:rPr>
          <w:rFonts w:hint="eastAsia" w:ascii="黑体" w:hAnsi="黑体" w:eastAsia="黑体" w:cs="黑体"/>
          <w:snapToGrid w:val="0"/>
        </w:rPr>
        <w:t>第十六条</w:t>
      </w:r>
      <w:r>
        <w:rPr>
          <w:rFonts w:ascii="Times New Roman" w:hAnsi="Times New Roman"/>
          <w:snapToGrid w:val="0"/>
        </w:rPr>
        <w:t xml:space="preserve">  本办法自发布之日起施</w:t>
      </w:r>
      <w:r>
        <w:rPr>
          <w:rFonts w:ascii="Times New Roman" w:hAnsi="Times New Roman" w:cs="Times New Roman"/>
          <w:snapToGrid w:val="0"/>
        </w:rPr>
        <w:t>行</w:t>
      </w:r>
      <w:r>
        <w:rPr>
          <w:rFonts w:hint="eastAsia" w:ascii="Times New Roman" w:hAnsi="Times New Roman" w:cs="Times New Roman"/>
          <w:snapToGrid w:val="0"/>
          <w:lang w:eastAsia="zh-CN"/>
        </w:rPr>
        <w:t>，实施期限5年</w:t>
      </w:r>
      <w:r>
        <w:rPr>
          <w:rFonts w:ascii="Times New Roman" w:hAnsi="Times New Roman" w:cs="Times New Roman"/>
          <w:snapToGrid w:val="0"/>
        </w:rPr>
        <w:t>。2022年9月9日印发的《广西壮族自治区国内首台（套）重大技术装备认定与奖励实施办法》（桂科高字〔2022〕125号）同时废止。</w:t>
      </w:r>
    </w:p>
    <w:p w14:paraId="7E1096AE">
      <w:pPr>
        <w:pStyle w:val="21"/>
        <w:rPr>
          <w:rFonts w:hint="default" w:ascii="Times New Roman" w:hAnsi="Times New Roman" w:cs="Times New Roman"/>
          <w:snapToGrid w:val="0"/>
        </w:rPr>
      </w:pPr>
      <w:r>
        <w:rPr>
          <w:rFonts w:hint="default" w:ascii="Times New Roman" w:hAnsi="Times New Roman" w:cs="Times New Roman"/>
          <w:snapToGrid w:val="0"/>
        </w:rPr>
        <w:br w:type="page"/>
      </w:r>
    </w:p>
    <w:p w14:paraId="6369E40B">
      <w:pPr>
        <w:pStyle w:val="23"/>
        <w:rPr>
          <w:rFonts w:hint="default" w:ascii="Times New Roman" w:hAnsi="Times New Roman" w:cs="Times New Roman"/>
          <w:snapToGrid w:val="0"/>
        </w:rPr>
      </w:pPr>
    </w:p>
    <w:p w14:paraId="47F6DF3F">
      <w:pPr>
        <w:rPr>
          <w:rFonts w:hint="default" w:ascii="Times New Roman" w:hAnsi="Times New Roman" w:cs="Times New Roman"/>
          <w:snapToGrid w:val="0"/>
        </w:rPr>
      </w:pPr>
    </w:p>
    <w:p w14:paraId="319929E0">
      <w:pPr>
        <w:pStyle w:val="21"/>
        <w:rPr>
          <w:rFonts w:hint="default" w:ascii="Times New Roman" w:hAnsi="Times New Roman" w:cs="Times New Roman"/>
          <w:snapToGrid w:val="0"/>
        </w:rPr>
      </w:pPr>
    </w:p>
    <w:p w14:paraId="551F22BE">
      <w:pPr>
        <w:pStyle w:val="23"/>
        <w:rPr>
          <w:rFonts w:hint="default" w:ascii="Times New Roman" w:hAnsi="Times New Roman" w:cs="Times New Roman"/>
          <w:snapToGrid w:val="0"/>
        </w:rPr>
      </w:pPr>
    </w:p>
    <w:p w14:paraId="541DB66D">
      <w:pPr>
        <w:rPr>
          <w:rFonts w:hint="default" w:ascii="Times New Roman" w:hAnsi="Times New Roman" w:cs="Times New Roman"/>
          <w:snapToGrid w:val="0"/>
        </w:rPr>
      </w:pPr>
    </w:p>
    <w:p w14:paraId="5CECA12C">
      <w:pPr>
        <w:pStyle w:val="21"/>
        <w:rPr>
          <w:rFonts w:hint="default" w:ascii="Times New Roman" w:hAnsi="Times New Roman" w:cs="Times New Roman"/>
          <w:snapToGrid w:val="0"/>
        </w:rPr>
      </w:pPr>
    </w:p>
    <w:p w14:paraId="1292B0C8">
      <w:pPr>
        <w:pStyle w:val="23"/>
        <w:rPr>
          <w:rFonts w:hint="default" w:ascii="Times New Roman" w:hAnsi="Times New Roman" w:cs="Times New Roman"/>
          <w:snapToGrid w:val="0"/>
        </w:rPr>
      </w:pPr>
    </w:p>
    <w:p w14:paraId="4C3444A9">
      <w:pPr>
        <w:rPr>
          <w:rFonts w:hint="default" w:ascii="Times New Roman" w:hAnsi="Times New Roman" w:cs="Times New Roman"/>
          <w:snapToGrid w:val="0"/>
        </w:rPr>
      </w:pPr>
    </w:p>
    <w:p w14:paraId="1BA68E03">
      <w:pPr>
        <w:pStyle w:val="21"/>
        <w:rPr>
          <w:rFonts w:hint="default" w:ascii="Times New Roman" w:hAnsi="Times New Roman" w:cs="Times New Roman"/>
          <w:snapToGrid w:val="0"/>
        </w:rPr>
      </w:pPr>
    </w:p>
    <w:p w14:paraId="00C7E32F">
      <w:pPr>
        <w:pStyle w:val="23"/>
        <w:rPr>
          <w:rFonts w:hint="default" w:ascii="Times New Roman" w:hAnsi="Times New Roman" w:cs="Times New Roman"/>
          <w:snapToGrid w:val="0"/>
        </w:rPr>
      </w:pPr>
    </w:p>
    <w:p w14:paraId="3328E9BE">
      <w:pPr>
        <w:rPr>
          <w:rFonts w:hint="default" w:ascii="Times New Roman" w:hAnsi="Times New Roman" w:cs="Times New Roman"/>
          <w:snapToGrid w:val="0"/>
        </w:rPr>
      </w:pPr>
    </w:p>
    <w:p w14:paraId="6DA4211B">
      <w:pPr>
        <w:pStyle w:val="21"/>
        <w:rPr>
          <w:rFonts w:hint="default" w:ascii="Times New Roman" w:hAnsi="Times New Roman" w:cs="Times New Roman"/>
          <w:snapToGrid w:val="0"/>
        </w:rPr>
      </w:pPr>
    </w:p>
    <w:p w14:paraId="79EA0AA2">
      <w:pPr>
        <w:pStyle w:val="23"/>
        <w:rPr>
          <w:rFonts w:hint="default" w:ascii="Times New Roman" w:hAnsi="Times New Roman" w:cs="Times New Roman"/>
          <w:snapToGrid w:val="0"/>
        </w:rPr>
      </w:pPr>
    </w:p>
    <w:p w14:paraId="4AEDEF5A">
      <w:pPr>
        <w:rPr>
          <w:rFonts w:hint="default" w:ascii="Times New Roman" w:hAnsi="Times New Roman" w:cs="Times New Roman"/>
          <w:snapToGrid w:val="0"/>
        </w:rPr>
      </w:pPr>
    </w:p>
    <w:p w14:paraId="5BBB8F85">
      <w:pPr>
        <w:pStyle w:val="21"/>
        <w:rPr>
          <w:rFonts w:hint="default" w:ascii="Times New Roman" w:hAnsi="Times New Roman" w:cs="Times New Roman"/>
          <w:snapToGrid w:val="0"/>
        </w:rPr>
      </w:pPr>
    </w:p>
    <w:p w14:paraId="7437E3D1">
      <w:pPr>
        <w:pStyle w:val="23"/>
        <w:rPr>
          <w:rFonts w:hint="default" w:ascii="Times New Roman" w:hAnsi="Times New Roman" w:cs="Times New Roman"/>
          <w:snapToGrid w:val="0"/>
        </w:rPr>
      </w:pPr>
    </w:p>
    <w:p w14:paraId="0A231300">
      <w:pPr>
        <w:rPr>
          <w:rFonts w:hint="default" w:ascii="Times New Roman" w:hAnsi="Times New Roman" w:cs="Times New Roman"/>
          <w:snapToGrid w:val="0"/>
        </w:rPr>
      </w:pPr>
    </w:p>
    <w:p w14:paraId="1B0ADB50">
      <w:pPr>
        <w:pStyle w:val="21"/>
        <w:rPr>
          <w:rFonts w:hint="default" w:ascii="Times New Roman" w:hAnsi="Times New Roman" w:cs="Times New Roman"/>
          <w:snapToGrid w:val="0"/>
        </w:rPr>
      </w:pPr>
    </w:p>
    <w:p w14:paraId="757499B3">
      <w:pPr>
        <w:pStyle w:val="23"/>
        <w:rPr>
          <w:rFonts w:hint="default" w:ascii="Times New Roman" w:hAnsi="Times New Roman" w:cs="Times New Roman"/>
          <w:snapToGrid w:val="0"/>
        </w:rPr>
      </w:pPr>
    </w:p>
    <w:p w14:paraId="6DB5ECA9">
      <w:pPr>
        <w:rPr>
          <w:rFonts w:hint="default" w:ascii="Times New Roman" w:hAnsi="Times New Roman" w:cs="Times New Roman"/>
          <w:snapToGrid w:val="0"/>
        </w:rPr>
      </w:pPr>
    </w:p>
    <w:p w14:paraId="359C2673">
      <w:pPr>
        <w:pStyle w:val="21"/>
        <w:rPr>
          <w:rFonts w:hint="default" w:ascii="Times New Roman" w:hAnsi="Times New Roman" w:cs="Times New Roman"/>
          <w:snapToGrid w:val="0"/>
        </w:rPr>
      </w:pPr>
    </w:p>
    <w:p w14:paraId="49664970">
      <w:pPr>
        <w:pStyle w:val="23"/>
        <w:rPr>
          <w:rFonts w:hint="default" w:ascii="Times New Roman" w:hAnsi="Times New Roman" w:cs="Times New Roman"/>
          <w:snapToGrid w:val="0"/>
        </w:rPr>
      </w:pPr>
    </w:p>
    <w:p w14:paraId="778A3496">
      <w:pPr>
        <w:rPr>
          <w:rFonts w:hint="default" w:ascii="Times New Roman" w:hAnsi="Times New Roman" w:cs="Times New Roman"/>
          <w:snapToGrid w:val="0"/>
        </w:rPr>
      </w:pPr>
    </w:p>
    <w:p w14:paraId="50A83196">
      <w:pPr>
        <w:pStyle w:val="21"/>
        <w:rPr>
          <w:rFonts w:hint="default" w:ascii="Times New Roman" w:hAnsi="Times New Roman" w:cs="Times New Roman"/>
          <w:snapToGrid w:val="0"/>
        </w:rPr>
      </w:pPr>
    </w:p>
    <w:p w14:paraId="611471BA">
      <w:pPr>
        <w:rPr>
          <w:rFonts w:hint="default" w:ascii="Times New Roman" w:hAnsi="Times New Roman" w:cs="Times New Roman"/>
          <w:snapToGrid w:val="0"/>
        </w:rPr>
      </w:pPr>
    </w:p>
    <w:p w14:paraId="4D3C85D9">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lang w:eastAsia="zh-CN"/>
        </w:rPr>
      </w:pPr>
    </w:p>
    <w:p w14:paraId="2191058A">
      <w:pPr>
        <w:rPr>
          <w:rFonts w:hint="default" w:ascii="Times New Roman" w:hAnsi="Times New Roman" w:cs="Times New Roman"/>
          <w:snapToGrid w:val="0"/>
        </w:rPr>
      </w:pPr>
    </w:p>
    <w:p w14:paraId="28563774">
      <w:pPr>
        <w:pStyle w:val="2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pPr>
    </w:p>
    <w:tbl>
      <w:tblPr>
        <w:tblStyle w:val="1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92022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noWrap w:val="0"/>
            <w:vAlign w:val="center"/>
          </w:tcPr>
          <w:p w14:paraId="418C296A">
            <w:pPr>
              <w:keepNext w:val="0"/>
              <w:keepLines w:val="0"/>
              <w:pageBreakBefore w:val="0"/>
              <w:widowControl w:val="0"/>
              <w:kinsoku/>
              <w:wordWrap/>
              <w:overflowPunct/>
              <w:topLinePunct w:val="0"/>
              <w:autoSpaceDE/>
              <w:autoSpaceDN/>
              <w:bidi w:val="0"/>
              <w:adjustRightInd/>
              <w:snapToGrid/>
              <w:spacing w:line="360" w:lineRule="exact"/>
              <w:ind w:left="210" w:leftChars="100" w:right="210" w:rightChars="100"/>
              <w:jc w:val="both"/>
              <w:textAlignment w:val="auto"/>
              <w:rPr>
                <w:rFonts w:hint="eastAsia" w:eastAsia="仿宋_GB2312"/>
                <w:sz w:val="28"/>
                <w:szCs w:val="28"/>
                <w:lang w:eastAsia="zh-CN"/>
              </w:rPr>
            </w:pPr>
            <w:r>
              <w:rPr>
                <w:rFonts w:eastAsia="仿宋_GB2312"/>
                <w:sz w:val="28"/>
                <w:szCs w:val="28"/>
              </w:rPr>
              <w:t xml:space="preserve">广西壮族自治区科学技术厅办公室      </w:t>
            </w:r>
            <w:r>
              <w:rPr>
                <w:rFonts w:hint="eastAsia" w:eastAsia="仿宋_GB2312"/>
                <w:sz w:val="28"/>
                <w:szCs w:val="28"/>
                <w:lang w:val="en-US" w:eastAsia="zh-CN"/>
              </w:rPr>
              <w:t xml:space="preserve"> </w:t>
            </w:r>
            <w:r>
              <w:rPr>
                <w:rFonts w:hint="eastAsia" w:eastAsia="仿宋_GB2312"/>
                <w:sz w:val="28"/>
                <w:szCs w:val="28"/>
              </w:rPr>
              <w:t xml:space="preserve">     </w:t>
            </w:r>
            <w:r>
              <w:rPr>
                <w:rFonts w:hint="eastAsia" w:ascii="Times New Roman" w:hAnsi="Times New Roman" w:eastAsia="仿宋_GB2312"/>
                <w:sz w:val="28"/>
                <w:szCs w:val="28"/>
                <w:lang w:val="en" w:eastAsia="zh-CN"/>
              </w:rPr>
              <w:t>2025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tc>
      </w:tr>
    </w:tbl>
    <w:p w14:paraId="439E0532">
      <w:pPr>
        <w:pStyle w:val="34"/>
        <w:keepNext w:val="0"/>
        <w:keepLines w:val="0"/>
        <w:pageBreakBefore w:val="0"/>
        <w:widowControl w:val="0"/>
        <w:kinsoku/>
        <w:wordWrap/>
        <w:overflowPunct/>
        <w:topLinePunct w:val="0"/>
        <w:autoSpaceDE/>
        <w:autoSpaceDN/>
        <w:bidi w:val="0"/>
        <w:adjustRightInd w:val="0"/>
        <w:snapToGrid w:val="0"/>
        <w:spacing w:after="0" w:line="100" w:lineRule="exact"/>
        <w:ind w:left="0" w:leftChars="0" w:firstLine="0" w:firstLineChars="0"/>
        <w:textAlignment w:val="auto"/>
        <w:rPr>
          <w:rFonts w:hint="default" w:ascii="Times New Roman" w:hAnsi="Times New Roman" w:cs="Times New Roman"/>
          <w:snapToGrid w:val="0"/>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3783965</wp:posOffset>
            </wp:positionH>
            <wp:positionV relativeFrom="paragraph">
              <wp:posOffset>96520</wp:posOffset>
            </wp:positionV>
            <wp:extent cx="1790700" cy="476250"/>
            <wp:effectExtent l="0" t="0" r="7620" b="11430"/>
            <wp:wrapSquare wrapText="bothSides"/>
            <wp:docPr id="2" name="图片 2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4"/>
                    <pic:cNvPicPr>
                      <a:picLocks noChangeAspect="1"/>
                    </pic:cNvPicPr>
                  </pic:nvPicPr>
                  <pic:blipFill>
                    <a:blip r:embed="rId8"/>
                    <a:stretch>
                      <a:fillRect/>
                    </a:stretch>
                  </pic:blipFill>
                  <pic:spPr>
                    <a:xfrm>
                      <a:off x="0" y="0"/>
                      <a:ext cx="1790700" cy="476250"/>
                    </a:xfrm>
                    <a:prstGeom prst="rect">
                      <a:avLst/>
                    </a:prstGeom>
                    <a:noFill/>
                    <a:ln>
                      <a:noFill/>
                    </a:ln>
                  </pic:spPr>
                </pic:pic>
              </a:graphicData>
            </a:graphic>
          </wp:anchor>
        </w:drawing>
      </w:r>
    </w:p>
    <w:sectPr>
      <w:headerReference r:id="rId4" w:type="first"/>
      <w:footerReference r:id="rId6" w:type="first"/>
      <w:headerReference r:id="rId3" w:type="default"/>
      <w:footerReference r:id="rId5" w:type="default"/>
      <w:pgSz w:w="11906" w:h="16838"/>
      <w:pgMar w:top="2098" w:right="1531" w:bottom="1701" w:left="1531" w:header="851" w:footer="1417"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宋体"/>
    <w:panose1 w:val="00000000000000000000"/>
    <w:charset w:val="00"/>
    <w:family w:val="auto"/>
    <w:pitch w:val="default"/>
    <w:sig w:usb0="00000000" w:usb1="00000000" w:usb2="00000000" w:usb3="00000000" w:csb0="00040001" w:csb1="00000000"/>
  </w:font>
  <w:font w:name="CG Times">
    <w:altName w:val="Segoe Print"/>
    <w:panose1 w:val="00000000000000000000"/>
    <w:charset w:val="00"/>
    <w:family w:val="roman"/>
    <w:pitch w:val="default"/>
    <w:sig w:usb0="00000000" w:usb1="00000000" w:usb2="00000000" w:usb3="00000000" w:csb0="00000093"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4AED">
    <w:pPr>
      <w:pStyle w:val="8"/>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wps:spPr>
                    <wps:txbx>
                      <w:txbxContent>
                        <w:p w14:paraId="087945D7">
                          <w:pPr>
                            <w:pStyle w:val="8"/>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rPr>
                            <w:t>4</w:t>
                          </w:r>
                          <w:r>
                            <w:rPr>
                              <w:rFonts w:hint="default" w:ascii="Times New Roman" w:hAnsi="Times New Roman" w:eastAsia="宋体"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YPIzRAAAAAwEAAA8AAAAAAAAAAQAgAAAAIgAAAGRycy9kb3ducmV2Lnht&#10;bFBLAQIUABQAAAAIAIdO4kDi4OXUAAIAAA8EAAAOAAAAAAAAAAEAIAAAACABAABkcnMvZTJvRG9j&#10;LnhtbFBLBQYAAAAABgAGAFkBAACSBQAAAAA=&#10;">
              <v:fill on="f" focussize="0,0"/>
              <v:stroke on="f"/>
              <v:imagedata o:title=""/>
              <o:lock v:ext="edit" aspectratio="f"/>
              <v:textbox inset="0mm,0mm,0mm,0mm" style="mso-fit-shape-to-text:t;">
                <w:txbxContent>
                  <w:p w14:paraId="087945D7">
                    <w:pPr>
                      <w:pStyle w:val="8"/>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rPr>
                      <w:t>4</w:t>
                    </w:r>
                    <w:r>
                      <w:rPr>
                        <w:rFonts w:hint="default" w:ascii="Times New Roman" w:hAnsi="Times New Roman" w:eastAsia="宋体"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33E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4E95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FD47">
    <w:pPr>
      <w:pStyle w:val="9"/>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A76B78"/>
    <w:rsid w:val="05CE6EB1"/>
    <w:rsid w:val="06982F19"/>
    <w:rsid w:val="087F6923"/>
    <w:rsid w:val="0B616901"/>
    <w:rsid w:val="0D445412"/>
    <w:rsid w:val="0EAA760A"/>
    <w:rsid w:val="0F7FF451"/>
    <w:rsid w:val="150A07FB"/>
    <w:rsid w:val="16295DD9"/>
    <w:rsid w:val="1C679BEB"/>
    <w:rsid w:val="1FFF2FE7"/>
    <w:rsid w:val="25565D1A"/>
    <w:rsid w:val="27E239F2"/>
    <w:rsid w:val="280F74E7"/>
    <w:rsid w:val="2BC00920"/>
    <w:rsid w:val="2BE01BD6"/>
    <w:rsid w:val="2BE5546A"/>
    <w:rsid w:val="2FBE7385"/>
    <w:rsid w:val="2FDB4BD5"/>
    <w:rsid w:val="30B4648D"/>
    <w:rsid w:val="31E36869"/>
    <w:rsid w:val="335F56CE"/>
    <w:rsid w:val="355A3E1C"/>
    <w:rsid w:val="365A443E"/>
    <w:rsid w:val="373B525E"/>
    <w:rsid w:val="38FB5317"/>
    <w:rsid w:val="39B76556"/>
    <w:rsid w:val="3ACBA423"/>
    <w:rsid w:val="3AFF2A82"/>
    <w:rsid w:val="3B378168"/>
    <w:rsid w:val="3C730A48"/>
    <w:rsid w:val="3EFDAB97"/>
    <w:rsid w:val="3F814D97"/>
    <w:rsid w:val="3FB7E861"/>
    <w:rsid w:val="409A21BD"/>
    <w:rsid w:val="40C44895"/>
    <w:rsid w:val="44685444"/>
    <w:rsid w:val="448F25B4"/>
    <w:rsid w:val="457F1704"/>
    <w:rsid w:val="47FEB27F"/>
    <w:rsid w:val="49051EC1"/>
    <w:rsid w:val="49BF6941"/>
    <w:rsid w:val="4AEB42B2"/>
    <w:rsid w:val="4B0A3EDB"/>
    <w:rsid w:val="4BFD4ED8"/>
    <w:rsid w:val="4CF3C321"/>
    <w:rsid w:val="4D981343"/>
    <w:rsid w:val="4E80705D"/>
    <w:rsid w:val="4F773730"/>
    <w:rsid w:val="4F9F7D77"/>
    <w:rsid w:val="526BFAD4"/>
    <w:rsid w:val="54ED5895"/>
    <w:rsid w:val="55625F0C"/>
    <w:rsid w:val="55F166EF"/>
    <w:rsid w:val="55F51A69"/>
    <w:rsid w:val="59D6E911"/>
    <w:rsid w:val="5AF35FEF"/>
    <w:rsid w:val="5BDF3788"/>
    <w:rsid w:val="5C7F90F5"/>
    <w:rsid w:val="5CA5570E"/>
    <w:rsid w:val="5CC44C22"/>
    <w:rsid w:val="5D1E7563"/>
    <w:rsid w:val="5E7F32B2"/>
    <w:rsid w:val="5EEFA84D"/>
    <w:rsid w:val="5FF68D80"/>
    <w:rsid w:val="6097591A"/>
    <w:rsid w:val="63317BAB"/>
    <w:rsid w:val="642971E3"/>
    <w:rsid w:val="65081EF0"/>
    <w:rsid w:val="66C9548A"/>
    <w:rsid w:val="66DC5137"/>
    <w:rsid w:val="67BF5117"/>
    <w:rsid w:val="68CB0E27"/>
    <w:rsid w:val="68EF1AEA"/>
    <w:rsid w:val="6B276B11"/>
    <w:rsid w:val="6BEB1550"/>
    <w:rsid w:val="6BEFCD41"/>
    <w:rsid w:val="6DDD6149"/>
    <w:rsid w:val="6DF5C13E"/>
    <w:rsid w:val="6EE567C2"/>
    <w:rsid w:val="6FBD5DC6"/>
    <w:rsid w:val="6FEFC0A9"/>
    <w:rsid w:val="6FF351F8"/>
    <w:rsid w:val="6FF9945C"/>
    <w:rsid w:val="700E0E59"/>
    <w:rsid w:val="708664A7"/>
    <w:rsid w:val="71AC61BE"/>
    <w:rsid w:val="71ED0839"/>
    <w:rsid w:val="73CC3568"/>
    <w:rsid w:val="746D3BA9"/>
    <w:rsid w:val="75477E01"/>
    <w:rsid w:val="7577BD57"/>
    <w:rsid w:val="75DF445D"/>
    <w:rsid w:val="76EFBFE8"/>
    <w:rsid w:val="771D4F71"/>
    <w:rsid w:val="777FF295"/>
    <w:rsid w:val="779D17C1"/>
    <w:rsid w:val="77D79942"/>
    <w:rsid w:val="7804098D"/>
    <w:rsid w:val="7A5B709F"/>
    <w:rsid w:val="7B0423A9"/>
    <w:rsid w:val="7B53FAF2"/>
    <w:rsid w:val="7B672258"/>
    <w:rsid w:val="7B7E4307"/>
    <w:rsid w:val="7B853083"/>
    <w:rsid w:val="7BBE793A"/>
    <w:rsid w:val="7BCC0671"/>
    <w:rsid w:val="7BD367CC"/>
    <w:rsid w:val="7BDF8792"/>
    <w:rsid w:val="7BEFAC97"/>
    <w:rsid w:val="7BF76217"/>
    <w:rsid w:val="7C617EB5"/>
    <w:rsid w:val="7D766EB8"/>
    <w:rsid w:val="7DE12D4B"/>
    <w:rsid w:val="7E195214"/>
    <w:rsid w:val="7EAF7766"/>
    <w:rsid w:val="7EE718D5"/>
    <w:rsid w:val="7F3F4B5A"/>
    <w:rsid w:val="7F6F1F45"/>
    <w:rsid w:val="7F7FB280"/>
    <w:rsid w:val="7F8A55D3"/>
    <w:rsid w:val="7F9D9924"/>
    <w:rsid w:val="7FCD5511"/>
    <w:rsid w:val="7FDCEE19"/>
    <w:rsid w:val="7FDF68DD"/>
    <w:rsid w:val="7FFB54B4"/>
    <w:rsid w:val="7FFB6C78"/>
    <w:rsid w:val="7FFD8599"/>
    <w:rsid w:val="7FFFC63F"/>
    <w:rsid w:val="97FE47F4"/>
    <w:rsid w:val="9F7FDD7B"/>
    <w:rsid w:val="A2FF6072"/>
    <w:rsid w:val="A5BBA65B"/>
    <w:rsid w:val="AC9F28CF"/>
    <w:rsid w:val="ADFBB66A"/>
    <w:rsid w:val="AFDD2337"/>
    <w:rsid w:val="B3FD08C4"/>
    <w:rsid w:val="B7550E35"/>
    <w:rsid w:val="B7BC07BC"/>
    <w:rsid w:val="BCFE33B5"/>
    <w:rsid w:val="BDD42B31"/>
    <w:rsid w:val="BE7FEB03"/>
    <w:rsid w:val="BF7B0C10"/>
    <w:rsid w:val="C4FFCE1D"/>
    <w:rsid w:val="CBFF75BF"/>
    <w:rsid w:val="CCDB3AC2"/>
    <w:rsid w:val="CF778927"/>
    <w:rsid w:val="D5E7005E"/>
    <w:rsid w:val="D7AF7D9C"/>
    <w:rsid w:val="D8F7CD20"/>
    <w:rsid w:val="DAFE554F"/>
    <w:rsid w:val="DFDBF448"/>
    <w:rsid w:val="DFFB39AF"/>
    <w:rsid w:val="DFFF8725"/>
    <w:rsid w:val="E3DF7FC2"/>
    <w:rsid w:val="E5BBE460"/>
    <w:rsid w:val="E7AB668E"/>
    <w:rsid w:val="E8BE2972"/>
    <w:rsid w:val="E9A79505"/>
    <w:rsid w:val="EBB5B7E6"/>
    <w:rsid w:val="EBBEF9B4"/>
    <w:rsid w:val="EED63C1C"/>
    <w:rsid w:val="EEDDEB62"/>
    <w:rsid w:val="EFCA8688"/>
    <w:rsid w:val="EFCFDEDE"/>
    <w:rsid w:val="EFF5F5C6"/>
    <w:rsid w:val="EFFDAE11"/>
    <w:rsid w:val="EFFF7839"/>
    <w:rsid w:val="F3F6A645"/>
    <w:rsid w:val="F467F997"/>
    <w:rsid w:val="F6746AED"/>
    <w:rsid w:val="F6B7DA95"/>
    <w:rsid w:val="F76AA324"/>
    <w:rsid w:val="F78BDD7A"/>
    <w:rsid w:val="F7FA6C63"/>
    <w:rsid w:val="F8B58E7C"/>
    <w:rsid w:val="FAEF626A"/>
    <w:rsid w:val="FB0F09C8"/>
    <w:rsid w:val="FBEBEF67"/>
    <w:rsid w:val="FD7F7D61"/>
    <w:rsid w:val="FE47AED9"/>
    <w:rsid w:val="FE9C8992"/>
    <w:rsid w:val="FEB3A6FD"/>
    <w:rsid w:val="FEDFB031"/>
    <w:rsid w:val="FEF462B4"/>
    <w:rsid w:val="FF1F6678"/>
    <w:rsid w:val="FF3F8DFA"/>
    <w:rsid w:val="FFD3ADA4"/>
    <w:rsid w:val="FFFA2D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3">
    <w:name w:val="Normal Indent"/>
    <w:basedOn w:val="1"/>
    <w:next w:val="1"/>
    <w:qFormat/>
    <w:uiPriority w:val="99"/>
    <w:pPr>
      <w:ind w:firstLine="420" w:firstLineChars="200"/>
    </w:pPr>
    <w:rPr>
      <w:rFonts w:cs="Calibri"/>
      <w:szCs w:val="21"/>
    </w:rPr>
  </w:style>
  <w:style w:type="paragraph" w:styleId="4">
    <w:name w:val="Body Text"/>
    <w:basedOn w:val="1"/>
    <w:next w:val="2"/>
    <w:qFormat/>
    <w:uiPriority w:val="0"/>
    <w:pPr>
      <w:spacing w:after="120" w:afterLines="0" w:afterAutospacing="0"/>
    </w:pPr>
  </w:style>
  <w:style w:type="paragraph" w:styleId="5">
    <w:name w:val="Plain Text"/>
    <w:basedOn w:val="1"/>
    <w:qFormat/>
    <w:uiPriority w:val="0"/>
    <w:rPr>
      <w:rFonts w:ascii="宋体" w:hAnsi="Courier New"/>
    </w:rPr>
  </w:style>
  <w:style w:type="paragraph" w:styleId="6">
    <w:name w:val="Date"/>
    <w:basedOn w:val="1"/>
    <w:next w:val="1"/>
    <w:link w:val="17"/>
    <w:unhideWhenUsed/>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qFormat/>
    <w:uiPriority w:val="0"/>
  </w:style>
  <w:style w:type="character" w:customStyle="1" w:styleId="17">
    <w:name w:val="日期 Char"/>
    <w:link w:val="6"/>
    <w:semiHidden/>
    <w:qFormat/>
    <w:uiPriority w:val="0"/>
    <w:rPr>
      <w:kern w:val="2"/>
      <w:sz w:val="21"/>
      <w:szCs w:val="22"/>
    </w:rPr>
  </w:style>
  <w:style w:type="character" w:customStyle="1" w:styleId="18">
    <w:name w:val="批注框文本 Char"/>
    <w:link w:val="7"/>
    <w:qFormat/>
    <w:uiPriority w:val="0"/>
    <w:rPr>
      <w:kern w:val="2"/>
      <w:sz w:val="18"/>
      <w:szCs w:val="18"/>
    </w:rPr>
  </w:style>
  <w:style w:type="character" w:customStyle="1" w:styleId="19">
    <w:name w:val="页脚 Char"/>
    <w:link w:val="8"/>
    <w:qFormat/>
    <w:uiPriority w:val="99"/>
    <w:rPr>
      <w:kern w:val="2"/>
      <w:sz w:val="18"/>
      <w:szCs w:val="18"/>
    </w:rPr>
  </w:style>
  <w:style w:type="character" w:customStyle="1" w:styleId="20">
    <w:name w:val="页眉 Char"/>
    <w:link w:val="9"/>
    <w:qFormat/>
    <w:uiPriority w:val="99"/>
    <w:rPr>
      <w:kern w:val="2"/>
      <w:sz w:val="18"/>
      <w:szCs w:val="18"/>
    </w:rPr>
  </w:style>
  <w:style w:type="paragraph" w:customStyle="1" w:styleId="21">
    <w:name w:val="Default"/>
    <w:basedOn w:val="22"/>
    <w:next w:val="23"/>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2">
    <w:name w:val="纯文本1"/>
    <w:basedOn w:val="1"/>
    <w:qFormat/>
    <w:uiPriority w:val="0"/>
    <w:pPr>
      <w:textAlignment w:val="baseline"/>
    </w:pPr>
    <w:rPr>
      <w:rFonts w:hint="eastAsia" w:ascii="宋体" w:hAnsi="Courier New" w:eastAsia="宋体" w:cs="Times New Roman"/>
      <w:sz w:val="21"/>
      <w:szCs w:val="24"/>
    </w:rPr>
  </w:style>
  <w:style w:type="paragraph" w:customStyle="1" w:styleId="2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4">
    <w:name w:val="正文1"/>
    <w:qFormat/>
    <w:uiPriority w:val="0"/>
    <w:pPr>
      <w:jc w:val="both"/>
    </w:pPr>
    <w:rPr>
      <w:rFonts w:cs="宋体"/>
      <w:kern w:val="2"/>
      <w:sz w:val="21"/>
      <w:szCs w:val="21"/>
      <w:lang w:val="en-US" w:eastAsia="zh-CN" w:bidi="ar-SA"/>
    </w:rPr>
  </w:style>
  <w:style w:type="paragraph" w:styleId="25">
    <w:name w:val="List Paragraph"/>
    <w:basedOn w:val="1"/>
    <w:qFormat/>
    <w:uiPriority w:val="99"/>
    <w:pPr>
      <w:ind w:firstLine="420" w:firstLineChars="200"/>
    </w:pPr>
  </w:style>
  <w:style w:type="paragraph" w:customStyle="1" w:styleId="26">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7">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28">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1">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3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3">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4">
    <w:name w:val="w0正文"/>
    <w:basedOn w:val="1"/>
    <w:qFormat/>
    <w:uiPriority w:val="0"/>
    <w:pPr>
      <w:keepNext w:val="0"/>
      <w:keepLines w:val="0"/>
      <w:widowControl w:val="0"/>
      <w:suppressLineNumbers w:val="0"/>
      <w:spacing w:before="0" w:beforeAutospacing="0" w:after="160" w:afterAutospacing="0" w:line="560" w:lineRule="exact"/>
      <w:ind w:left="0" w:right="0" w:firstLine="640" w:firstLineChars="200"/>
      <w:jc w:val="both"/>
    </w:pPr>
    <w:rPr>
      <w:rFonts w:hint="default" w:ascii="Times New Roman" w:hAnsi="Times New Roman" w:eastAsia="仿宋_GB2312" w:cs="Times New Roman"/>
      <w:kern w:val="2"/>
      <w:sz w:val="32"/>
      <w:szCs w:val="32"/>
      <w:lang w:val="en-US" w:eastAsia="zh-CN" w:bidi="ar"/>
    </w:rPr>
  </w:style>
  <w:style w:type="character" w:customStyle="1" w:styleId="35">
    <w:name w:val="fontstyle01"/>
    <w:basedOn w:val="14"/>
    <w:qFormat/>
    <w:uiPriority w:val="0"/>
    <w:rPr>
      <w:rFonts w:hint="eastAsia" w:ascii="仿宋_GB2312" w:eastAsia="仿宋_GB2312" w:cs="仿宋_GB2312"/>
      <w:color w:val="000000"/>
      <w:sz w:val="32"/>
      <w:szCs w:val="32"/>
    </w:rPr>
  </w:style>
  <w:style w:type="character" w:customStyle="1" w:styleId="36">
    <w:name w:val="15"/>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8</Pages>
  <Words>273</Words>
  <Characters>281</Characters>
  <Lines>25</Lines>
  <Paragraphs>7</Paragraphs>
  <TotalTime>10.6666666666667</TotalTime>
  <ScaleCrop>false</ScaleCrop>
  <LinksUpToDate>false</LinksUpToDate>
  <CharactersWithSpaces>283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2023-01-22T19:12:00Z</dcterms:created>
  <dc:creator>梁晖</dc:creator>
  <cp:lastModifiedBy>墨迹夏子</cp:lastModifiedBy>
  <cp:lastPrinted>2025-04-27T07:16:55Z</cp:lastPrinted>
  <dcterms:modified xsi:type="dcterms:W3CDTF">2025-05-12T04:29:26Z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DCC5730D1E444C569C2AC1A5B6737527_13</vt:lpwstr>
  </property>
</Properties>
</file>