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河南省药品监督管理局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关于进一步深化药品监管改革创新 服务推动医药产业高质量发展的实施意见》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（征求意见稿）的起草说明</w:t>
      </w:r>
    </w:p>
    <w:p>
      <w:pPr>
        <w:pStyle w:val="3"/>
        <w:rPr>
          <w:rFonts w:hint="eastAsia" w:ascii="CESI仿宋-GB2312" w:hAnsi="CESI仿宋-GB2312" w:eastAsia="CESI仿宋-GB2312" w:cs="CESI仿宋-GB2312"/>
          <w:lang w:val="en" w:eastAsia="zh-CN"/>
        </w:rPr>
      </w:pPr>
    </w:p>
    <w:p>
      <w:pPr>
        <w:pStyle w:val="4"/>
        <w:ind w:firstLine="630"/>
        <w:jc w:val="both"/>
        <w:rPr>
          <w:rFonts w:hint="eastAsia" w:hAnsi="CESI仿宋-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为深入贯彻党的二十届三中全会精神和《国务院办公厅关于全面深化药品医疗器械监管改革 促进医药产业高质量发展的意见》（国办发〔2024〕53号）等文件精神，认真贯彻落实省委、省政府和国家药监局部署要求，</w:t>
      </w:r>
      <w:r>
        <w:rPr>
          <w:rFonts w:hint="eastAsia" w:hAnsi="CESI仿宋-GB2312" w:cs="CESI仿宋-GB2312"/>
          <w:sz w:val="32"/>
          <w:szCs w:val="32"/>
          <w:lang w:eastAsia="zh-CN"/>
        </w:rPr>
        <w:t>河南省药品监督管理局组织起草了《关于进一步深化药品监管改革创新 服务推动医药产业高质量发展的实施意见》（征求意见稿，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以下简称《实施意见》）</w:t>
      </w:r>
      <w:r>
        <w:rPr>
          <w:rFonts w:hint="eastAsia" w:hAnsi="CESI仿宋-GB2312" w:cs="CESI仿宋-GB2312"/>
          <w:sz w:val="32"/>
          <w:szCs w:val="32"/>
          <w:lang w:eastAsia="zh-CN"/>
        </w:rPr>
        <w:t>，现将有关情况说明如下：</w:t>
      </w:r>
    </w:p>
    <w:p>
      <w:pPr>
        <w:pStyle w:val="5"/>
        <w:ind w:firstLine="63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一、起草背景</w:t>
      </w:r>
    </w:p>
    <w:p>
      <w:pPr>
        <w:ind w:firstLine="63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highlight w:val="none"/>
          <w:shd w:val="clear" w:color="auto" w:fill="auto"/>
        </w:rPr>
        <w:t>党的二十届三中全会作出了完善药品安全责任体系、推动生物医药和医疗装备产业发展、健全支持创新药和医疗器械发展机制、完善中医药传承创新发展机制、促进“三医”协同发展和治理等一系列改革部署</w:t>
      </w:r>
      <w:r>
        <w:rPr>
          <w:rFonts w:hint="eastAsia" w:ascii="宋体" w:hAnsi="宋体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  <w:lang w:val="en-US" w:eastAsia="zh-CN"/>
        </w:rPr>
        <w:t>2024年12月，</w:t>
      </w:r>
      <w:r>
        <w:rPr>
          <w:rFonts w:hint="eastAsia" w:ascii="仿宋_GB2312" w:hAnsi="黑体" w:eastAsia="仿宋_GB2312"/>
          <w:sz w:val="32"/>
          <w:szCs w:val="32"/>
        </w:rPr>
        <w:t>国务院办公厅印发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《关于全面深化药品医疗器械监管改革</w:t>
      </w:r>
      <w:r>
        <w:rPr>
          <w:rFonts w:hint="eastAsia" w:ascii="仿宋_GB2312" w:hAnsi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促进医药产业高质量发展的意见》（国办发〔2024〕53号），对进一步全面深化药品监管改革作出全面谋划和系统部署</w:t>
      </w:r>
      <w:r>
        <w:rPr>
          <w:rFonts w:hint="eastAsia" w:ascii="仿宋_GB2312" w:hAnsi="CESI仿宋-GB2312" w:cs="CESI仿宋-GB2312"/>
          <w:sz w:val="32"/>
          <w:szCs w:val="32"/>
          <w:lang w:eastAsia="zh-CN"/>
        </w:rPr>
        <w:t>，明确要求推动各项任务落实落细，确保各项政策措施落地见效。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省委、省政府提出了“四高四争先”的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总任务要求，作出了河南融入服务全国统一大市场建设的战略部署，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把医药产业纳入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重点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产业链群建设总体布局，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谋划部署了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壮大生物医药等新兴产业“增长点”、实施新兴产业强链行动等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重大任务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，对深化药品监管改革创新、服务推动医药产业高质量发展提出了更高要求。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医药企业主体多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大型龙头企业少，普通产品多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高附加值产品少，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研发创新能力不足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成果不多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等发展短板依然存在，医药企业对深化监管改革、强化政策支持、助推产业发展的诉求更加迫切。</w:t>
      </w:r>
    </w:p>
    <w:p>
      <w:pPr>
        <w:ind w:firstLine="630"/>
        <w:rPr>
          <w:rFonts w:hint="eastAsia" w:ascii="仿宋_GB2312" w:hAnsi="黑体" w:eastAsia="仿宋_GB2312" w:cs="CESI黑体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研究制定《实施意见》，为医药企业提供更多“合身”“解渴”“有感”的政策服务，是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深入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贯彻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落实党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中央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、国务院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决策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部署和省委、省政府、国家药监局部署要求的具体行动，是统筹药品高水平安全和医药产业高质量发展的现实需要，是提升医药产业合规水平、激发产业创新发展活力的有力举措，有利于</w:t>
      </w:r>
      <w:r>
        <w:rPr>
          <w:rFonts w:hint="eastAsia" w:ascii="仿宋_GB2312" w:hAnsi="黑体" w:eastAsia="仿宋_GB2312" w:cs="CESI黑体-GB2312"/>
          <w:color w:val="auto"/>
          <w:sz w:val="32"/>
          <w:szCs w:val="32"/>
        </w:rPr>
        <w:t>深化药品监管全过程改革创新，</w:t>
      </w:r>
      <w:r>
        <w:rPr>
          <w:rFonts w:hint="eastAsia" w:ascii="仿宋_GB2312" w:hAnsi="黑体" w:eastAsia="仿宋_GB2312" w:cs="CESI黑体-GB2312"/>
          <w:color w:val="auto"/>
          <w:sz w:val="32"/>
          <w:szCs w:val="32"/>
          <w:lang w:eastAsia="zh-CN"/>
        </w:rPr>
        <w:t>持续助推</w:t>
      </w:r>
      <w:r>
        <w:rPr>
          <w:rFonts w:hint="eastAsia" w:ascii="仿宋_GB2312" w:hAnsi="黑体" w:eastAsia="仿宋_GB2312" w:cs="CESI黑体-GB2312"/>
          <w:color w:val="auto"/>
          <w:sz w:val="32"/>
          <w:szCs w:val="32"/>
        </w:rPr>
        <w:t>医药产业高质量发展，</w:t>
      </w:r>
      <w:r>
        <w:rPr>
          <w:rFonts w:hint="eastAsia" w:ascii="仿宋_GB2312" w:hAnsi="黑体" w:cs="CESI黑体-GB2312"/>
          <w:color w:val="auto"/>
          <w:sz w:val="32"/>
          <w:szCs w:val="32"/>
          <w:lang w:eastAsia="zh-CN"/>
        </w:rPr>
        <w:t>全面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</w:rPr>
        <w:t>融入服务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lang w:eastAsia="zh-CN"/>
        </w:rPr>
        <w:t>药品领域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</w:rPr>
        <w:t>全国统一大市场建设，更好满足人民群众对高质量药品医疗器械化妆品的需求</w:t>
      </w:r>
      <w:r>
        <w:rPr>
          <w:rFonts w:hint="eastAsia" w:ascii="仿宋_GB2312" w:hAnsi="黑体" w:eastAsia="仿宋_GB2312" w:cs="CESI黑体-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32" w:firstLineChars="200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  <w:t>二、起草过程</w:t>
      </w:r>
    </w:p>
    <w:p>
      <w:pPr>
        <w:rPr>
          <w:rFonts w:hint="eastAsia" w:ascii="CESI仿宋-GB2312" w:hAnsi="CESI仿宋-GB2312" w:eastAsia="CESI仿宋-GB2312" w:cs="CESI仿宋-GB2312"/>
          <w:color w:val="000000"/>
          <w:sz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省药监局成立《实施意见》起草工作专班，认真学习中央和我省有关会议文件精神，全面梳理药品监管相关法律法规和现有政策，系统总结近年来推进监管改革、服务产业发展的做法成效，结合我省药品监管工作实际，通过开展实地调研、组织</w:t>
      </w:r>
      <w:r>
        <w:rPr>
          <w:rFonts w:hint="eastAsia" w:ascii="CESI仿宋-GB2312" w:hAnsi="CESI仿宋-GB2312" w:eastAsia="CESI仿宋-GB2312" w:cs="CESI仿宋-GB2312"/>
          <w:color w:val="000000"/>
          <w:sz w:val="32"/>
          <w:lang w:val="en-US" w:eastAsia="zh-CN"/>
        </w:rPr>
        <w:t>召开</w:t>
      </w:r>
      <w:r>
        <w:rPr>
          <w:rFonts w:hint="eastAsia" w:ascii="CESI仿宋-GB2312" w:hAnsi="CESI仿宋-GB2312" w:eastAsia="CESI仿宋-GB2312" w:cs="CESI仿宋-GB2312"/>
          <w:color w:val="000000"/>
          <w:sz w:val="32"/>
          <w:lang w:eastAsia="zh-CN"/>
        </w:rPr>
        <w:t>全省医药企业座谈会等方式进行深入研讨，广泛听取各方意见建议，在此基础上，研究起草了《实施意见》（征求意见稿）。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  <w:t xml:space="preserve"> 三、主要内容</w:t>
      </w:r>
    </w:p>
    <w:p>
      <w:pPr>
        <w:ind w:firstLine="630"/>
        <w:rPr>
          <w:rFonts w:hint="eastAsia" w:ascii="仿宋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《实施意见》（征求意见稿）</w:t>
      </w:r>
      <w:r>
        <w:rPr>
          <w:rFonts w:hint="eastAsia" w:ascii="仿宋_GB2312"/>
          <w:color w:val="000000"/>
          <w:sz w:val="32"/>
          <w:lang w:eastAsia="zh-CN"/>
        </w:rPr>
        <w:t>分为三部分，主要内容如下：</w:t>
      </w:r>
    </w:p>
    <w:p>
      <w:pPr>
        <w:ind w:firstLine="630"/>
        <w:rPr>
          <w:rFonts w:hint="eastAsia" w:ascii="仿宋_GB2312"/>
          <w:color w:val="000000"/>
          <w:sz w:val="32"/>
          <w:lang w:eastAsia="zh-CN"/>
        </w:rPr>
      </w:pPr>
      <w:r>
        <w:rPr>
          <w:rFonts w:hint="eastAsia" w:ascii="仿宋_GB2312"/>
          <w:color w:val="000000"/>
          <w:sz w:val="32"/>
          <w:lang w:eastAsia="zh-CN"/>
        </w:rPr>
        <w:t>第一部分是总体要求，明确了深化药品监管改革创新、服务推动医药产业高质量发展的指导思想和主要目标，提出通过进一步深化药品监管改革创新，监管体系、监管机制、监管能力更好适应医药创新和产业高质量发展需求，医药企业获得感和产业创新发展活力显著增强，“两品一械”质量安全水平全面提高，医药产业高质量发展实现更大突破。</w:t>
      </w:r>
    </w:p>
    <w:p>
      <w:pPr>
        <w:ind w:firstLine="630"/>
        <w:rPr>
          <w:rFonts w:hint="eastAsia" w:ascii="仿宋_GB2312"/>
          <w:color w:val="000000"/>
          <w:sz w:val="32"/>
          <w:lang w:val="en-US" w:eastAsia="zh-CN"/>
        </w:rPr>
      </w:pPr>
      <w:r>
        <w:rPr>
          <w:rFonts w:hint="eastAsia" w:ascii="仿宋_GB2312"/>
          <w:color w:val="000000"/>
          <w:sz w:val="32"/>
          <w:lang w:eastAsia="zh-CN"/>
        </w:rPr>
        <w:t>第二部分是重点任务，提出了</w:t>
      </w:r>
      <w:r>
        <w:rPr>
          <w:rFonts w:hint="eastAsia" w:ascii="仿宋_GB2312"/>
          <w:color w:val="000000"/>
          <w:sz w:val="32"/>
          <w:lang w:val="en-US" w:eastAsia="zh-CN"/>
        </w:rPr>
        <w:t>4</w:t>
      </w:r>
      <w:r>
        <w:rPr>
          <w:rFonts w:hint="eastAsia" w:ascii="仿宋_GB2312"/>
          <w:color w:val="000000"/>
          <w:sz w:val="32"/>
          <w:lang w:eastAsia="zh-CN"/>
        </w:rPr>
        <w:t>个方面</w:t>
      </w:r>
      <w:r>
        <w:rPr>
          <w:rFonts w:hint="eastAsia" w:ascii="仿宋_GB2312"/>
          <w:color w:val="000000"/>
          <w:sz w:val="32"/>
          <w:lang w:val="en-US" w:eastAsia="zh-CN"/>
        </w:rPr>
        <w:t>24条改革举措。</w:t>
      </w:r>
      <w:r>
        <w:rPr>
          <w:rFonts w:hint="eastAsia" w:ascii="CESI楷体-GB2312" w:hAnsi="CESI楷体-GB2312" w:eastAsia="CESI楷体-GB2312" w:cs="CESI楷体-GB2312"/>
          <w:color w:val="000000"/>
          <w:sz w:val="32"/>
          <w:lang w:val="en-US" w:eastAsia="zh-CN"/>
        </w:rPr>
        <w:t>一是深化改革创新，全链条支持产业高质量发展。</w:t>
      </w:r>
      <w:r>
        <w:rPr>
          <w:rFonts w:hint="eastAsia" w:ascii="仿宋_GB2312"/>
          <w:color w:val="000000"/>
          <w:sz w:val="32"/>
          <w:lang w:val="en-US" w:eastAsia="zh-CN"/>
        </w:rPr>
        <w:t>提出争取国家药品监管改革试点、提升创新药械临床试验质效、推动仿制药稳步发展、促进中医药传承创新发展、优化医疗器械注册审批、支持药械流通领域新业态发展、优化无菌医疗器械产品出厂放行条件、支持药品医疗器械出口贸易、依托技术支撑资源服务产业发展、协同搭建创新药械研发转化平台、培育发展医药新质生产力等措施，从政策支撑、监管创新、服务提质等方面支持推动医药产业高质量发展。</w:t>
      </w:r>
      <w:r>
        <w:rPr>
          <w:rFonts w:hint="eastAsia" w:ascii="CESI楷体-GB2312" w:hAnsi="CESI楷体-GB2312" w:eastAsia="CESI楷体-GB2312" w:cs="CESI楷体-GB2312"/>
          <w:color w:val="000000"/>
          <w:sz w:val="32"/>
          <w:lang w:val="en-US" w:eastAsia="zh-CN"/>
        </w:rPr>
        <w:t>二是优化审评审批，全流程提升服务发展质效。</w:t>
      </w:r>
      <w:r>
        <w:rPr>
          <w:rFonts w:hint="eastAsia" w:ascii="仿宋_GB2312"/>
          <w:color w:val="000000"/>
          <w:sz w:val="32"/>
          <w:lang w:val="en-US" w:eastAsia="zh-CN"/>
        </w:rPr>
        <w:t>提出推动政务服务提质增效、优化药品生产经营审批服务、建立健全融合检查机制、高效开展审评审批、提高药械检验检测效率等措施，全面优化提升审评审批服务，</w:t>
      </w:r>
      <w:r>
        <w:rPr>
          <w:rFonts w:hint="eastAsia" w:ascii="仿宋_GB2312" w:hAnsi="CESI仿宋-GB2312" w:cs="CESI仿宋-GB2312"/>
          <w:sz w:val="32"/>
          <w:szCs w:val="24"/>
          <w:lang w:eastAsia="zh-CN"/>
        </w:rPr>
        <w:t>全力助推</w:t>
      </w:r>
      <w:r>
        <w:rPr>
          <w:rFonts w:hint="eastAsia" w:ascii="仿宋_GB2312"/>
          <w:color w:val="000000"/>
          <w:sz w:val="32"/>
          <w:lang w:val="en-US" w:eastAsia="zh-CN"/>
        </w:rPr>
        <w:t>医药产业高质量发展。</w:t>
      </w:r>
      <w:r>
        <w:rPr>
          <w:rFonts w:hint="eastAsia" w:ascii="CESI楷体-GB2312" w:hAnsi="CESI楷体-GB2312" w:eastAsia="CESI楷体-GB2312" w:cs="CESI楷体-GB2312"/>
          <w:color w:val="000000"/>
          <w:sz w:val="32"/>
          <w:lang w:val="en-US" w:eastAsia="zh-CN"/>
        </w:rPr>
        <w:t>三是坚持协同治理，全领域完善药品安全责任体系。</w:t>
      </w:r>
      <w:r>
        <w:rPr>
          <w:rFonts w:hint="eastAsia" w:ascii="仿宋_GB2312"/>
          <w:color w:val="000000"/>
          <w:sz w:val="32"/>
          <w:lang w:val="en-US" w:eastAsia="zh-CN"/>
        </w:rPr>
        <w:t>提出督促落实企业主体责任、推动落实属地管理责任、全面落实部门监管责任、完善药品监管协同机制等措施，着力实现药品安全</w:t>
      </w:r>
      <w:r>
        <w:rPr>
          <w:rFonts w:hint="eastAsia" w:ascii="宋体" w:hAnsi="宋体"/>
          <w:sz w:val="32"/>
          <w:szCs w:val="32"/>
          <w:highlight w:val="none"/>
          <w:shd w:val="clear" w:color="auto" w:fill="auto"/>
        </w:rPr>
        <w:t>同责共担、同题共答、同向发力。</w:t>
      </w:r>
      <w:r>
        <w:rPr>
          <w:rFonts w:hint="eastAsia" w:ascii="CESI楷体-GB2312" w:hAnsi="CESI楷体-GB2312" w:eastAsia="CESI楷体-GB2312" w:cs="CESI楷体-GB2312"/>
          <w:color w:val="000000"/>
          <w:sz w:val="32"/>
          <w:lang w:val="en-US" w:eastAsia="zh-CN"/>
        </w:rPr>
        <w:t>四是聚焦培基固本，全方位加强监管能力建设。</w:t>
      </w:r>
      <w:r>
        <w:rPr>
          <w:rFonts w:hint="eastAsia" w:ascii="仿宋_GB2312"/>
          <w:color w:val="000000"/>
          <w:sz w:val="32"/>
          <w:lang w:val="en-US" w:eastAsia="zh-CN"/>
        </w:rPr>
        <w:t>提出加强专业监管队伍建设、严格规范涉企检查执法、完善药品智慧监管体系、持续提升技术支撑能力等措施，构建适应产业发展和安全需要的监管体系和监管能力。</w:t>
      </w:r>
    </w:p>
    <w:p>
      <w:pPr>
        <w:ind w:firstLine="630"/>
        <w:rPr>
          <w:rFonts w:hint="eastAsia" w:ascii="仿宋_GB2312"/>
          <w:color w:val="000000"/>
          <w:sz w:val="32"/>
          <w:lang w:val="en-US" w:eastAsia="zh-CN"/>
        </w:rPr>
      </w:pPr>
      <w:r>
        <w:rPr>
          <w:rFonts w:hint="eastAsia" w:ascii="仿宋_GB2312"/>
          <w:color w:val="000000"/>
          <w:sz w:val="32"/>
          <w:lang w:val="en-US" w:eastAsia="zh-CN"/>
        </w:rPr>
        <w:t>第三部分是保障措施，提出加强组织领导、协同推进落实、注重宣传引导等措施，明确坚持项目化推进、清单化管理、精细化落实，聚力推动各项改革政策措施落地见效，统筹提升医药产业合规水平，有力助推医药产业高质量发展。</w:t>
      </w:r>
    </w:p>
    <w:p>
      <w:pPr>
        <w:pStyle w:val="3"/>
        <w:ind w:firstLine="63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EFF" w:usb1="4000785B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HorizontalSpacing w:val="315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19"/>
    <w:rsid w:val="00021315"/>
    <w:rsid w:val="00022FA8"/>
    <w:rsid w:val="00050C6C"/>
    <w:rsid w:val="0006761A"/>
    <w:rsid w:val="00124A52"/>
    <w:rsid w:val="00151DC8"/>
    <w:rsid w:val="00176619"/>
    <w:rsid w:val="00184572"/>
    <w:rsid w:val="001B2E7D"/>
    <w:rsid w:val="001B4091"/>
    <w:rsid w:val="001B7C39"/>
    <w:rsid w:val="001F7444"/>
    <w:rsid w:val="002273F3"/>
    <w:rsid w:val="002325B1"/>
    <w:rsid w:val="0026449E"/>
    <w:rsid w:val="002912B7"/>
    <w:rsid w:val="00292425"/>
    <w:rsid w:val="002C367E"/>
    <w:rsid w:val="0034160F"/>
    <w:rsid w:val="00357C1E"/>
    <w:rsid w:val="003617E0"/>
    <w:rsid w:val="003807FA"/>
    <w:rsid w:val="0039043B"/>
    <w:rsid w:val="003C7559"/>
    <w:rsid w:val="003D3970"/>
    <w:rsid w:val="004216C1"/>
    <w:rsid w:val="004D31B3"/>
    <w:rsid w:val="004D33EB"/>
    <w:rsid w:val="004D7DAE"/>
    <w:rsid w:val="00545935"/>
    <w:rsid w:val="005A016E"/>
    <w:rsid w:val="005A39CF"/>
    <w:rsid w:val="005B6EE1"/>
    <w:rsid w:val="00601E3A"/>
    <w:rsid w:val="00602843"/>
    <w:rsid w:val="00610FCF"/>
    <w:rsid w:val="0068358F"/>
    <w:rsid w:val="00685238"/>
    <w:rsid w:val="0069443C"/>
    <w:rsid w:val="006D498D"/>
    <w:rsid w:val="006E464A"/>
    <w:rsid w:val="007055DA"/>
    <w:rsid w:val="00705608"/>
    <w:rsid w:val="00713552"/>
    <w:rsid w:val="00754CBE"/>
    <w:rsid w:val="007851DA"/>
    <w:rsid w:val="00790590"/>
    <w:rsid w:val="007E3455"/>
    <w:rsid w:val="00821677"/>
    <w:rsid w:val="0082169C"/>
    <w:rsid w:val="00831CC9"/>
    <w:rsid w:val="00877961"/>
    <w:rsid w:val="00883E4B"/>
    <w:rsid w:val="0089491C"/>
    <w:rsid w:val="00896EDF"/>
    <w:rsid w:val="008B4207"/>
    <w:rsid w:val="008C62F1"/>
    <w:rsid w:val="008F370A"/>
    <w:rsid w:val="009508F0"/>
    <w:rsid w:val="00A13CCF"/>
    <w:rsid w:val="00A237BF"/>
    <w:rsid w:val="00A912D3"/>
    <w:rsid w:val="00AC4664"/>
    <w:rsid w:val="00AE4BA4"/>
    <w:rsid w:val="00B3005F"/>
    <w:rsid w:val="00B31E52"/>
    <w:rsid w:val="00B528E3"/>
    <w:rsid w:val="00B749C3"/>
    <w:rsid w:val="00BD7221"/>
    <w:rsid w:val="00C128E9"/>
    <w:rsid w:val="00C63D59"/>
    <w:rsid w:val="00CA6D71"/>
    <w:rsid w:val="00CB4437"/>
    <w:rsid w:val="00CD3C1F"/>
    <w:rsid w:val="00CF7941"/>
    <w:rsid w:val="00D068F4"/>
    <w:rsid w:val="00D11152"/>
    <w:rsid w:val="00D2036B"/>
    <w:rsid w:val="00D61388"/>
    <w:rsid w:val="00D86C3A"/>
    <w:rsid w:val="00D94552"/>
    <w:rsid w:val="00DB19B4"/>
    <w:rsid w:val="00DB43CA"/>
    <w:rsid w:val="00E079B2"/>
    <w:rsid w:val="00E60ADB"/>
    <w:rsid w:val="00E64ECA"/>
    <w:rsid w:val="00EA232F"/>
    <w:rsid w:val="00EC69DA"/>
    <w:rsid w:val="00ED5662"/>
    <w:rsid w:val="00F1777F"/>
    <w:rsid w:val="00F2744F"/>
    <w:rsid w:val="00F57EF1"/>
    <w:rsid w:val="00F63889"/>
    <w:rsid w:val="00FC6F33"/>
    <w:rsid w:val="0FAB5BA6"/>
    <w:rsid w:val="1FEF31EB"/>
    <w:rsid w:val="2C8E3A9A"/>
    <w:rsid w:val="300A6E3F"/>
    <w:rsid w:val="35445845"/>
    <w:rsid w:val="3F5D53BC"/>
    <w:rsid w:val="69DF123F"/>
    <w:rsid w:val="69FFAA43"/>
    <w:rsid w:val="6F740ADE"/>
    <w:rsid w:val="6FE73FEA"/>
    <w:rsid w:val="77269EE4"/>
    <w:rsid w:val="77D73E02"/>
    <w:rsid w:val="7BEF7D1D"/>
    <w:rsid w:val="7BFB430C"/>
    <w:rsid w:val="7DEB9FE7"/>
    <w:rsid w:val="7E7E6D36"/>
    <w:rsid w:val="7EFFC0E7"/>
    <w:rsid w:val="A7FE4B8C"/>
    <w:rsid w:val="BE29A18C"/>
    <w:rsid w:val="C8F51EB0"/>
    <w:rsid w:val="CEFF79D4"/>
    <w:rsid w:val="D65FB310"/>
    <w:rsid w:val="DFAAD68D"/>
    <w:rsid w:val="EB4F1AC5"/>
    <w:rsid w:val="EBE3E7A0"/>
    <w:rsid w:val="EE6F333B"/>
    <w:rsid w:val="EF7AE5B1"/>
    <w:rsid w:val="EF95C10B"/>
    <w:rsid w:val="F5FBAF15"/>
    <w:rsid w:val="FA6F59A3"/>
    <w:rsid w:val="FA9F5FC8"/>
    <w:rsid w:val="FAE3158D"/>
    <w:rsid w:val="FEB56E1F"/>
    <w:rsid w:val="FEFF7F7F"/>
    <w:rsid w:val="FF5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napToGrid w:val="0"/>
      <w:spacing w:line="493" w:lineRule="atLeast"/>
      <w:jc w:val="center"/>
      <w:textAlignment w:val="baseline"/>
    </w:pPr>
    <w:rPr>
      <w:rFonts w:ascii="宋体" w:hAnsi="Times New Roman" w:eastAsia="仿宋_GB2312" w:cs="Times New Roman"/>
      <w:b/>
      <w:color w:val="000000"/>
      <w:spacing w:val="175"/>
      <w:kern w:val="0"/>
      <w:sz w:val="36"/>
      <w:szCs w:val="20"/>
    </w:rPr>
  </w:style>
  <w:style w:type="paragraph" w:customStyle="1" w:styleId="4">
    <w:name w:val="Default"/>
    <w:next w:val="5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32"/>
      <w:szCs w:val="22"/>
      <w:lang w:val="en-US" w:eastAsia="zh-CN" w:bidi="ar-SA"/>
    </w:rPr>
  </w:style>
  <w:style w:type="paragraph" w:styleId="5">
    <w:name w:val="Subtitle"/>
    <w:basedOn w:val="1"/>
    <w:next w:val="1"/>
    <w:qFormat/>
    <w:uiPriority w:val="0"/>
    <w:pPr>
      <w:widowControl w:val="0"/>
      <w:wordWrap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Body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页眉 Char"/>
    <w:link w:val="9"/>
    <w:qFormat/>
    <w:uiPriority w:val="99"/>
    <w:rPr>
      <w:rFonts w:eastAsia="仿宋"/>
      <w:kern w:val="2"/>
      <w:sz w:val="18"/>
      <w:szCs w:val="18"/>
    </w:rPr>
  </w:style>
  <w:style w:type="character" w:customStyle="1" w:styleId="14">
    <w:name w:val="页脚 Char"/>
    <w:link w:val="8"/>
    <w:qFormat/>
    <w:uiPriority w:val="99"/>
    <w:rPr>
      <w:rFonts w:eastAsia="仿宋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rFonts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nghe/C:\Users\Administrator\AppData\Roaming\Microsoft\Templates\&#25105;&#30340;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我的公文.dot</Template>
  <Company>P R C</Company>
  <Pages>1</Pages>
  <Words>357</Words>
  <Characters>2039</Characters>
  <Lines>16</Lines>
  <Paragraphs>4</Paragraphs>
  <TotalTime>10</TotalTime>
  <ScaleCrop>false</ScaleCrop>
  <LinksUpToDate>false</LinksUpToDate>
  <CharactersWithSpaces>2392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2021-08-04T21:56:00Z</dcterms:created>
  <dc:creator>Windows User</dc:creator>
  <cp:lastModifiedBy>huanghe</cp:lastModifiedBy>
  <cp:lastPrinted>2021-08-06T01:20:00Z</cp:lastPrinted>
  <dcterms:modified xsi:type="dcterms:W3CDTF">2025-04-27T17:35:15Z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