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河南省药品监督管理局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关于进一步深化药品监管改革创新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服务推动医药产业高质量发展的实施意见</w:t>
      </w:r>
    </w:p>
    <w:p>
      <w:pPr>
        <w:spacing w:line="560" w:lineRule="exact"/>
        <w:jc w:val="center"/>
        <w:rPr>
          <w:rFonts w:hint="eastAsia" w:ascii="CESI楷体-GB2312" w:hAnsi="CESI楷体-GB2312" w:eastAsia="CESI楷体-GB2312" w:cs="CESI楷体-GB2312"/>
          <w:color w:val="auto"/>
          <w:sz w:val="32"/>
          <w:szCs w:val="32"/>
          <w:lang w:val="en" w:eastAsia="zh-CN"/>
        </w:rPr>
      </w:pPr>
      <w:r>
        <w:rPr>
          <w:rFonts w:hint="eastAsia" w:ascii="CESI楷体-GB2312" w:hAnsi="CESI楷体-GB2312" w:eastAsia="CESI楷体-GB2312" w:cs="CESI楷体-GB2312"/>
          <w:color w:val="auto"/>
          <w:sz w:val="32"/>
          <w:szCs w:val="32"/>
          <w:lang w:val="en" w:eastAsia="zh-CN"/>
        </w:rPr>
        <w:t>（征求意见稿）</w:t>
      </w:r>
    </w:p>
    <w:p>
      <w:pPr>
        <w:spacing w:line="560" w:lineRule="exact"/>
        <w:ind w:firstLine="640" w:firstLineChars="200"/>
        <w:rPr>
          <w:rFonts w:hint="eastAsia" w:ascii="仿宋_GB2312" w:hAnsi="CESI仿宋-GB2312" w:eastAsia="仿宋_GB2312" w:cs="CESI仿宋-GB2312"/>
          <w:color w:val="auto"/>
          <w:sz w:val="32"/>
          <w:szCs w:val="32"/>
          <w:lang w:val="en-US" w:eastAsia="zh-CN"/>
        </w:rPr>
      </w:pPr>
      <w:r>
        <w:rPr>
          <w:rFonts w:hint="eastAsia" w:ascii="仿宋_GB2312" w:hAnsi="CESI仿宋-GB2312" w:eastAsia="仿宋_GB2312" w:cs="CESI仿宋-GB2312"/>
          <w:color w:val="auto"/>
          <w:sz w:val="32"/>
          <w:szCs w:val="32"/>
          <w:lang w:val="en-US" w:eastAsia="zh-CN"/>
        </w:rPr>
        <w:t xml:space="preserve"> </w:t>
      </w:r>
    </w:p>
    <w:p>
      <w:pPr>
        <w:spacing w:line="560" w:lineRule="exact"/>
        <w:ind w:firstLine="640" w:firstLineChars="200"/>
        <w:rPr>
          <w:rFonts w:hint="eastAsia" w:ascii="仿宋_GB2312" w:hAnsi="CESI仿宋-GB2312" w:eastAsia="仿宋_GB2312" w:cs="CESI仿宋-GB2312"/>
          <w:color w:val="auto"/>
          <w:sz w:val="32"/>
          <w:szCs w:val="32"/>
        </w:rPr>
      </w:pPr>
      <w:r>
        <w:rPr>
          <w:rFonts w:hint="eastAsia" w:ascii="仿宋_GB2312" w:hAnsi="CESI仿宋-GB2312" w:eastAsia="仿宋_GB2312" w:cs="CESI仿宋-GB2312"/>
          <w:color w:val="auto"/>
          <w:sz w:val="32"/>
          <w:szCs w:val="32"/>
        </w:rPr>
        <w:t>为深入贯彻党的二十届三中全会精神</w:t>
      </w:r>
      <w:r>
        <w:rPr>
          <w:rFonts w:hint="eastAsia" w:ascii="仿宋_GB2312" w:hAnsi="CESI仿宋-GB2312" w:eastAsia="仿宋_GB2312" w:cs="CESI仿宋-GB2312"/>
          <w:color w:val="auto"/>
          <w:sz w:val="32"/>
          <w:szCs w:val="32"/>
          <w:lang w:eastAsia="zh-CN"/>
        </w:rPr>
        <w:t>和</w:t>
      </w:r>
      <w:r>
        <w:rPr>
          <w:rFonts w:hint="eastAsia" w:ascii="仿宋_GB2312" w:hAnsi="CESI仿宋-GB2312" w:eastAsia="仿宋_GB2312" w:cs="CESI仿宋-GB2312"/>
          <w:color w:val="auto"/>
          <w:sz w:val="32"/>
          <w:szCs w:val="32"/>
        </w:rPr>
        <w:t>《国务院办公厅关于全面深化药品医疗器械监管改革 促进医药产业高质量发展的意见》（国办发〔2024〕53号）等文件精神，认真贯彻落实省委、省政府和国家药监局部署要求，全面深化药品监管改革创新，聚力推动医药产业高质量发展，现提出以下实施意见。</w:t>
      </w:r>
    </w:p>
    <w:p>
      <w:pPr>
        <w:spacing w:line="560" w:lineRule="exact"/>
        <w:ind w:firstLine="640" w:firstLineChars="200"/>
        <w:rPr>
          <w:rFonts w:hint="eastAsia" w:ascii="黑体" w:hAnsi="黑体" w:eastAsia="黑体" w:cs="方正黑体_GBK"/>
          <w:color w:val="auto"/>
          <w:sz w:val="32"/>
          <w:szCs w:val="32"/>
        </w:rPr>
      </w:pPr>
      <w:r>
        <w:rPr>
          <w:rFonts w:hint="eastAsia" w:ascii="黑体" w:hAnsi="黑体" w:eastAsia="黑体" w:cs="方正黑体_GBK"/>
          <w:color w:val="auto"/>
          <w:sz w:val="32"/>
          <w:szCs w:val="32"/>
        </w:rPr>
        <w:t>一、总体要求</w:t>
      </w:r>
    </w:p>
    <w:p>
      <w:pPr>
        <w:spacing w:line="560" w:lineRule="exact"/>
        <w:ind w:firstLine="640" w:firstLineChars="200"/>
        <w:rPr>
          <w:rFonts w:hint="eastAsia" w:ascii="仿宋_GB2312" w:hAnsi="黑体" w:eastAsia="仿宋_GB2312" w:cs="CESI黑体-GB2312"/>
          <w:color w:val="auto"/>
          <w:sz w:val="32"/>
          <w:szCs w:val="32"/>
        </w:rPr>
      </w:pPr>
      <w:r>
        <w:rPr>
          <w:rFonts w:hint="eastAsia" w:ascii="仿宋_GB2312" w:hAnsi="CESI仿宋-GB2312" w:eastAsia="仿宋_GB2312" w:cs="CESI仿宋-GB2312"/>
          <w:color w:val="auto"/>
          <w:sz w:val="32"/>
          <w:szCs w:val="32"/>
        </w:rPr>
        <w:t>以习近平新时代中国特色社会主义思想为指导，全面贯彻党的二十大和二十届二中、三中全会精神，深入贯彻落实省委、省政府和国家药监局决策部署，</w:t>
      </w:r>
      <w:r>
        <w:rPr>
          <w:rFonts w:hint="eastAsia" w:ascii="仿宋_GB2312" w:hAnsi="仿宋_GB2312" w:eastAsia="仿宋_GB2312" w:cs="仿宋_GB2312"/>
          <w:color w:val="auto"/>
          <w:sz w:val="32"/>
          <w:szCs w:val="32"/>
        </w:rPr>
        <w:t>聚焦“四高四争先”，</w:t>
      </w:r>
      <w:r>
        <w:rPr>
          <w:rFonts w:hint="eastAsia" w:ascii="仿宋_GB2312" w:hAnsi="CESI仿宋-GB2312" w:eastAsia="仿宋_GB2312" w:cs="CESI仿宋-GB2312"/>
          <w:color w:val="auto"/>
          <w:sz w:val="32"/>
          <w:szCs w:val="32"/>
        </w:rPr>
        <w:t>辩证处理</w:t>
      </w:r>
      <w:r>
        <w:rPr>
          <w:rFonts w:hint="eastAsia" w:ascii="仿宋_GB2312" w:hAnsi="CESI仿宋-GB2312" w:eastAsia="仿宋_GB2312" w:cs="CESI仿宋-GB2312"/>
          <w:color w:val="auto"/>
          <w:sz w:val="32"/>
          <w:szCs w:val="32"/>
          <w:lang w:eastAsia="zh-CN"/>
        </w:rPr>
        <w:t>“</w:t>
      </w:r>
      <w:r>
        <w:rPr>
          <w:rFonts w:hint="eastAsia" w:ascii="仿宋_GB2312" w:hAnsi="CESI仿宋-GB2312" w:eastAsia="仿宋_GB2312" w:cs="CESI仿宋-GB2312"/>
          <w:color w:val="auto"/>
          <w:sz w:val="32"/>
          <w:szCs w:val="32"/>
        </w:rPr>
        <w:t>监管与发展、规范与服务、秩序与活力</w:t>
      </w:r>
      <w:r>
        <w:rPr>
          <w:rFonts w:hint="eastAsia" w:ascii="仿宋_GB2312" w:hAnsi="CESI仿宋-GB2312" w:eastAsia="仿宋_GB2312" w:cs="CESI仿宋-GB2312"/>
          <w:color w:val="auto"/>
          <w:sz w:val="32"/>
          <w:szCs w:val="32"/>
          <w:lang w:eastAsia="zh-CN"/>
        </w:rPr>
        <w:t>”</w:t>
      </w:r>
      <w:r>
        <w:rPr>
          <w:rFonts w:hint="eastAsia" w:ascii="仿宋_GB2312" w:hAnsi="CESI仿宋-GB2312" w:eastAsia="仿宋_GB2312" w:cs="CESI仿宋-GB2312"/>
          <w:color w:val="auto"/>
          <w:sz w:val="32"/>
          <w:szCs w:val="32"/>
        </w:rPr>
        <w:t>的关系，</w:t>
      </w:r>
      <w:r>
        <w:rPr>
          <w:rFonts w:hint="eastAsia" w:ascii="仿宋_GB2312" w:hAnsi="黑体" w:eastAsia="仿宋_GB2312" w:cs="CESI黑体-GB2312"/>
          <w:color w:val="auto"/>
          <w:sz w:val="32"/>
          <w:szCs w:val="32"/>
        </w:rPr>
        <w:t>全过程深化药品监管改革创新，全链条支持医药产业高质量发展，</w:t>
      </w:r>
      <w:r>
        <w:rPr>
          <w:rFonts w:hint="eastAsia" w:ascii="仿宋_GB2312" w:hAnsi="黑体" w:eastAsia="仿宋_GB2312" w:cs="CESI黑体-GB2312"/>
          <w:color w:val="auto"/>
          <w:sz w:val="32"/>
          <w:szCs w:val="32"/>
          <w:lang w:eastAsia="zh-CN"/>
        </w:rPr>
        <w:t>全力</w:t>
      </w:r>
      <w:r>
        <w:rPr>
          <w:rFonts w:hint="eastAsia" w:ascii="仿宋_GB2312" w:hAnsi="CESI仿宋-GB2312" w:eastAsia="仿宋_GB2312" w:cs="CESI仿宋-GB2312"/>
          <w:color w:val="auto"/>
          <w:sz w:val="32"/>
          <w:szCs w:val="32"/>
        </w:rPr>
        <w:t>融入服务全国统一大市场建设，更好满足人民群众对高质量药品医疗器械化妆品的需求，</w:t>
      </w:r>
      <w:r>
        <w:rPr>
          <w:rFonts w:hint="eastAsia" w:ascii="仿宋_GB2312" w:hAnsi="黑体" w:eastAsia="仿宋_GB2312" w:cs="CESI黑体-GB2312"/>
          <w:color w:val="auto"/>
          <w:sz w:val="32"/>
          <w:szCs w:val="32"/>
        </w:rPr>
        <w:t>为谱写中国式现代化河南篇章贡献药监力量。</w:t>
      </w:r>
    </w:p>
    <w:p>
      <w:pPr>
        <w:spacing w:line="560" w:lineRule="exact"/>
        <w:ind w:firstLine="640" w:firstLineChars="200"/>
        <w:rPr>
          <w:rFonts w:hint="eastAsia" w:ascii="仿宋_GB2312" w:hAnsi="CESI仿宋-GB2312" w:eastAsia="仿宋_GB2312" w:cs="CESI仿宋-GB2312"/>
          <w:color w:val="auto"/>
          <w:sz w:val="32"/>
          <w:szCs w:val="32"/>
        </w:rPr>
      </w:pPr>
      <w:r>
        <w:rPr>
          <w:rFonts w:hint="eastAsia" w:ascii="仿宋_GB2312" w:hAnsi="CESI仿宋-GB2312" w:eastAsia="仿宋_GB2312" w:cs="CESI仿宋-GB2312"/>
          <w:color w:val="auto"/>
          <w:sz w:val="32"/>
          <w:szCs w:val="32"/>
        </w:rPr>
        <w:t>通过</w:t>
      </w:r>
      <w:r>
        <w:rPr>
          <w:rFonts w:hint="eastAsia" w:ascii="仿宋_GB2312" w:hAnsi="CESI仿宋-GB2312" w:eastAsia="仿宋_GB2312" w:cs="CESI仿宋-GB2312"/>
          <w:color w:val="auto"/>
          <w:sz w:val="32"/>
          <w:szCs w:val="32"/>
          <w:lang w:eastAsia="zh-CN"/>
        </w:rPr>
        <w:t>进一步</w:t>
      </w:r>
      <w:r>
        <w:rPr>
          <w:rFonts w:hint="eastAsia" w:ascii="仿宋_GB2312" w:hAnsi="CESI仿宋-GB2312" w:eastAsia="仿宋_GB2312" w:cs="CESI仿宋-GB2312"/>
          <w:color w:val="auto"/>
          <w:sz w:val="32"/>
          <w:szCs w:val="32"/>
        </w:rPr>
        <w:t>深化药品监管改革创新，监管体系、监管机制、监管</w:t>
      </w:r>
      <w:r>
        <w:rPr>
          <w:rFonts w:hint="eastAsia" w:ascii="仿宋_GB2312" w:hAnsi="CESI仿宋-GB2312" w:eastAsia="仿宋_GB2312" w:cs="CESI仿宋-GB2312"/>
          <w:color w:val="auto"/>
          <w:sz w:val="32"/>
          <w:szCs w:val="32"/>
          <w:lang w:eastAsia="zh-CN"/>
        </w:rPr>
        <w:t>能力</w:t>
      </w:r>
      <w:r>
        <w:rPr>
          <w:rFonts w:hint="eastAsia" w:ascii="仿宋_GB2312" w:hAnsi="CESI仿宋-GB2312" w:eastAsia="仿宋_GB2312" w:cs="CESI仿宋-GB2312"/>
          <w:color w:val="auto"/>
          <w:sz w:val="32"/>
          <w:szCs w:val="32"/>
        </w:rPr>
        <w:t>更好适应医药创新和产业高质量发展需求，医药企业获得感和产业创新发展活力显著增强，“两品一械”质量安全水平全面提高，医药产业高质量发展实现更大突破。</w:t>
      </w:r>
    </w:p>
    <w:p>
      <w:pPr>
        <w:spacing w:line="560" w:lineRule="exact"/>
        <w:ind w:firstLine="640" w:firstLineChars="200"/>
        <w:rPr>
          <w:rFonts w:hint="eastAsia" w:ascii="黑体" w:hAnsi="黑体" w:eastAsia="黑体" w:cs="方正黑体_GBK"/>
          <w:color w:val="auto"/>
          <w:sz w:val="32"/>
          <w:szCs w:val="32"/>
        </w:rPr>
      </w:pPr>
      <w:r>
        <w:rPr>
          <w:rFonts w:hint="eastAsia" w:ascii="黑体" w:hAnsi="黑体" w:eastAsia="黑体" w:cs="方正黑体_GBK"/>
          <w:color w:val="auto"/>
          <w:sz w:val="32"/>
          <w:szCs w:val="32"/>
        </w:rPr>
        <w:t>二、重点任务</w:t>
      </w:r>
    </w:p>
    <w:p>
      <w:pPr>
        <w:spacing w:line="560" w:lineRule="exact"/>
        <w:ind w:firstLine="640" w:firstLineChars="200"/>
        <w:rPr>
          <w:rFonts w:ascii="楷体_GB2312" w:eastAsia="楷体_GB2312"/>
          <w:color w:val="auto"/>
          <w:sz w:val="32"/>
          <w:szCs w:val="32"/>
        </w:rPr>
      </w:pPr>
      <w:r>
        <w:rPr>
          <w:rFonts w:hint="eastAsia" w:ascii="楷体_GB2312" w:eastAsia="楷体_GB2312"/>
          <w:color w:val="auto"/>
          <w:sz w:val="32"/>
          <w:szCs w:val="32"/>
        </w:rPr>
        <w:t>（一）深化改革创新，全链条支持产业高质量发展</w:t>
      </w:r>
    </w:p>
    <w:p>
      <w:pPr>
        <w:pStyle w:val="8"/>
        <w:spacing w:before="0" w:beforeAutospacing="0" w:after="0" w:afterAutospacing="0" w:line="560" w:lineRule="exact"/>
        <w:ind w:firstLine="640" w:firstLineChars="200"/>
        <w:jc w:val="both"/>
        <w:rPr>
          <w:rFonts w:hint="eastAsia" w:ascii="仿宋_GB2312" w:hAnsi="CESI仿宋-GB2312" w:eastAsia="仿宋_GB2312" w:cs="CESI仿宋-GB2312"/>
          <w:color w:val="auto"/>
          <w:sz w:val="32"/>
          <w:szCs w:val="32"/>
        </w:rPr>
      </w:pPr>
      <w:r>
        <w:rPr>
          <w:rFonts w:hint="eastAsia" w:ascii="仿宋_GB2312" w:hAnsi="仿宋" w:eastAsia="仿宋_GB2312" w:cs="仿宋"/>
          <w:color w:val="auto"/>
          <w:sz w:val="32"/>
          <w:szCs w:val="32"/>
        </w:rPr>
        <w:t>1.争取国家药品监管改革试点。全力争取国家药监局优化药品补充申请审评审批程序改革试点，</w:t>
      </w:r>
      <w:r>
        <w:rPr>
          <w:rFonts w:hint="eastAsia" w:ascii="仿宋_GB2312" w:hAnsi="CESI仿宋-GB2312" w:eastAsia="仿宋_GB2312" w:cs="CESI仿宋-GB2312"/>
          <w:color w:val="auto"/>
          <w:sz w:val="32"/>
          <w:szCs w:val="32"/>
        </w:rPr>
        <w:t>为我省药品重大变更申报提供前置指导、核查、检验和立卷服务。积极争取优化创新药临床试验审评审批试点，有效缩短药物临床试验启动用时。跟进争取生物制品分段生产试点，推动生物医药产业优化资源配置。</w:t>
      </w:r>
    </w:p>
    <w:p>
      <w:pPr>
        <w:pStyle w:val="8"/>
        <w:spacing w:before="0" w:beforeAutospacing="0" w:after="0" w:afterAutospacing="0" w:line="560" w:lineRule="exact"/>
        <w:ind w:firstLine="640" w:firstLineChars="200"/>
        <w:jc w:val="both"/>
        <w:rPr>
          <w:rFonts w:hint="eastAsia" w:ascii="仿宋_GB2312" w:hAnsi="仿宋" w:eastAsia="仿宋_GB2312" w:cs="仿宋"/>
          <w:color w:val="auto"/>
          <w:sz w:val="32"/>
          <w:szCs w:val="32"/>
        </w:rPr>
      </w:pPr>
      <w:r>
        <w:rPr>
          <w:rFonts w:hint="eastAsia" w:ascii="仿宋_GB2312" w:hAnsi="CESI仿宋-GB2312" w:eastAsia="仿宋_GB2312" w:cs="CESI仿宋-GB2312"/>
          <w:color w:val="auto"/>
          <w:sz w:val="32"/>
          <w:szCs w:val="32"/>
        </w:rPr>
        <w:t>2.</w:t>
      </w:r>
      <w:r>
        <w:rPr>
          <w:rFonts w:hint="eastAsia" w:ascii="仿宋_GB2312" w:hAnsi="仿宋" w:eastAsia="仿宋_GB2312" w:cs="仿宋"/>
          <w:color w:val="auto"/>
          <w:sz w:val="32"/>
          <w:szCs w:val="32"/>
          <w:lang w:eastAsia="zh-CN"/>
        </w:rPr>
        <w:t>提升创新</w:t>
      </w:r>
      <w:r>
        <w:rPr>
          <w:rFonts w:hint="eastAsia" w:ascii="仿宋_GB2312" w:hAnsi="仿宋" w:eastAsia="仿宋_GB2312" w:cs="仿宋"/>
          <w:color w:val="auto"/>
          <w:sz w:val="32"/>
          <w:szCs w:val="32"/>
        </w:rPr>
        <w:t>药械临床试验</w:t>
      </w:r>
      <w:r>
        <w:rPr>
          <w:rFonts w:hint="eastAsia" w:ascii="仿宋_GB2312" w:hAnsi="仿宋" w:eastAsia="仿宋_GB2312" w:cs="仿宋"/>
          <w:color w:val="auto"/>
          <w:sz w:val="32"/>
          <w:szCs w:val="32"/>
          <w:lang w:eastAsia="zh-CN"/>
        </w:rPr>
        <w:t>质效</w:t>
      </w:r>
      <w:r>
        <w:rPr>
          <w:rFonts w:hint="eastAsia" w:ascii="仿宋_GB2312" w:hAnsi="仿宋" w:eastAsia="仿宋_GB2312" w:cs="仿宋"/>
          <w:color w:val="auto"/>
          <w:sz w:val="32"/>
          <w:szCs w:val="32"/>
        </w:rPr>
        <w:t>。鼓励</w:t>
      </w:r>
      <w:r>
        <w:rPr>
          <w:rFonts w:hint="eastAsia" w:ascii="仿宋_GB2312" w:hAnsi="仿宋" w:eastAsia="仿宋_GB2312" w:cs="仿宋"/>
          <w:color w:val="auto"/>
          <w:sz w:val="32"/>
          <w:szCs w:val="32"/>
          <w:lang w:eastAsia="zh-CN"/>
        </w:rPr>
        <w:t>支持</w:t>
      </w:r>
      <w:r>
        <w:rPr>
          <w:rFonts w:hint="eastAsia" w:ascii="仿宋_GB2312" w:hAnsi="仿宋" w:eastAsia="仿宋_GB2312" w:cs="仿宋"/>
          <w:color w:val="auto"/>
          <w:sz w:val="32"/>
          <w:szCs w:val="32"/>
        </w:rPr>
        <w:t>临床试验机构</w:t>
      </w:r>
      <w:r>
        <w:rPr>
          <w:rFonts w:hint="eastAsia" w:ascii="仿宋_GB2312" w:hAnsi="仿宋" w:eastAsia="仿宋_GB2312" w:cs="仿宋"/>
          <w:color w:val="auto"/>
          <w:sz w:val="32"/>
          <w:szCs w:val="32"/>
          <w:lang w:eastAsia="zh-CN"/>
        </w:rPr>
        <w:t>开辟</w:t>
      </w:r>
      <w:r>
        <w:rPr>
          <w:rFonts w:hint="eastAsia" w:ascii="仿宋_GB2312" w:hAnsi="仿宋" w:eastAsia="仿宋_GB2312" w:cs="仿宋"/>
          <w:color w:val="auto"/>
          <w:sz w:val="32"/>
          <w:szCs w:val="32"/>
        </w:rPr>
        <w:t>创新药械“绿色通道”，</w:t>
      </w:r>
      <w:r>
        <w:rPr>
          <w:rFonts w:hint="eastAsia" w:ascii="仿宋_GB2312" w:hAnsi="仿宋" w:eastAsia="仿宋_GB2312" w:cs="仿宋"/>
          <w:color w:val="auto"/>
          <w:sz w:val="32"/>
          <w:szCs w:val="32"/>
          <w:lang w:eastAsia="zh-CN"/>
        </w:rPr>
        <w:t>支持开展</w:t>
      </w:r>
      <w:r>
        <w:rPr>
          <w:rFonts w:hint="eastAsia" w:ascii="仿宋_GB2312" w:hAnsi="仿宋" w:eastAsia="仿宋_GB2312" w:cs="仿宋"/>
          <w:color w:val="auto"/>
          <w:sz w:val="32"/>
          <w:szCs w:val="32"/>
        </w:rPr>
        <w:t>临床研究伦理审查结果互认，提升创新药械临床试验效率。探索建立医疗器械生物学评价数据库和生物学非试验评价路径，优化医疗器械生物学评价模式，缩短产品研发周期，降低产品注册成本。</w:t>
      </w:r>
    </w:p>
    <w:p>
      <w:pPr>
        <w:pStyle w:val="8"/>
        <w:spacing w:before="0" w:beforeAutospacing="0" w:after="0" w:afterAutospacing="0" w:line="560" w:lineRule="exact"/>
        <w:ind w:firstLine="640" w:firstLineChars="200"/>
        <w:jc w:val="both"/>
        <w:rPr>
          <w:rFonts w:hint="eastAsia" w:ascii="仿宋_GB2312" w:hAnsi="仿宋" w:eastAsia="仿宋_GB2312" w:cs="仿宋"/>
          <w:b/>
          <w:bCs/>
          <w:color w:val="auto"/>
          <w:sz w:val="32"/>
          <w:szCs w:val="32"/>
        </w:rPr>
      </w:pPr>
      <w:r>
        <w:rPr>
          <w:rFonts w:hint="eastAsia" w:ascii="仿宋_GB2312" w:hAnsi="仿宋" w:eastAsia="仿宋_GB2312" w:cs="仿宋"/>
          <w:color w:val="auto"/>
          <w:sz w:val="32"/>
          <w:szCs w:val="32"/>
        </w:rPr>
        <w:t>3.推动仿制药稳步发展。发挥药品专利链接制度作用，以保护药品专利权人合法权益为前提，在原创药专利期满之前的合理期间，支持企业尽快启动仿制药开发注册，加快</w:t>
      </w:r>
      <w:r>
        <w:rPr>
          <w:rFonts w:hint="eastAsia" w:ascii="仿宋_GB2312" w:hAnsi="仿宋" w:eastAsia="仿宋_GB2312" w:cs="仿宋"/>
          <w:color w:val="auto"/>
          <w:sz w:val="32"/>
          <w:szCs w:val="32"/>
          <w:lang w:eastAsia="zh-CN"/>
        </w:rPr>
        <w:t>产品</w:t>
      </w:r>
      <w:r>
        <w:rPr>
          <w:rFonts w:hint="eastAsia" w:ascii="仿宋_GB2312" w:hAnsi="仿宋" w:eastAsia="仿宋_GB2312" w:cs="仿宋"/>
          <w:color w:val="auto"/>
          <w:sz w:val="32"/>
          <w:szCs w:val="32"/>
        </w:rPr>
        <w:t>上市进程。</w:t>
      </w:r>
    </w:p>
    <w:p>
      <w:pPr>
        <w:pStyle w:val="8"/>
        <w:spacing w:before="0" w:beforeAutospacing="0" w:after="0" w:afterAutospacing="0" w:line="560" w:lineRule="exact"/>
        <w:ind w:firstLine="645"/>
        <w:jc w:val="both"/>
        <w:rPr>
          <w:rFonts w:hint="default" w:ascii="仿宋_GB2312" w:hAnsi="仿宋_GB2312" w:eastAsia="仿宋_GB2312" w:cs="仿宋_GB2312"/>
          <w:color w:val="auto"/>
          <w:sz w:val="32"/>
          <w:szCs w:val="32"/>
          <w:lang w:val="en-US"/>
        </w:rPr>
      </w:pPr>
      <w:r>
        <w:rPr>
          <w:rFonts w:hint="eastAsia" w:ascii="仿宋_GB2312" w:hAnsi="仿宋" w:eastAsia="仿宋_GB2312" w:cs="仿宋"/>
          <w:color w:val="auto"/>
          <w:sz w:val="32"/>
          <w:szCs w:val="32"/>
        </w:rPr>
        <w:t>4.促进中医药传承创新发展。动态修订中药饮片炮制规范，完善中药配方颗粒标准体系，</w:t>
      </w:r>
      <w:r>
        <w:rPr>
          <w:rFonts w:hint="eastAsia" w:ascii="仿宋_GB2312" w:hAnsi="仿宋" w:eastAsia="仿宋_GB2312" w:cs="仿宋"/>
          <w:color w:val="auto"/>
          <w:sz w:val="32"/>
          <w:szCs w:val="32"/>
          <w:lang w:val="en"/>
        </w:rPr>
        <w:t>动态调整产地趁鲜切制加工中药材品种目录，</w:t>
      </w:r>
      <w:r>
        <w:rPr>
          <w:rFonts w:hint="eastAsia" w:ascii="仿宋_GB2312" w:hAnsi="仿宋" w:eastAsia="仿宋_GB2312" w:cs="仿宋"/>
          <w:color w:val="auto"/>
          <w:sz w:val="32"/>
          <w:szCs w:val="32"/>
        </w:rPr>
        <w:t>鼓励</w:t>
      </w:r>
      <w:r>
        <w:rPr>
          <w:rFonts w:hint="eastAsia" w:ascii="仿宋_GB2312" w:hAnsi="仿宋" w:eastAsia="仿宋_GB2312" w:cs="仿宋"/>
          <w:color w:val="auto"/>
          <w:sz w:val="32"/>
          <w:szCs w:val="32"/>
          <w:lang w:eastAsia="zh-CN"/>
        </w:rPr>
        <w:t>支持</w:t>
      </w:r>
      <w:r>
        <w:rPr>
          <w:rFonts w:hint="eastAsia" w:ascii="仿宋_GB2312" w:hAnsi="仿宋" w:eastAsia="仿宋_GB2312" w:cs="仿宋"/>
          <w:color w:val="auto"/>
          <w:sz w:val="32"/>
          <w:szCs w:val="32"/>
        </w:rPr>
        <w:t>我省中药生产企业（含中药饮片、中药配方颗粒）按需采购产地趁鲜切制加工中药材</w:t>
      </w:r>
      <w:r>
        <w:rPr>
          <w:rFonts w:hint="eastAsia" w:ascii="仿宋_GB2312" w:hAnsi="仿宋" w:eastAsia="仿宋_GB2312" w:cs="仿宋"/>
          <w:color w:val="auto"/>
          <w:sz w:val="32"/>
          <w:szCs w:val="32"/>
          <w:lang w:eastAsia="zh-CN"/>
        </w:rPr>
        <w:t>，通过自建或共建生产基地向</w:t>
      </w:r>
      <w:r>
        <w:rPr>
          <w:rFonts w:hint="eastAsia" w:ascii="仿宋_GB2312" w:hAnsi="CESI仿宋-GB2312" w:eastAsia="仿宋_GB2312" w:cs="CESI仿宋-GB2312"/>
          <w:color w:val="auto"/>
          <w:sz w:val="32"/>
          <w:szCs w:val="32"/>
          <w:lang w:eastAsia="zh-CN"/>
        </w:rPr>
        <w:t>中药材产地延伸</w:t>
      </w:r>
      <w:r>
        <w:rPr>
          <w:rFonts w:hint="eastAsia" w:ascii="仿宋_GB2312" w:hAnsi="CESI仿宋-GB2312" w:eastAsia="仿宋_GB2312" w:cs="CESI仿宋-GB2312"/>
          <w:color w:val="auto"/>
          <w:sz w:val="32"/>
          <w:szCs w:val="32"/>
        </w:rPr>
        <w:t>产业链</w:t>
      </w:r>
      <w:r>
        <w:rPr>
          <w:rFonts w:hint="eastAsia" w:ascii="仿宋_GB2312" w:hAnsi="仿宋" w:eastAsia="仿宋_GB2312" w:cs="仿宋"/>
          <w:color w:val="auto"/>
          <w:sz w:val="32"/>
          <w:szCs w:val="32"/>
        </w:rPr>
        <w:t>。鼓励</w:t>
      </w:r>
      <w:r>
        <w:rPr>
          <w:rFonts w:hint="eastAsia" w:ascii="仿宋_GB2312" w:hAnsi="仿宋" w:eastAsia="仿宋_GB2312" w:cs="仿宋"/>
          <w:color w:val="auto"/>
          <w:sz w:val="32"/>
          <w:szCs w:val="32"/>
          <w:lang w:eastAsia="zh-CN"/>
        </w:rPr>
        <w:t>企业运用新技术、新工艺等改进已上市中药品种，</w:t>
      </w:r>
      <w:r>
        <w:rPr>
          <w:rFonts w:hint="eastAsia" w:ascii="仿宋_GB2312" w:hAnsi="仿宋" w:eastAsia="仿宋_GB2312" w:cs="仿宋"/>
          <w:color w:val="auto"/>
          <w:sz w:val="32"/>
          <w:szCs w:val="32"/>
        </w:rPr>
        <w:t>支持企业研发新技术中药饮片</w:t>
      </w:r>
      <w:r>
        <w:rPr>
          <w:rFonts w:hint="eastAsia" w:ascii="仿宋_GB2312" w:hAnsi="仿宋" w:eastAsia="仿宋_GB2312" w:cs="仿宋"/>
          <w:color w:val="auto"/>
          <w:sz w:val="32"/>
          <w:szCs w:val="32"/>
          <w:lang w:eastAsia="zh-CN"/>
        </w:rPr>
        <w:t>、</w:t>
      </w:r>
      <w:r>
        <w:rPr>
          <w:rFonts w:hint="eastAsia" w:ascii="仿宋_GB2312" w:hAnsi="CESI仿宋-GB2312" w:eastAsia="仿宋_GB2312" w:cs="CESI仿宋-GB2312"/>
          <w:color w:val="auto"/>
          <w:sz w:val="32"/>
          <w:szCs w:val="32"/>
        </w:rPr>
        <w:t>经典名方中药复方制剂</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支持推动</w:t>
      </w:r>
      <w:r>
        <w:rPr>
          <w:rFonts w:hint="eastAsia" w:ascii="仿宋_GB2312" w:hAnsi="仿宋_GB2312" w:eastAsia="仿宋_GB2312" w:cs="仿宋_GB2312"/>
          <w:color w:val="auto"/>
          <w:sz w:val="32"/>
          <w:szCs w:val="32"/>
        </w:rPr>
        <w:t>我省医疗机构院内中药制剂向中药新药转化</w:t>
      </w:r>
      <w:r>
        <w:rPr>
          <w:rFonts w:hint="eastAsia" w:ascii="仿宋_GB2312" w:hAnsi="仿宋_GB2312" w:eastAsia="仿宋_GB2312" w:cs="仿宋_GB2312"/>
          <w:color w:val="auto"/>
          <w:sz w:val="32"/>
          <w:szCs w:val="32"/>
          <w:lang w:eastAsia="zh-CN"/>
        </w:rPr>
        <w:t>，精准服务</w:t>
      </w:r>
      <w:r>
        <w:rPr>
          <w:rFonts w:hint="eastAsia" w:ascii="仿宋_GB2312" w:hAnsi="仿宋" w:eastAsia="仿宋_GB2312" w:cs="仿宋"/>
          <w:strike w:val="0"/>
          <w:dstrike w:val="0"/>
          <w:color w:val="auto"/>
          <w:sz w:val="32"/>
          <w:szCs w:val="32"/>
        </w:rPr>
        <w:t>中药新药注册和</w:t>
      </w:r>
      <w:r>
        <w:rPr>
          <w:rFonts w:hint="eastAsia" w:ascii="仿宋_GB2312" w:hAnsi="仿宋" w:eastAsia="仿宋_GB2312" w:cs="仿宋"/>
          <w:strike w:val="0"/>
          <w:dstrike w:val="0"/>
          <w:color w:val="auto"/>
          <w:sz w:val="32"/>
          <w:szCs w:val="32"/>
          <w:lang w:eastAsia="zh-CN"/>
        </w:rPr>
        <w:t>品种产业化</w:t>
      </w:r>
      <w:r>
        <w:rPr>
          <w:rFonts w:hint="eastAsia" w:ascii="仿宋_GB2312" w:hAnsi="CESI仿宋-GB2312" w:eastAsia="仿宋_GB2312" w:cs="CESI仿宋-GB2312"/>
          <w:color w:val="auto"/>
          <w:sz w:val="32"/>
          <w:szCs w:val="32"/>
          <w:lang w:eastAsia="zh-CN"/>
        </w:rPr>
        <w:t>，</w:t>
      </w:r>
      <w:r>
        <w:rPr>
          <w:rFonts w:hint="eastAsia" w:ascii="仿宋_GB2312" w:hAnsi="仿宋" w:eastAsia="仿宋_GB2312" w:cs="仿宋"/>
          <w:color w:val="auto"/>
          <w:sz w:val="32"/>
          <w:szCs w:val="32"/>
        </w:rPr>
        <w:t>支持特色</w:t>
      </w:r>
      <w:r>
        <w:rPr>
          <w:rFonts w:hint="eastAsia" w:ascii="仿宋_GB2312" w:hAnsi="仿宋" w:eastAsia="仿宋_GB2312" w:cs="仿宋"/>
          <w:color w:val="auto"/>
          <w:sz w:val="32"/>
          <w:szCs w:val="32"/>
          <w:lang w:eastAsia="zh-CN"/>
        </w:rPr>
        <w:t>优势</w:t>
      </w:r>
      <w:r>
        <w:rPr>
          <w:rFonts w:hint="eastAsia" w:ascii="仿宋_GB2312" w:hAnsi="仿宋" w:eastAsia="仿宋_GB2312" w:cs="仿宋"/>
          <w:color w:val="auto"/>
          <w:sz w:val="32"/>
          <w:szCs w:val="32"/>
        </w:rPr>
        <w:t>医疗机构中药制剂</w:t>
      </w:r>
      <w:r>
        <w:rPr>
          <w:rFonts w:hint="eastAsia" w:ascii="仿宋_GB2312" w:hAnsi="仿宋" w:eastAsia="仿宋_GB2312" w:cs="仿宋"/>
          <w:color w:val="auto"/>
          <w:sz w:val="32"/>
          <w:szCs w:val="32"/>
          <w:lang w:eastAsia="zh-CN"/>
        </w:rPr>
        <w:t>依规</w:t>
      </w:r>
      <w:r>
        <w:rPr>
          <w:rFonts w:hint="eastAsia" w:ascii="仿宋_GB2312" w:hAnsi="仿宋" w:eastAsia="仿宋_GB2312" w:cs="仿宋"/>
          <w:color w:val="auto"/>
          <w:sz w:val="32"/>
          <w:szCs w:val="32"/>
        </w:rPr>
        <w:t>调剂使用</w:t>
      </w:r>
      <w:r>
        <w:rPr>
          <w:rFonts w:hint="eastAsia" w:ascii="仿宋_GB2312" w:hAnsi="仿宋" w:eastAsia="仿宋_GB2312" w:cs="仿宋"/>
          <w:color w:val="auto"/>
          <w:sz w:val="32"/>
          <w:szCs w:val="32"/>
          <w:lang w:eastAsia="zh-CN"/>
        </w:rPr>
        <w:t>，</w:t>
      </w:r>
      <w:r>
        <w:rPr>
          <w:rFonts w:hint="eastAsia" w:ascii="仿宋_GB2312" w:hAnsi="仿宋_GB2312" w:eastAsia="仿宋_GB2312" w:cs="仿宋_GB2312"/>
          <w:color w:val="auto"/>
          <w:sz w:val="32"/>
          <w:szCs w:val="32"/>
        </w:rPr>
        <w:t>打造独具河南特色的中药产业。</w:t>
      </w:r>
    </w:p>
    <w:p>
      <w:pPr>
        <w:spacing w:line="560" w:lineRule="exact"/>
        <w:ind w:firstLine="640" w:firstLineChars="200"/>
        <w:rPr>
          <w:rFonts w:hint="eastAsia" w:ascii="仿宋_GB2312" w:hAnsi="仿宋" w:eastAsia="仿宋_GB2312" w:cs="仿宋"/>
          <w:color w:val="auto"/>
          <w:kern w:val="0"/>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 w:eastAsia="仿宋_GB2312" w:cs="仿宋"/>
          <w:color w:val="auto"/>
          <w:kern w:val="0"/>
          <w:sz w:val="32"/>
          <w:szCs w:val="32"/>
          <w:lang w:val="en"/>
        </w:rPr>
        <w:t>优化医疗器械注册</w:t>
      </w:r>
      <w:r>
        <w:rPr>
          <w:rFonts w:hint="eastAsia" w:ascii="仿宋_GB2312" w:hAnsi="仿宋" w:eastAsia="仿宋_GB2312" w:cs="仿宋"/>
          <w:color w:val="auto"/>
          <w:kern w:val="0"/>
          <w:sz w:val="32"/>
          <w:szCs w:val="32"/>
          <w:lang w:val="en" w:eastAsia="zh-CN"/>
        </w:rPr>
        <w:t>审批</w:t>
      </w:r>
      <w:r>
        <w:rPr>
          <w:rFonts w:hint="eastAsia" w:ascii="仿宋_GB2312" w:hAnsi="仿宋" w:eastAsia="仿宋_GB2312" w:cs="仿宋"/>
          <w:color w:val="auto"/>
          <w:kern w:val="0"/>
          <w:sz w:val="32"/>
          <w:szCs w:val="32"/>
          <w:lang w:val="en"/>
        </w:rPr>
        <w:t>。</w:t>
      </w:r>
      <w:r>
        <w:rPr>
          <w:rFonts w:hint="eastAsia" w:ascii="仿宋_GB2312" w:hAnsi="仿宋" w:eastAsia="仿宋_GB2312" w:cs="仿宋"/>
          <w:color w:val="auto"/>
          <w:kern w:val="0"/>
          <w:sz w:val="32"/>
          <w:szCs w:val="32"/>
        </w:rPr>
        <w:t>制定《医疗器械注册质量</w:t>
      </w:r>
      <w:r>
        <w:rPr>
          <w:rFonts w:hint="eastAsia" w:ascii="仿宋_GB2312" w:hAnsi="仿宋" w:eastAsia="仿宋_GB2312" w:cs="仿宋"/>
          <w:color w:val="auto"/>
          <w:kern w:val="0"/>
          <w:sz w:val="32"/>
          <w:szCs w:val="32"/>
          <w:lang w:eastAsia="zh-CN"/>
        </w:rPr>
        <w:t>管理</w:t>
      </w:r>
      <w:r>
        <w:rPr>
          <w:rFonts w:hint="eastAsia" w:ascii="仿宋_GB2312" w:hAnsi="仿宋" w:eastAsia="仿宋_GB2312" w:cs="仿宋"/>
          <w:color w:val="auto"/>
          <w:kern w:val="0"/>
          <w:sz w:val="32"/>
          <w:szCs w:val="32"/>
        </w:rPr>
        <w:t>体系</w:t>
      </w:r>
      <w:r>
        <w:rPr>
          <w:rFonts w:hint="eastAsia" w:ascii="仿宋_GB2312" w:hAnsi="仿宋" w:eastAsia="仿宋_GB2312" w:cs="仿宋"/>
          <w:color w:val="auto"/>
          <w:kern w:val="0"/>
          <w:sz w:val="32"/>
          <w:szCs w:val="32"/>
          <w:lang w:eastAsia="zh-CN"/>
        </w:rPr>
        <w:t>优化现场</w:t>
      </w:r>
      <w:r>
        <w:rPr>
          <w:rFonts w:hint="eastAsia" w:ascii="仿宋_GB2312" w:hAnsi="仿宋" w:eastAsia="仿宋_GB2312" w:cs="仿宋"/>
          <w:color w:val="auto"/>
          <w:kern w:val="0"/>
          <w:sz w:val="32"/>
          <w:szCs w:val="32"/>
        </w:rPr>
        <w:t>核查</w:t>
      </w:r>
      <w:r>
        <w:rPr>
          <w:rFonts w:hint="eastAsia" w:ascii="仿宋_GB2312" w:hAnsi="仿宋" w:eastAsia="仿宋_GB2312" w:cs="仿宋"/>
          <w:color w:val="auto"/>
          <w:kern w:val="0"/>
          <w:sz w:val="32"/>
          <w:szCs w:val="32"/>
          <w:lang w:eastAsia="zh-CN"/>
        </w:rPr>
        <w:t>指南</w:t>
      </w:r>
      <w:r>
        <w:rPr>
          <w:rFonts w:hint="eastAsia" w:ascii="仿宋_GB2312" w:hAnsi="仿宋" w:eastAsia="仿宋_GB2312" w:cs="仿宋"/>
          <w:color w:val="auto"/>
          <w:kern w:val="0"/>
          <w:sz w:val="32"/>
          <w:szCs w:val="32"/>
        </w:rPr>
        <w:t>》，对于符合条件的注册产品，优化压减现场检查项目，只对检验用产品和临床试验用产品的真实性进行核查。</w:t>
      </w:r>
      <w:r>
        <w:rPr>
          <w:rFonts w:hint="eastAsia" w:ascii="仿宋_GB2312" w:hAnsi="国标仿宋" w:eastAsia="仿宋_GB2312" w:cs="国标仿宋"/>
          <w:color w:val="auto"/>
          <w:sz w:val="32"/>
          <w:szCs w:val="32"/>
          <w:lang w:eastAsia="zh-CN"/>
        </w:rPr>
        <w:t>优化</w:t>
      </w:r>
      <w:r>
        <w:rPr>
          <w:rFonts w:hint="eastAsia" w:ascii="仿宋_GB2312" w:hAnsi="国标仿宋" w:eastAsia="仿宋_GB2312" w:cs="国标仿宋"/>
          <w:color w:val="auto"/>
          <w:sz w:val="32"/>
          <w:szCs w:val="32"/>
        </w:rPr>
        <w:t>定制式医疗器械备案流程</w:t>
      </w:r>
      <w:r>
        <w:rPr>
          <w:rFonts w:hint="eastAsia" w:ascii="仿宋_GB2312" w:hAnsi="国标仿宋" w:eastAsia="仿宋_GB2312" w:cs="国标仿宋"/>
          <w:color w:val="auto"/>
          <w:sz w:val="32"/>
          <w:szCs w:val="32"/>
          <w:lang w:eastAsia="zh-CN"/>
        </w:rPr>
        <w:t>。</w:t>
      </w:r>
      <w:r>
        <w:rPr>
          <w:rFonts w:hint="eastAsia" w:ascii="仿宋_GB2312" w:hAnsi="仿宋" w:eastAsia="仿宋_GB2312" w:cs="仿宋"/>
          <w:color w:val="auto"/>
          <w:kern w:val="0"/>
          <w:sz w:val="32"/>
          <w:szCs w:val="32"/>
          <w:lang w:eastAsia="zh-CN"/>
        </w:rPr>
        <w:t>简化省外和进口已上市第二类医疗器械迁入我省注册申报程序，助力优质企业落户河南。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s="仿宋"/>
          <w:color w:val="auto"/>
          <w:kern w:val="0"/>
          <w:sz w:val="32"/>
          <w:szCs w:val="32"/>
        </w:rPr>
        <w:t>6.</w:t>
      </w:r>
      <w:r>
        <w:rPr>
          <w:rFonts w:hint="eastAsia" w:ascii="仿宋_GB2312" w:hAnsi="仿宋" w:eastAsia="仿宋_GB2312" w:cs="仿宋"/>
          <w:color w:val="auto"/>
          <w:sz w:val="32"/>
          <w:szCs w:val="32"/>
        </w:rPr>
        <w:t>支持药</w:t>
      </w:r>
      <w:r>
        <w:rPr>
          <w:rFonts w:hint="eastAsia" w:ascii="仿宋_GB2312" w:hAnsi="仿宋" w:eastAsia="仿宋_GB2312" w:cs="仿宋"/>
          <w:color w:val="auto"/>
          <w:sz w:val="32"/>
          <w:szCs w:val="32"/>
          <w:lang w:eastAsia="zh-CN"/>
        </w:rPr>
        <w:t>械</w:t>
      </w:r>
      <w:r>
        <w:rPr>
          <w:rFonts w:hint="eastAsia" w:ascii="仿宋_GB2312" w:hAnsi="仿宋" w:eastAsia="仿宋_GB2312" w:cs="仿宋"/>
          <w:color w:val="auto"/>
          <w:sz w:val="32"/>
          <w:szCs w:val="32"/>
        </w:rPr>
        <w:t>流通领域新业态发展。</w:t>
      </w:r>
      <w:r>
        <w:rPr>
          <w:rFonts w:hint="eastAsia" w:ascii="仿宋_GB2312" w:hAnsi="仿宋_GB2312" w:eastAsia="仿宋_GB2312" w:cs="仿宋_GB2312"/>
          <w:color w:val="auto"/>
          <w:sz w:val="32"/>
          <w:szCs w:val="32"/>
        </w:rPr>
        <w:t>出台药品批发零售一体化经营许可政策，允许同一法人主体取得药品批发、零售连锁总部药品经营许可。支持大型药品批发企业有效整合仓储运输资源，开展集团内多仓协同</w:t>
      </w:r>
      <w:r>
        <w:rPr>
          <w:rFonts w:hint="eastAsia" w:ascii="仿宋_GB2312" w:hAnsi="仿宋" w:eastAsia="仿宋_GB2312" w:cs="仿宋"/>
          <w:color w:val="auto"/>
          <w:sz w:val="32"/>
          <w:szCs w:val="32"/>
        </w:rPr>
        <w:t>。</w:t>
      </w:r>
      <w:r>
        <w:rPr>
          <w:rFonts w:hint="eastAsia" w:ascii="仿宋_GB2312" w:hAnsi="仿宋_GB2312" w:eastAsia="仿宋_GB2312" w:cs="仿宋_GB2312"/>
          <w:color w:val="auto"/>
          <w:sz w:val="32"/>
          <w:szCs w:val="32"/>
        </w:rPr>
        <w:t>支持药品批发企业、药品零售连锁企业总部依法委托储存药品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bidi="ar"/>
        </w:rPr>
        <w:t>药品零售连锁企业</w:t>
      </w:r>
      <w:r>
        <w:rPr>
          <w:rFonts w:hint="eastAsia" w:ascii="仿宋_GB2312" w:hAnsi="仿宋_GB2312" w:eastAsia="仿宋_GB2312" w:cs="仿宋_GB2312"/>
          <w:color w:val="auto"/>
          <w:kern w:val="0"/>
          <w:sz w:val="32"/>
          <w:szCs w:val="32"/>
          <w:lang w:eastAsia="zh-CN" w:bidi="ar"/>
        </w:rPr>
        <w:t>依法依规</w:t>
      </w:r>
      <w:r>
        <w:rPr>
          <w:rFonts w:hint="eastAsia" w:ascii="仿宋_GB2312" w:hAnsi="仿宋_GB2312" w:eastAsia="仿宋_GB2312" w:cs="仿宋_GB2312"/>
          <w:color w:val="auto"/>
          <w:kern w:val="0"/>
          <w:sz w:val="32"/>
          <w:szCs w:val="32"/>
          <w:lang w:bidi="ar"/>
        </w:rPr>
        <w:t>委托</w:t>
      </w:r>
      <w:r>
        <w:rPr>
          <w:rFonts w:hint="eastAsia" w:ascii="仿宋_GB2312" w:hAnsi="仿宋_GB2312" w:eastAsia="仿宋_GB2312" w:cs="仿宋_GB2312"/>
          <w:color w:val="auto"/>
          <w:kern w:val="0"/>
          <w:sz w:val="32"/>
          <w:szCs w:val="32"/>
          <w:lang w:eastAsia="zh-CN" w:bidi="ar"/>
        </w:rPr>
        <w:t>相关联</w:t>
      </w:r>
      <w:r>
        <w:rPr>
          <w:rFonts w:hint="eastAsia" w:ascii="仿宋_GB2312" w:hAnsi="仿宋_GB2312" w:eastAsia="仿宋_GB2312" w:cs="仿宋_GB2312"/>
          <w:color w:val="auto"/>
          <w:kern w:val="0"/>
          <w:sz w:val="32"/>
          <w:szCs w:val="32"/>
          <w:lang w:bidi="ar"/>
        </w:rPr>
        <w:t>药品批发企业储存运输药品的，可申请</w:t>
      </w:r>
      <w:r>
        <w:rPr>
          <w:rFonts w:hint="eastAsia" w:ascii="仿宋_GB2312" w:hAnsi="仿宋_GB2312" w:eastAsia="仿宋_GB2312" w:cs="仿宋_GB2312"/>
          <w:color w:val="auto"/>
          <w:kern w:val="0"/>
          <w:sz w:val="32"/>
          <w:szCs w:val="32"/>
          <w:lang w:eastAsia="zh-CN" w:bidi="ar"/>
        </w:rPr>
        <w:t>核减</w:t>
      </w:r>
      <w:r>
        <w:rPr>
          <w:rFonts w:hint="eastAsia" w:ascii="仿宋_GB2312" w:hAnsi="仿宋_GB2312" w:eastAsia="仿宋_GB2312" w:cs="仿宋_GB2312"/>
          <w:color w:val="auto"/>
          <w:kern w:val="0"/>
          <w:sz w:val="32"/>
          <w:szCs w:val="32"/>
          <w:lang w:bidi="ar"/>
        </w:rPr>
        <w:t>原仓库地址。</w:t>
      </w:r>
      <w:r>
        <w:rPr>
          <w:rFonts w:hint="eastAsia" w:ascii="仿宋_GB2312" w:hAnsi="仿宋_GB2312" w:eastAsia="仿宋_GB2312" w:cs="仿宋_GB2312"/>
          <w:color w:val="auto"/>
          <w:kern w:val="0"/>
          <w:sz w:val="32"/>
          <w:szCs w:val="32"/>
          <w:lang w:eastAsia="zh-CN" w:bidi="ar"/>
        </w:rPr>
        <w:t>加快发展药品现代物流，</w:t>
      </w:r>
      <w:r>
        <w:rPr>
          <w:rFonts w:hint="eastAsia" w:ascii="仿宋_GB2312" w:hAnsi="仿宋_GB2312" w:eastAsia="仿宋_GB2312" w:cs="仿宋_GB2312"/>
          <w:color w:val="auto"/>
          <w:kern w:val="0"/>
          <w:sz w:val="32"/>
          <w:szCs w:val="32"/>
          <w:lang w:bidi="ar"/>
        </w:rPr>
        <w:t>鼓励</w:t>
      </w:r>
      <w:r>
        <w:rPr>
          <w:rFonts w:hint="eastAsia" w:ascii="仿宋_GB2312" w:hAnsi="仿宋_GB2312" w:eastAsia="仿宋_GB2312" w:cs="仿宋_GB2312"/>
          <w:color w:val="auto"/>
          <w:kern w:val="0"/>
          <w:sz w:val="32"/>
          <w:szCs w:val="32"/>
          <w:lang w:eastAsia="zh-CN" w:bidi="ar"/>
        </w:rPr>
        <w:t>支持我省实施药品现代物流标准前</w:t>
      </w:r>
      <w:r>
        <w:rPr>
          <w:rFonts w:hint="eastAsia" w:ascii="仿宋_GB2312" w:hAnsi="仿宋_GB2312" w:eastAsia="仿宋_GB2312" w:cs="仿宋_GB2312"/>
          <w:color w:val="auto"/>
          <w:kern w:val="0"/>
          <w:sz w:val="32"/>
          <w:szCs w:val="32"/>
          <w:lang w:bidi="ar"/>
        </w:rPr>
        <w:t>已开办的药品批发企业通过设施设备升级、资源整合等方式</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逐步达到药品现代物流条件</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rPr>
        <w:t>推动药品第三方物流创新发展，吸引更多省内外药品上市许可持有人、生产经营企业委托我省符合</w:t>
      </w:r>
      <w:r>
        <w:rPr>
          <w:rFonts w:hint="eastAsia" w:ascii="仿宋_GB2312" w:hAnsi="仿宋_GB2312" w:eastAsia="仿宋_GB2312" w:cs="仿宋_GB2312"/>
          <w:color w:val="auto"/>
          <w:sz w:val="32"/>
          <w:szCs w:val="32"/>
          <w:lang w:eastAsia="zh-CN"/>
        </w:rPr>
        <w:t>药品第三方</w:t>
      </w:r>
      <w:r>
        <w:rPr>
          <w:rFonts w:hint="eastAsia" w:ascii="仿宋_GB2312" w:hAnsi="仿宋_GB2312" w:eastAsia="仿宋_GB2312" w:cs="仿宋_GB2312"/>
          <w:color w:val="auto"/>
          <w:sz w:val="32"/>
          <w:szCs w:val="32"/>
        </w:rPr>
        <w:t>现代物流</w:t>
      </w:r>
      <w:r>
        <w:rPr>
          <w:rFonts w:hint="eastAsia" w:ascii="仿宋_GB2312" w:hAnsi="仿宋_GB2312" w:eastAsia="仿宋_GB2312" w:cs="仿宋_GB2312"/>
          <w:color w:val="auto"/>
          <w:sz w:val="32"/>
          <w:szCs w:val="32"/>
          <w:lang w:eastAsia="zh-CN"/>
        </w:rPr>
        <w:t>条件</w:t>
      </w:r>
      <w:r>
        <w:rPr>
          <w:rFonts w:hint="eastAsia" w:ascii="仿宋_GB2312" w:hAnsi="仿宋_GB2312" w:eastAsia="仿宋_GB2312" w:cs="仿宋_GB2312"/>
          <w:color w:val="auto"/>
          <w:sz w:val="32"/>
          <w:szCs w:val="32"/>
        </w:rPr>
        <w:t>的企业储运药品。鼓励支持从事医疗器械批发和专门提供医疗器械运输、贮存服务的企业，有效整合贮存运输资源，构建区域多仓协同物流管理模式。</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_GB2312" w:eastAsia="仿宋_GB2312" w:cs="仿宋_GB2312"/>
          <w:color w:val="auto"/>
          <w:sz w:val="32"/>
          <w:szCs w:val="32"/>
        </w:rPr>
        <w:t>7.</w:t>
      </w:r>
      <w:r>
        <w:rPr>
          <w:rFonts w:hint="eastAsia" w:ascii="仿宋_GB2312" w:hAnsi="仿宋" w:eastAsia="仿宋_GB2312" w:cs="仿宋"/>
          <w:bCs/>
          <w:color w:val="auto"/>
          <w:sz w:val="32"/>
          <w:szCs w:val="32"/>
        </w:rPr>
        <w:t>优化无菌医疗器械产品出厂放行条件。</w:t>
      </w:r>
      <w:r>
        <w:rPr>
          <w:rFonts w:hint="eastAsia" w:ascii="仿宋_GB2312" w:hAnsi="仿宋" w:eastAsia="仿宋_GB2312" w:cs="仿宋"/>
          <w:color w:val="auto"/>
          <w:kern w:val="0"/>
          <w:sz w:val="32"/>
          <w:szCs w:val="32"/>
        </w:rPr>
        <w:t>遴选符合条件的企业和品种开展试点，在确保产品安全有效的基础上，</w:t>
      </w:r>
      <w:r>
        <w:rPr>
          <w:rFonts w:hint="eastAsia" w:ascii="仿宋_GB2312" w:hAnsi="仿宋" w:eastAsia="仿宋_GB2312" w:cs="仿宋"/>
          <w:color w:val="auto"/>
          <w:kern w:val="0"/>
          <w:sz w:val="32"/>
          <w:szCs w:val="32"/>
          <w:lang w:eastAsia="zh-CN"/>
        </w:rPr>
        <w:t>采取有效方式</w:t>
      </w:r>
      <w:r>
        <w:rPr>
          <w:rFonts w:hint="eastAsia" w:ascii="仿宋_GB2312" w:hAnsi="仿宋" w:eastAsia="仿宋_GB2312" w:cs="仿宋"/>
          <w:color w:val="auto"/>
          <w:kern w:val="0"/>
          <w:sz w:val="32"/>
          <w:szCs w:val="32"/>
        </w:rPr>
        <w:t>优化无菌医疗器械产品出厂放行条件，将产品出厂周期缩短50%以上，减轻企业的库存压力和</w:t>
      </w:r>
      <w:r>
        <w:rPr>
          <w:rFonts w:hint="eastAsia" w:ascii="仿宋_GB2312" w:hAnsi="仿宋" w:eastAsia="仿宋_GB2312" w:cs="仿宋"/>
          <w:color w:val="auto"/>
          <w:kern w:val="0"/>
          <w:sz w:val="32"/>
          <w:szCs w:val="32"/>
          <w:lang w:eastAsia="zh-CN"/>
        </w:rPr>
        <w:t>资金压力</w:t>
      </w:r>
      <w:r>
        <w:rPr>
          <w:rFonts w:hint="eastAsia" w:ascii="仿宋_GB2312" w:hAnsi="仿宋" w:eastAsia="仿宋_GB2312" w:cs="仿宋"/>
          <w:color w:val="auto"/>
          <w:kern w:val="0"/>
          <w:sz w:val="32"/>
          <w:szCs w:val="32"/>
        </w:rPr>
        <w:t>。</w:t>
      </w:r>
      <w:r>
        <w:rPr>
          <w:rFonts w:hint="eastAsia" w:ascii="仿宋_GB2312" w:hAnsi="仿宋" w:eastAsia="仿宋_GB2312" w:cs="仿宋"/>
          <w:color w:val="auto"/>
          <w:sz w:val="32"/>
          <w:szCs w:val="32"/>
        </w:rPr>
        <w:t xml:space="preserve">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8.支持药品医疗器械出口贸易。</w:t>
      </w:r>
      <w:r>
        <w:rPr>
          <w:rFonts w:hint="eastAsia" w:ascii="仿宋_GB2312" w:hAnsi="仿宋_GB2312" w:eastAsia="仿宋_GB2312" w:cs="仿宋_GB2312"/>
          <w:color w:val="auto"/>
          <w:sz w:val="32"/>
          <w:szCs w:val="32"/>
          <w:lang w:eastAsia="zh-CN"/>
        </w:rPr>
        <w:t>依规</w:t>
      </w:r>
      <w:r>
        <w:rPr>
          <w:rFonts w:hint="eastAsia" w:ascii="仿宋_GB2312" w:hAnsi="仿宋_GB2312" w:eastAsia="仿宋_GB2312" w:cs="仿宋_GB2312"/>
          <w:color w:val="auto"/>
          <w:sz w:val="32"/>
          <w:szCs w:val="32"/>
        </w:rPr>
        <w:t>将出具出口销售证明的范围拓展到所有具备资质的企业按照生产质量管理规范生产的</w:t>
      </w:r>
      <w:r>
        <w:rPr>
          <w:rFonts w:hint="eastAsia" w:ascii="仿宋_GB2312" w:hAnsi="仿宋_GB2312" w:eastAsia="仿宋_GB2312" w:cs="仿宋_GB2312"/>
          <w:color w:val="auto"/>
          <w:sz w:val="32"/>
          <w:szCs w:val="32"/>
          <w:lang w:eastAsia="zh-CN"/>
        </w:rPr>
        <w:t>药品</w:t>
      </w:r>
      <w:r>
        <w:rPr>
          <w:rFonts w:hint="eastAsia" w:ascii="仿宋_GB2312" w:hAnsi="仿宋_GB2312" w:eastAsia="仿宋_GB2312" w:cs="仿宋_GB2312"/>
          <w:color w:val="auto"/>
          <w:sz w:val="32"/>
          <w:szCs w:val="32"/>
        </w:rPr>
        <w:t>医疗器械，支持药品生产企业办理《药品出口销售证明》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出口欧盟原料药证明文件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将医疗器械出口销售证明</w:t>
      </w:r>
      <w:r>
        <w:rPr>
          <w:rFonts w:hint="eastAsia" w:ascii="仿宋_GB2312" w:hAnsi="仿宋_GB2312" w:eastAsia="仿宋_GB2312" w:cs="仿宋_GB2312"/>
          <w:color w:val="auto"/>
          <w:sz w:val="32"/>
          <w:szCs w:val="32"/>
        </w:rPr>
        <w:t>审批时限由15个工作日缩短为7个工作日。</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依托</w:t>
      </w:r>
      <w:r>
        <w:rPr>
          <w:rFonts w:hint="eastAsia"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lang w:eastAsia="zh-CN"/>
        </w:rPr>
        <w:t>支撑资源服务产业发展</w:t>
      </w:r>
      <w:r>
        <w:rPr>
          <w:rFonts w:hint="eastAsia" w:ascii="仿宋_GB2312" w:hAnsi="仿宋_GB2312" w:eastAsia="仿宋_GB2312" w:cs="仿宋_GB2312"/>
          <w:color w:val="auto"/>
          <w:sz w:val="32"/>
          <w:szCs w:val="32"/>
        </w:rPr>
        <w:t>。加快推进疫苗等生物制品批签发能力建设项目落地，</w:t>
      </w:r>
      <w:r>
        <w:rPr>
          <w:rFonts w:hint="eastAsia" w:ascii="仿宋_GB2312" w:hAnsi="仿宋_GB2312" w:eastAsia="仿宋_GB2312" w:cs="仿宋_GB2312"/>
          <w:color w:val="auto"/>
          <w:sz w:val="32"/>
          <w:szCs w:val="32"/>
          <w:lang w:eastAsia="zh-CN"/>
        </w:rPr>
        <w:t>有效满足我省相关产品批签发需求</w:t>
      </w:r>
      <w:r>
        <w:rPr>
          <w:rFonts w:hint="eastAsia" w:ascii="仿宋_GB2312" w:hAnsi="仿宋_GB2312" w:eastAsia="仿宋_GB2312" w:cs="仿宋_GB2312"/>
          <w:color w:val="auto"/>
          <w:sz w:val="32"/>
          <w:szCs w:val="32"/>
        </w:rPr>
        <w:t>，缩短产品上市周期。</w:t>
      </w:r>
      <w:r>
        <w:rPr>
          <w:rFonts w:hint="eastAsia" w:ascii="仿宋_GB2312" w:hAnsi="CESI仿宋-GB2312" w:eastAsia="仿宋_GB2312" w:cs="CESI仿宋-GB2312"/>
          <w:color w:val="auto"/>
          <w:sz w:val="32"/>
          <w:szCs w:val="32"/>
        </w:rPr>
        <w:t>规范高效开展疫苗批签发检验工作，</w:t>
      </w:r>
      <w:r>
        <w:rPr>
          <w:rFonts w:hint="eastAsia" w:ascii="仿宋_GB2312" w:hAnsi="CESI仿宋-GB2312" w:eastAsia="仿宋_GB2312" w:cs="CESI仿宋-GB2312"/>
          <w:color w:val="auto"/>
          <w:sz w:val="32"/>
          <w:szCs w:val="32"/>
          <w:lang w:eastAsia="zh-CN"/>
        </w:rPr>
        <w:t>将</w:t>
      </w:r>
      <w:r>
        <w:rPr>
          <w:rFonts w:hint="eastAsia" w:ascii="仿宋_GB2312" w:hAnsi="CESI仿宋-GB2312" w:eastAsia="仿宋_GB2312" w:cs="CESI仿宋-GB2312"/>
          <w:color w:val="auto"/>
          <w:sz w:val="32"/>
          <w:szCs w:val="32"/>
        </w:rPr>
        <w:t>流感疫苗批签发时限缩短至45个工作日以内。</w:t>
      </w:r>
      <w:r>
        <w:rPr>
          <w:rFonts w:hint="eastAsia" w:ascii="仿宋_GB2312" w:hAnsi="仿宋_GB2312" w:eastAsia="仿宋_GB2312" w:cs="仿宋_GB2312"/>
          <w:color w:val="auto"/>
          <w:sz w:val="32"/>
          <w:szCs w:val="32"/>
        </w:rPr>
        <w:t>建设河南省体外诊断试剂质量评价中心，</w:t>
      </w:r>
      <w:r>
        <w:rPr>
          <w:rFonts w:hint="eastAsia" w:ascii="仿宋_GB2312" w:hAnsi="仿宋_GB2312" w:eastAsia="仿宋_GB2312" w:cs="仿宋_GB2312"/>
          <w:color w:val="auto"/>
          <w:sz w:val="32"/>
          <w:szCs w:val="32"/>
          <w:lang w:eastAsia="zh-CN"/>
        </w:rPr>
        <w:t>探索</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lang w:eastAsia="zh-CN"/>
        </w:rPr>
        <w:t>立</w:t>
      </w:r>
      <w:r>
        <w:rPr>
          <w:rFonts w:hint="eastAsia" w:ascii="仿宋_GB2312" w:hAnsi="仿宋_GB2312" w:eastAsia="仿宋_GB2312" w:cs="仿宋_GB2312"/>
          <w:color w:val="auto"/>
          <w:sz w:val="32"/>
          <w:szCs w:val="32"/>
        </w:rPr>
        <w:t>共享标准化生物样本库和已上市产品质量评价数据库，</w:t>
      </w:r>
      <w:r>
        <w:rPr>
          <w:rFonts w:hint="eastAsia" w:ascii="仿宋_GB2312" w:hAnsi="仿宋_GB2312" w:eastAsia="仿宋_GB2312" w:cs="仿宋_GB2312"/>
          <w:color w:val="auto"/>
          <w:kern w:val="0"/>
          <w:sz w:val="32"/>
          <w:szCs w:val="32"/>
          <w:lang w:val="en" w:eastAsia="zh-CN" w:bidi="ar"/>
        </w:rPr>
        <w:t>服务</w:t>
      </w:r>
      <w:r>
        <w:rPr>
          <w:rFonts w:hint="eastAsia" w:ascii="仿宋_GB2312" w:hAnsi="仿宋_GB2312" w:eastAsia="仿宋_GB2312" w:cs="仿宋_GB2312"/>
          <w:color w:val="auto"/>
          <w:sz w:val="32"/>
          <w:szCs w:val="32"/>
        </w:rPr>
        <w:t>推动体外诊断产品研发创新。</w:t>
      </w:r>
    </w:p>
    <w:p>
      <w:pPr>
        <w:spacing w:line="560" w:lineRule="exact"/>
        <w:ind w:firstLine="640"/>
        <w:rPr>
          <w:rFonts w:hint="eastAsia" w:ascii="仿宋_GB2312" w:hAnsi="CESI仿宋-GB2312" w:eastAsia="仿宋_GB2312" w:cs="CESI仿宋-GB2312"/>
          <w:color w:val="auto"/>
          <w:sz w:val="32"/>
          <w:szCs w:val="32"/>
        </w:rPr>
      </w:pPr>
      <w:r>
        <w:rPr>
          <w:rFonts w:hint="eastAsia" w:ascii="仿宋_GB2312" w:eastAsia="仿宋_GB2312"/>
          <w:color w:val="auto"/>
          <w:sz w:val="32"/>
          <w:szCs w:val="32"/>
        </w:rPr>
        <w:t>10.协同搭建创新药械研发转化平台。</w:t>
      </w:r>
      <w:r>
        <w:rPr>
          <w:rFonts w:hint="eastAsia" w:ascii="仿宋_GB2312" w:hAnsi="CESI仿宋-GB2312" w:eastAsia="仿宋_GB2312" w:cs="CESI仿宋-GB2312"/>
          <w:color w:val="auto"/>
          <w:sz w:val="32"/>
          <w:szCs w:val="32"/>
        </w:rPr>
        <w:t>统筹整合省级药械检验检测</w:t>
      </w:r>
      <w:r>
        <w:rPr>
          <w:rFonts w:hint="eastAsia" w:ascii="仿宋_GB2312" w:hAnsi="CESI仿宋-GB2312" w:eastAsia="仿宋_GB2312" w:cs="CESI仿宋-GB2312"/>
          <w:color w:val="auto"/>
          <w:sz w:val="32"/>
          <w:szCs w:val="32"/>
          <w:lang w:eastAsia="zh-CN"/>
        </w:rPr>
        <w:t>、审评查验</w:t>
      </w:r>
      <w:r>
        <w:rPr>
          <w:rFonts w:hint="eastAsia" w:ascii="仿宋_GB2312" w:hAnsi="CESI仿宋-GB2312" w:eastAsia="仿宋_GB2312" w:cs="CESI仿宋-GB2312"/>
          <w:color w:val="auto"/>
          <w:sz w:val="32"/>
          <w:szCs w:val="32"/>
        </w:rPr>
        <w:t>技术资源，主动融入国家医学中心、省医学科学院、省中医药科学院等创新平台体系，支持医药企业、高校院所、研发</w:t>
      </w:r>
      <w:r>
        <w:rPr>
          <w:rFonts w:hint="eastAsia" w:ascii="仿宋_GB2312" w:hAnsi="CESI仿宋-GB2312" w:eastAsia="仿宋_GB2312" w:cs="CESI仿宋-GB2312"/>
          <w:color w:val="auto"/>
          <w:sz w:val="32"/>
          <w:szCs w:val="32"/>
          <w:lang w:eastAsia="zh-CN"/>
        </w:rPr>
        <w:t>机构</w:t>
      </w:r>
      <w:r>
        <w:rPr>
          <w:rFonts w:hint="eastAsia" w:ascii="仿宋_GB2312" w:hAnsi="CESI仿宋-GB2312" w:eastAsia="仿宋_GB2312" w:cs="CESI仿宋-GB2312"/>
          <w:color w:val="auto"/>
          <w:sz w:val="32"/>
          <w:szCs w:val="32"/>
        </w:rPr>
        <w:t>、医疗机构组建创新联合体，</w:t>
      </w:r>
      <w:r>
        <w:rPr>
          <w:rFonts w:hint="eastAsia" w:ascii="仿宋_GB2312" w:hAnsi="仿宋_GB2312" w:eastAsia="仿宋_GB2312" w:cs="仿宋_GB2312"/>
          <w:color w:val="auto"/>
          <w:kern w:val="0"/>
          <w:sz w:val="32"/>
          <w:szCs w:val="32"/>
        </w:rPr>
        <w:t>协同打造科研创新平台、</w:t>
      </w:r>
      <w:r>
        <w:rPr>
          <w:rFonts w:hint="eastAsia" w:ascii="仿宋_GB2312" w:hAnsi="CESI仿宋-GB2312" w:eastAsia="仿宋_GB2312" w:cs="CESI仿宋-GB2312"/>
          <w:color w:val="auto"/>
          <w:sz w:val="32"/>
          <w:szCs w:val="32"/>
        </w:rPr>
        <w:t>公共服务平台、</w:t>
      </w:r>
      <w:r>
        <w:rPr>
          <w:rFonts w:hint="eastAsia" w:ascii="仿宋_GB2312" w:hAnsi="仿宋_GB2312" w:eastAsia="仿宋_GB2312" w:cs="仿宋_GB2312"/>
          <w:color w:val="auto"/>
          <w:kern w:val="0"/>
          <w:sz w:val="32"/>
          <w:szCs w:val="32"/>
        </w:rPr>
        <w:t>成果转化平台，吸引配套企业在我省聚集，</w:t>
      </w:r>
      <w:r>
        <w:rPr>
          <w:rFonts w:hint="eastAsia" w:ascii="仿宋_GB2312" w:hAnsi="仿宋" w:eastAsia="仿宋_GB2312" w:cs="仿宋"/>
          <w:color w:val="auto"/>
          <w:sz w:val="32"/>
          <w:szCs w:val="32"/>
        </w:rPr>
        <w:t>促进研发成果向新产品、新技术转化</w:t>
      </w:r>
      <w:r>
        <w:rPr>
          <w:rFonts w:hint="eastAsia" w:ascii="仿宋_GB2312" w:hAnsi="CESI仿宋-GB2312" w:eastAsia="仿宋_GB2312" w:cs="CESI仿宋-GB2312"/>
          <w:color w:val="auto"/>
          <w:sz w:val="32"/>
          <w:szCs w:val="32"/>
        </w:rPr>
        <w:t>。</w:t>
      </w:r>
    </w:p>
    <w:p>
      <w:pPr>
        <w:pStyle w:val="8"/>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CESI仿宋-GB2312" w:eastAsia="仿宋_GB2312" w:cs="CESI仿宋-GB2312"/>
          <w:color w:val="auto"/>
          <w:sz w:val="32"/>
          <w:szCs w:val="32"/>
        </w:rPr>
        <w:t>11.培育发展医药新质生产力。聚焦新型疫苗、新型血液制品、创新药、现代中药、体外诊断产品、先进医疗装备、康复医疗器械、</w:t>
      </w:r>
      <w:r>
        <w:rPr>
          <w:rFonts w:hint="eastAsia" w:ascii="仿宋_GB2312" w:hAnsi="仿宋" w:eastAsia="仿宋_GB2312" w:cs="仿宋"/>
          <w:color w:val="auto"/>
          <w:sz w:val="32"/>
          <w:szCs w:val="32"/>
        </w:rPr>
        <w:t>人工智能医疗器械</w:t>
      </w:r>
      <w:r>
        <w:rPr>
          <w:rFonts w:hint="eastAsia" w:ascii="仿宋_GB2312" w:hAnsi="CESI仿宋-GB2312" w:eastAsia="仿宋_GB2312" w:cs="CESI仿宋-GB2312"/>
          <w:color w:val="auto"/>
          <w:sz w:val="32"/>
          <w:szCs w:val="32"/>
        </w:rPr>
        <w:t>等重点领域，国家药监局受理的创新</w:t>
      </w:r>
      <w:r>
        <w:rPr>
          <w:rFonts w:hint="eastAsia" w:ascii="仿宋_GB2312" w:hAnsi="CESI仿宋-GB2312" w:eastAsia="仿宋_GB2312" w:cs="CESI仿宋-GB2312"/>
          <w:color w:val="auto"/>
          <w:sz w:val="32"/>
          <w:szCs w:val="32"/>
          <w:lang w:eastAsia="zh-CN"/>
        </w:rPr>
        <w:t>药械</w:t>
      </w:r>
      <w:r>
        <w:rPr>
          <w:rFonts w:hint="eastAsia" w:ascii="仿宋_GB2312" w:hAnsi="CESI仿宋-GB2312" w:eastAsia="仿宋_GB2312" w:cs="CESI仿宋-GB2312"/>
          <w:color w:val="auto"/>
          <w:sz w:val="32"/>
          <w:szCs w:val="32"/>
        </w:rPr>
        <w:t>产品、在研创新药械产品等重点产品，引进的填补省内空白、突破“卡脖子”技术等重点项目，个性化定制“服务清单”，实行“一企一策、专班服务、前端帮扶、全程提速”，聚力推动创新药、现代中药和高端医疗器械上市，</w:t>
      </w:r>
      <w:r>
        <w:rPr>
          <w:rFonts w:hint="eastAsia" w:ascii="仿宋_GB2312" w:eastAsia="仿宋_GB2312"/>
          <w:color w:val="auto"/>
          <w:sz w:val="32"/>
          <w:szCs w:val="32"/>
        </w:rPr>
        <w:t>支持特色产业园区</w:t>
      </w:r>
      <w:r>
        <w:rPr>
          <w:rFonts w:hint="eastAsia" w:ascii="仿宋_GB2312" w:eastAsia="仿宋_GB2312"/>
          <w:color w:val="auto"/>
          <w:sz w:val="32"/>
          <w:szCs w:val="32"/>
          <w:lang w:eastAsia="zh-CN"/>
        </w:rPr>
        <w:t>加快发展</w:t>
      </w:r>
      <w:r>
        <w:rPr>
          <w:rFonts w:hint="eastAsia" w:ascii="仿宋_GB2312" w:hAnsi="CESI仿宋-GB2312" w:eastAsia="仿宋_GB2312" w:cs="CESI仿宋-GB2312"/>
          <w:color w:val="auto"/>
          <w:sz w:val="32"/>
          <w:szCs w:val="32"/>
        </w:rPr>
        <w:t>。探索开展化妆品个性化定制服务试点，鼓励研发化妆品新原料、新产品，</w:t>
      </w:r>
      <w:r>
        <w:rPr>
          <w:rFonts w:hint="eastAsia" w:ascii="仿宋_GB2312" w:hAnsi="CESI仿宋-GB2312" w:eastAsia="仿宋_GB2312" w:cs="CESI仿宋-GB2312"/>
          <w:color w:val="auto"/>
          <w:sz w:val="32"/>
          <w:szCs w:val="32"/>
          <w:lang w:val="en"/>
        </w:rPr>
        <w:t>助推</w:t>
      </w:r>
      <w:r>
        <w:rPr>
          <w:rFonts w:hint="eastAsia" w:ascii="仿宋_GB2312" w:hAnsi="CESI仿宋-GB2312" w:eastAsia="仿宋_GB2312" w:cs="CESI仿宋-GB2312"/>
          <w:color w:val="auto"/>
          <w:sz w:val="32"/>
          <w:szCs w:val="32"/>
        </w:rPr>
        <w:t>中高端化妆品</w:t>
      </w:r>
      <w:r>
        <w:rPr>
          <w:rFonts w:hint="eastAsia" w:ascii="仿宋_GB2312" w:hAnsi="CESI仿宋-GB2312" w:eastAsia="仿宋_GB2312" w:cs="CESI仿宋-GB2312"/>
          <w:color w:val="auto"/>
          <w:sz w:val="32"/>
          <w:szCs w:val="32"/>
          <w:lang w:val="en"/>
        </w:rPr>
        <w:t>上市。</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（二）优化审评审批，全</w:t>
      </w:r>
      <w:r>
        <w:rPr>
          <w:rFonts w:hint="eastAsia" w:ascii="楷体_GB2312" w:eastAsia="楷体_GB2312"/>
          <w:color w:val="auto"/>
          <w:sz w:val="32"/>
          <w:szCs w:val="32"/>
          <w:lang w:eastAsia="zh-CN"/>
        </w:rPr>
        <w:t>流程</w:t>
      </w:r>
      <w:r>
        <w:rPr>
          <w:rFonts w:hint="eastAsia" w:ascii="楷体_GB2312" w:eastAsia="楷体_GB2312"/>
          <w:color w:val="auto"/>
          <w:sz w:val="32"/>
          <w:szCs w:val="32"/>
        </w:rPr>
        <w:t>提升服务发展质效</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bCs/>
          <w:color w:val="auto"/>
          <w:sz w:val="32"/>
          <w:szCs w:val="32"/>
        </w:rPr>
        <w:t>12.推动政务服务提质增效。</w:t>
      </w:r>
      <w:r>
        <w:rPr>
          <w:rFonts w:hint="eastAsia" w:ascii="仿宋_GB2312" w:hAnsi="CESI仿宋-GB2312" w:eastAsia="仿宋_GB2312" w:cs="CESI仿宋-GB2312"/>
          <w:color w:val="auto"/>
          <w:sz w:val="32"/>
          <w:szCs w:val="32"/>
        </w:rPr>
        <w:t>建立运行“企业服务直通车”制度，常态化收集</w:t>
      </w:r>
      <w:r>
        <w:rPr>
          <w:rFonts w:hint="eastAsia" w:ascii="仿宋_GB2312" w:hAnsi="CESI仿宋-GB2312" w:eastAsia="仿宋_GB2312" w:cs="CESI仿宋-GB2312"/>
          <w:color w:val="auto"/>
          <w:sz w:val="32"/>
          <w:szCs w:val="32"/>
          <w:lang w:eastAsia="zh-CN"/>
        </w:rPr>
        <w:t>交办</w:t>
      </w:r>
      <w:r>
        <w:rPr>
          <w:rFonts w:hint="eastAsia" w:ascii="仿宋_GB2312" w:hAnsi="CESI仿宋-GB2312" w:eastAsia="仿宋_GB2312" w:cs="CESI仿宋-GB2312"/>
          <w:color w:val="auto"/>
          <w:sz w:val="32"/>
          <w:szCs w:val="32"/>
        </w:rPr>
        <w:t>企业</w:t>
      </w:r>
      <w:r>
        <w:rPr>
          <w:rFonts w:hint="eastAsia" w:ascii="仿宋_GB2312" w:hAnsi="CESI仿宋-GB2312" w:eastAsia="仿宋_GB2312" w:cs="CESI仿宋-GB2312"/>
          <w:color w:val="auto"/>
          <w:sz w:val="32"/>
          <w:szCs w:val="32"/>
          <w:lang w:eastAsia="zh-CN"/>
        </w:rPr>
        <w:t>申办事项</w:t>
      </w:r>
      <w:r>
        <w:rPr>
          <w:rFonts w:hint="eastAsia" w:ascii="仿宋_GB2312" w:hAnsi="CESI仿宋-GB2312" w:eastAsia="仿宋_GB2312" w:cs="CESI仿宋-GB2312"/>
          <w:color w:val="auto"/>
          <w:sz w:val="32"/>
          <w:szCs w:val="32"/>
        </w:rPr>
        <w:t>和</w:t>
      </w:r>
      <w:r>
        <w:rPr>
          <w:rFonts w:hint="eastAsia" w:ascii="仿宋_GB2312" w:hAnsi="CESI仿宋-GB2312" w:eastAsia="仿宋_GB2312" w:cs="CESI仿宋-GB2312"/>
          <w:color w:val="auto"/>
          <w:sz w:val="32"/>
          <w:szCs w:val="32"/>
          <w:lang w:eastAsia="zh-CN"/>
        </w:rPr>
        <w:t>关切诉求</w:t>
      </w:r>
      <w:r>
        <w:rPr>
          <w:rFonts w:hint="eastAsia" w:ascii="仿宋_GB2312" w:hAnsi="仿宋_GB2312" w:eastAsia="仿宋_GB2312" w:cs="仿宋_GB2312"/>
          <w:color w:val="auto"/>
          <w:sz w:val="32"/>
          <w:szCs w:val="32"/>
        </w:rPr>
        <w:t>。</w:t>
      </w:r>
      <w:r>
        <w:rPr>
          <w:rFonts w:hint="eastAsia" w:ascii="仿宋_GB2312" w:hAnsi="仿宋" w:eastAsia="仿宋_GB2312" w:cs="仿宋"/>
          <w:color w:val="auto"/>
          <w:sz w:val="32"/>
          <w:szCs w:val="32"/>
        </w:rPr>
        <w:t>持续优化审批程序</w:t>
      </w:r>
      <w:r>
        <w:rPr>
          <w:rFonts w:hint="eastAsia" w:ascii="仿宋_GB2312" w:hAnsi="仿宋" w:eastAsia="仿宋_GB2312" w:cs="仿宋"/>
          <w:color w:val="auto"/>
          <w:sz w:val="32"/>
          <w:szCs w:val="32"/>
          <w:lang w:eastAsia="zh-CN"/>
        </w:rPr>
        <w:t>流程</w:t>
      </w:r>
      <w:r>
        <w:rPr>
          <w:rFonts w:hint="eastAsia" w:ascii="仿宋_GB2312" w:hAnsi="仿宋" w:eastAsia="仿宋_GB2312" w:cs="仿宋"/>
          <w:color w:val="auto"/>
          <w:sz w:val="32"/>
          <w:szCs w:val="32"/>
        </w:rPr>
        <w:t>，审批不见面率、一网通办率、</w:t>
      </w:r>
      <w:r>
        <w:rPr>
          <w:rFonts w:hint="eastAsia" w:ascii="仿宋_GB2312" w:eastAsia="仿宋_GB2312"/>
          <w:color w:val="auto"/>
          <w:sz w:val="32"/>
          <w:szCs w:val="32"/>
        </w:rPr>
        <w:t>免证可办率</w:t>
      </w:r>
      <w:r>
        <w:rPr>
          <w:rFonts w:hint="eastAsia" w:ascii="仿宋_GB2312" w:hAnsi="仿宋" w:eastAsia="仿宋_GB2312" w:cs="仿宋"/>
          <w:color w:val="auto"/>
          <w:sz w:val="32"/>
          <w:szCs w:val="32"/>
        </w:rPr>
        <w:t>保持在100%，</w:t>
      </w:r>
      <w:r>
        <w:rPr>
          <w:rFonts w:hint="eastAsia" w:ascii="仿宋_GB2312" w:eastAsia="仿宋_GB2312"/>
          <w:color w:val="auto"/>
          <w:sz w:val="32"/>
          <w:szCs w:val="32"/>
        </w:rPr>
        <w:t>平均办结时限不超过法定时限的32%</w:t>
      </w:r>
      <w:r>
        <w:rPr>
          <w:rFonts w:hint="eastAsia" w:ascii="仿宋_GB2312" w:hAnsi="仿宋" w:eastAsia="仿宋_GB2312" w:cs="仿宋"/>
          <w:color w:val="auto"/>
          <w:kern w:val="0"/>
          <w:sz w:val="32"/>
          <w:szCs w:val="32"/>
        </w:rPr>
        <w:t>，实现第二类医疗器械注册审评审批全程无纸化办理</w:t>
      </w:r>
      <w:r>
        <w:rPr>
          <w:rFonts w:hint="eastAsia" w:ascii="仿宋_GB2312" w:hAnsi="仿宋" w:eastAsia="仿宋_GB2312" w:cs="仿宋"/>
          <w:color w:val="auto"/>
          <w:sz w:val="32"/>
          <w:szCs w:val="32"/>
        </w:rPr>
        <w:t>。探索建立智能审评审批模式，引入人工智能、机器学习等技术，辅助形式审查</w:t>
      </w:r>
      <w:r>
        <w:rPr>
          <w:rFonts w:hint="eastAsia" w:ascii="仿宋_GB2312" w:hAnsi="仿宋" w:eastAsia="仿宋_GB2312" w:cs="仿宋"/>
          <w:color w:val="auto"/>
          <w:sz w:val="32"/>
          <w:szCs w:val="32"/>
          <w:lang w:eastAsia="zh-CN"/>
        </w:rPr>
        <w:t>、技术审评、咨询服务</w:t>
      </w:r>
      <w:r>
        <w:rPr>
          <w:rFonts w:hint="eastAsia" w:ascii="仿宋_GB2312" w:hAnsi="仿宋" w:eastAsia="仿宋_GB2312" w:cs="仿宋"/>
          <w:color w:val="auto"/>
          <w:sz w:val="32"/>
          <w:szCs w:val="32"/>
        </w:rPr>
        <w:t>，为企业</w:t>
      </w:r>
      <w:r>
        <w:rPr>
          <w:rFonts w:hint="eastAsia" w:ascii="仿宋_GB2312" w:hAnsi="仿宋" w:eastAsia="仿宋_GB2312" w:cs="仿宋"/>
          <w:color w:val="auto"/>
          <w:sz w:val="32"/>
          <w:szCs w:val="32"/>
          <w:lang w:eastAsia="zh-CN"/>
        </w:rPr>
        <w:t>产品</w:t>
      </w:r>
      <w:r>
        <w:rPr>
          <w:rFonts w:hint="eastAsia" w:ascii="仿宋_GB2312" w:hAnsi="仿宋" w:eastAsia="仿宋_GB2312" w:cs="仿宋"/>
          <w:color w:val="auto"/>
          <w:sz w:val="32"/>
          <w:szCs w:val="32"/>
        </w:rPr>
        <w:t>注册申报减负赋能。</w:t>
      </w:r>
    </w:p>
    <w:p>
      <w:pPr>
        <w:pStyle w:val="4"/>
        <w:spacing w:after="0" w:line="560" w:lineRule="exact"/>
        <w:ind w:firstLine="640" w:firstLineChars="200"/>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rPr>
        <w:t>13.优化药品生产经营审批</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bidi="ar"/>
        </w:rPr>
        <w:t>开辟省外生物医药企业落户河南审批绿色通道</w:t>
      </w:r>
      <w:r>
        <w:rPr>
          <w:rFonts w:hint="eastAsia" w:ascii="仿宋_GB2312" w:hAnsi="仿宋_GB2312" w:eastAsia="仿宋_GB2312" w:cs="仿宋_GB2312"/>
          <w:color w:val="auto"/>
          <w:sz w:val="32"/>
          <w:szCs w:val="32"/>
          <w:lang w:eastAsia="zh-CN" w:bidi="ar"/>
        </w:rPr>
        <w:t>，支持</w:t>
      </w:r>
      <w:r>
        <w:rPr>
          <w:rFonts w:hint="eastAsia" w:ascii="仿宋_GB2312" w:hAnsi="仿宋" w:eastAsia="仿宋_GB2312" w:cs="仿宋"/>
          <w:color w:val="auto"/>
          <w:sz w:val="32"/>
          <w:szCs w:val="32"/>
        </w:rPr>
        <w:t>省内药品生产企业引进</w:t>
      </w:r>
      <w:r>
        <w:rPr>
          <w:rFonts w:hint="eastAsia" w:ascii="仿宋_GB2312" w:hAnsi="仿宋" w:eastAsia="仿宋_GB2312" w:cs="仿宋"/>
          <w:color w:val="auto"/>
          <w:sz w:val="32"/>
          <w:szCs w:val="32"/>
          <w:lang w:eastAsia="zh-CN"/>
        </w:rPr>
        <w:t>省</w:t>
      </w:r>
      <w:r>
        <w:rPr>
          <w:rFonts w:hint="eastAsia" w:ascii="仿宋_GB2312" w:hAnsi="仿宋" w:eastAsia="仿宋_GB2312" w:cs="仿宋"/>
          <w:color w:val="auto"/>
          <w:sz w:val="32"/>
          <w:szCs w:val="32"/>
        </w:rPr>
        <w:t>外优势</w:t>
      </w:r>
      <w:r>
        <w:rPr>
          <w:rFonts w:hint="eastAsia" w:ascii="仿宋_GB2312" w:hAnsi="仿宋" w:eastAsia="仿宋_GB2312" w:cs="仿宋"/>
          <w:color w:val="auto"/>
          <w:sz w:val="32"/>
          <w:szCs w:val="32"/>
          <w:lang w:eastAsia="zh-CN"/>
        </w:rPr>
        <w:t>品种，</w:t>
      </w:r>
      <w:r>
        <w:rPr>
          <w:rFonts w:hint="eastAsia" w:ascii="仿宋_GB2312" w:hAnsi="仿宋" w:eastAsia="仿宋_GB2312" w:cs="仿宋"/>
          <w:color w:val="auto"/>
          <w:sz w:val="32"/>
          <w:szCs w:val="32"/>
        </w:rPr>
        <w:t>对符合法定条件的受托药品生产企业，依法依规直接核发C类药品生产许可证，助推医药产业深度转型升级。</w:t>
      </w:r>
      <w:r>
        <w:rPr>
          <w:rFonts w:hint="eastAsia" w:ascii="仿宋_GB2312" w:hAnsi="仿宋_GB2312" w:eastAsia="仿宋_GB2312" w:cs="仿宋_GB2312"/>
          <w:color w:val="auto"/>
          <w:sz w:val="32"/>
          <w:szCs w:val="32"/>
        </w:rPr>
        <w:t>受托生产车间和生产线两年内通过药品GMP符合性检查，且受托生产品种为非高风险产品的，经风险研判后，</w:t>
      </w:r>
      <w:r>
        <w:rPr>
          <w:rFonts w:hint="eastAsia" w:ascii="仿宋_GB2312" w:hAnsi="仿宋_GB2312" w:eastAsia="仿宋_GB2312" w:cs="仿宋_GB2312"/>
          <w:color w:val="auto"/>
          <w:sz w:val="32"/>
          <w:szCs w:val="32"/>
          <w:lang w:eastAsia="zh-CN"/>
        </w:rPr>
        <w:t>受托方</w:t>
      </w:r>
      <w:r>
        <w:rPr>
          <w:rFonts w:hint="eastAsia" w:ascii="仿宋_GB2312" w:hAnsi="仿宋_GB2312" w:eastAsia="仿宋_GB2312" w:cs="仿宋_GB2312"/>
          <w:color w:val="auto"/>
          <w:sz w:val="32"/>
          <w:szCs w:val="32"/>
        </w:rPr>
        <w:t>免于许可现场检查。优化药品生产</w:t>
      </w:r>
      <w:r>
        <w:rPr>
          <w:rFonts w:hint="eastAsia" w:ascii="仿宋_GB2312" w:hAnsi="仿宋_GB2312" w:eastAsia="仿宋_GB2312" w:cs="仿宋_GB2312"/>
          <w:color w:val="auto"/>
          <w:sz w:val="32"/>
          <w:szCs w:val="32"/>
          <w:lang w:eastAsia="zh-CN"/>
        </w:rPr>
        <w:t>许可事项</w:t>
      </w:r>
      <w:r>
        <w:rPr>
          <w:rFonts w:hint="eastAsia" w:ascii="仿宋_GB2312" w:hAnsi="仿宋_GB2312" w:eastAsia="仿宋_GB2312" w:cs="仿宋_GB2312"/>
          <w:color w:val="auto"/>
          <w:sz w:val="32"/>
          <w:szCs w:val="32"/>
        </w:rPr>
        <w:t>变更管理，</w:t>
      </w:r>
      <w:r>
        <w:rPr>
          <w:rFonts w:hint="eastAsia" w:ascii="仿宋_GB2312" w:hAnsi="仿宋_GB2312" w:eastAsia="仿宋_GB2312" w:cs="仿宋_GB2312"/>
          <w:color w:val="auto"/>
          <w:sz w:val="32"/>
          <w:szCs w:val="32"/>
          <w:lang w:eastAsia="zh-CN"/>
        </w:rPr>
        <w:t>在风险研判的基础上</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对</w:t>
      </w:r>
      <w:r>
        <w:rPr>
          <w:rFonts w:hint="eastAsia" w:ascii="仿宋_GB2312" w:hAnsi="仿宋" w:eastAsia="仿宋_GB2312" w:cs="仿宋"/>
          <w:color w:val="auto"/>
          <w:sz w:val="32"/>
          <w:szCs w:val="32"/>
        </w:rPr>
        <w:t>符合条件的合并或减免现场检查。</w:t>
      </w:r>
      <w:r>
        <w:rPr>
          <w:rFonts w:hint="eastAsia" w:ascii="仿宋_GB2312" w:hAnsi="仿宋" w:eastAsia="仿宋_GB2312" w:cs="仿宋"/>
          <w:color w:val="auto"/>
          <w:sz w:val="32"/>
          <w:szCs w:val="32"/>
          <w:lang w:eastAsia="zh-CN"/>
        </w:rPr>
        <w:t>优化许可流程，</w:t>
      </w:r>
      <w:r>
        <w:rPr>
          <w:rFonts w:hint="eastAsia" w:ascii="仿宋_GB2312" w:hAnsi="仿宋_GB2312" w:eastAsia="仿宋_GB2312" w:cs="仿宋_GB2312"/>
          <w:color w:val="auto"/>
          <w:sz w:val="32"/>
          <w:szCs w:val="32"/>
        </w:rPr>
        <w:t>鼓励药品零售连锁企业通过兼并、控股、重组等方式做大做强。</w:t>
      </w:r>
      <w:r>
        <w:rPr>
          <w:rFonts w:hint="eastAsia" w:ascii="仿宋_GB2312" w:hAnsi="仿宋_GB2312" w:eastAsia="仿宋_GB2312" w:cs="仿宋_GB2312"/>
          <w:color w:val="auto"/>
          <w:sz w:val="32"/>
          <w:szCs w:val="32"/>
          <w:lang w:eastAsia="zh-CN"/>
        </w:rPr>
        <w:t>优化</w:t>
      </w:r>
      <w:r>
        <w:rPr>
          <w:rFonts w:hint="eastAsia" w:ascii="仿宋_GB2312" w:hAnsi="仿宋_GB2312" w:eastAsia="仿宋_GB2312" w:cs="仿宋_GB2312"/>
          <w:color w:val="auto"/>
          <w:sz w:val="32"/>
          <w:szCs w:val="32"/>
        </w:rPr>
        <w:t>药品批发企业、药品零售连锁总部、零售药店重新审查发证</w:t>
      </w:r>
      <w:r>
        <w:rPr>
          <w:rFonts w:hint="eastAsia" w:ascii="仿宋_GB2312" w:hAnsi="仿宋_GB2312" w:eastAsia="仿宋_GB2312" w:cs="仿宋_GB2312"/>
          <w:color w:val="auto"/>
          <w:sz w:val="32"/>
          <w:szCs w:val="32"/>
          <w:lang w:eastAsia="zh-CN"/>
        </w:rPr>
        <w:t>流程。</w:t>
      </w:r>
      <w:r>
        <w:rPr>
          <w:rFonts w:hint="eastAsia" w:ascii="仿宋_GB2312" w:hAnsi="仿宋_GB2312" w:eastAsia="仿宋_GB2312" w:cs="仿宋_GB2312"/>
          <w:color w:val="auto"/>
          <w:sz w:val="32"/>
          <w:szCs w:val="32"/>
        </w:rPr>
        <w:t>探索以风险评估的形式取代低风险许可事项的现场检查</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color w:val="auto"/>
          <w:sz w:val="32"/>
          <w:szCs w:val="32"/>
        </w:rPr>
        <w:t>支持药品零售企业依法设置仅销售乙类非处方药的自</w:t>
      </w:r>
      <w:r>
        <w:rPr>
          <w:rFonts w:hint="eastAsia" w:ascii="仿宋_GB2312" w:eastAsia="仿宋_GB2312"/>
          <w:color w:val="auto"/>
          <w:sz w:val="32"/>
          <w:szCs w:val="32"/>
        </w:rPr>
        <w:t>助售药机，并接受属地监管部门监督。</w:t>
      </w:r>
      <w:r>
        <w:rPr>
          <w:rFonts w:hint="eastAsia" w:ascii="仿宋_GB2312" w:eastAsia="仿宋_GB2312"/>
          <w:color w:val="auto"/>
          <w:sz w:val="32"/>
          <w:szCs w:val="32"/>
          <w:lang w:val="en-US" w:eastAsia="zh-CN"/>
        </w:rPr>
        <w:t xml:space="preserve"> </w:t>
      </w:r>
    </w:p>
    <w:p>
      <w:pPr>
        <w:pStyle w:val="4"/>
        <w:spacing w:after="0" w:line="560" w:lineRule="exact"/>
        <w:ind w:firstLine="640" w:firstLineChars="200"/>
        <w:rPr>
          <w:rFonts w:hint="eastAsia" w:ascii="仿宋_GB2312" w:hAnsi="仿宋" w:eastAsia="仿宋_GB2312" w:cs="仿宋"/>
          <w:color w:val="auto"/>
          <w:sz w:val="32"/>
          <w:szCs w:val="32"/>
          <w:lang w:eastAsia="zh-CN"/>
        </w:rPr>
      </w:pPr>
      <w:r>
        <w:rPr>
          <w:rFonts w:hint="eastAsia" w:ascii="仿宋_GB2312" w:eastAsia="仿宋_GB2312"/>
          <w:color w:val="auto"/>
          <w:sz w:val="32"/>
          <w:szCs w:val="32"/>
          <w:lang w:val="en-US" w:eastAsia="zh-CN"/>
        </w:rPr>
        <w:t>14.</w:t>
      </w:r>
      <w:r>
        <w:rPr>
          <w:rFonts w:hint="eastAsia" w:ascii="仿宋_GB2312" w:hAnsi="仿宋" w:eastAsia="仿宋_GB2312" w:cs="仿宋"/>
          <w:bCs w:val="0"/>
          <w:color w:val="auto"/>
          <w:sz w:val="32"/>
          <w:szCs w:val="32"/>
          <w:lang w:eastAsia="zh-CN"/>
        </w:rPr>
        <w:t>建立健全融合检查机制</w:t>
      </w:r>
      <w:r>
        <w:rPr>
          <w:rFonts w:hint="eastAsia" w:ascii="仿宋_GB2312" w:hAnsi="仿宋" w:eastAsia="仿宋_GB2312" w:cs="仿宋"/>
          <w:bCs w:val="0"/>
          <w:color w:val="auto"/>
          <w:sz w:val="32"/>
          <w:szCs w:val="32"/>
        </w:rPr>
        <w:t>。</w:t>
      </w:r>
      <w:r>
        <w:rPr>
          <w:rFonts w:hint="eastAsia" w:ascii="仿宋_GB2312" w:hAnsi="仿宋" w:eastAsia="仿宋_GB2312" w:cs="仿宋"/>
          <w:bCs w:val="0"/>
          <w:color w:val="auto"/>
          <w:sz w:val="32"/>
          <w:szCs w:val="32"/>
          <w:lang w:eastAsia="zh-CN"/>
        </w:rPr>
        <w:t>统筹药品生产许可检查与</w:t>
      </w:r>
      <w:r>
        <w:rPr>
          <w:rFonts w:hint="eastAsia" w:ascii="仿宋_GB2312" w:hAnsi="仿宋" w:eastAsia="仿宋_GB2312" w:cs="仿宋"/>
          <w:color w:val="auto"/>
          <w:sz w:val="32"/>
          <w:szCs w:val="32"/>
        </w:rPr>
        <w:t>GMP符合性检查</w:t>
      </w:r>
      <w:r>
        <w:rPr>
          <w:rFonts w:hint="eastAsia" w:ascii="仿宋_GB2312" w:hAnsi="仿宋" w:eastAsia="仿宋_GB2312" w:cs="仿宋"/>
          <w:color w:val="auto"/>
          <w:sz w:val="32"/>
          <w:szCs w:val="32"/>
          <w:lang w:eastAsia="zh-CN"/>
        </w:rPr>
        <w:t>，药品经营许可检查与</w:t>
      </w:r>
      <w:r>
        <w:rPr>
          <w:rFonts w:hint="eastAsia" w:ascii="仿宋_GB2312" w:hAnsi="仿宋" w:eastAsia="仿宋_GB2312" w:cs="仿宋"/>
          <w:color w:val="auto"/>
          <w:sz w:val="32"/>
          <w:szCs w:val="32"/>
        </w:rPr>
        <w:t>GSP符合性检查</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第二类、</w:t>
      </w:r>
      <w:r>
        <w:rPr>
          <w:rFonts w:hint="eastAsia" w:ascii="仿宋_GB2312" w:hAnsi="仿宋" w:eastAsia="仿宋_GB2312" w:cs="仿宋"/>
          <w:color w:val="auto"/>
          <w:sz w:val="32"/>
          <w:szCs w:val="32"/>
          <w:lang w:eastAsia="zh-CN"/>
        </w:rPr>
        <w:t>第</w:t>
      </w:r>
      <w:r>
        <w:rPr>
          <w:rFonts w:hint="eastAsia" w:ascii="仿宋_GB2312" w:hAnsi="仿宋" w:eastAsia="仿宋_GB2312" w:cs="仿宋"/>
          <w:color w:val="auto"/>
          <w:sz w:val="32"/>
          <w:szCs w:val="32"/>
        </w:rPr>
        <w:t>三类医疗器械注册核查与生产许可检查，</w:t>
      </w:r>
      <w:r>
        <w:rPr>
          <w:rFonts w:hint="eastAsia" w:ascii="仿宋_GB2312" w:hAnsi="仿宋" w:eastAsia="仿宋_GB2312" w:cs="仿宋"/>
          <w:color w:val="auto"/>
          <w:sz w:val="32"/>
          <w:szCs w:val="32"/>
          <w:lang w:val="en" w:eastAsia="zh-CN"/>
        </w:rPr>
        <w:t>加快</w:t>
      </w:r>
      <w:r>
        <w:rPr>
          <w:rFonts w:hint="eastAsia" w:ascii="仿宋_GB2312" w:hAnsi="仿宋" w:eastAsia="仿宋_GB2312" w:cs="仿宋"/>
          <w:color w:val="auto"/>
          <w:sz w:val="32"/>
          <w:szCs w:val="32"/>
          <w:lang w:eastAsia="zh-CN"/>
        </w:rPr>
        <w:t>建立</w:t>
      </w:r>
      <w:r>
        <w:rPr>
          <w:rFonts w:hint="eastAsia" w:ascii="仿宋_GB2312" w:hAnsi="仿宋" w:eastAsia="仿宋_GB2312" w:cs="仿宋"/>
          <w:color w:val="auto"/>
          <w:sz w:val="32"/>
          <w:szCs w:val="32"/>
        </w:rPr>
        <w:t>融合</w:t>
      </w:r>
      <w:r>
        <w:rPr>
          <w:rFonts w:hint="eastAsia" w:ascii="仿宋_GB2312" w:hAnsi="仿宋" w:eastAsia="仿宋_GB2312" w:cs="仿宋"/>
          <w:color w:val="auto"/>
          <w:sz w:val="32"/>
          <w:szCs w:val="32"/>
          <w:lang w:eastAsia="zh-CN"/>
        </w:rPr>
        <w:t>检查、合并检查</w:t>
      </w:r>
      <w:r>
        <w:rPr>
          <w:rFonts w:hint="eastAsia" w:ascii="仿宋_GB2312" w:hAnsi="仿宋" w:eastAsia="仿宋_GB2312" w:cs="仿宋"/>
          <w:color w:val="auto"/>
          <w:sz w:val="32"/>
          <w:szCs w:val="32"/>
        </w:rPr>
        <w:t>机制</w:t>
      </w:r>
      <w:r>
        <w:rPr>
          <w:rFonts w:hint="eastAsia" w:ascii="仿宋_GB2312" w:hAnsi="仿宋" w:eastAsia="仿宋_GB2312" w:cs="仿宋"/>
          <w:color w:val="auto"/>
          <w:sz w:val="32"/>
          <w:szCs w:val="32"/>
          <w:lang w:eastAsia="zh-CN"/>
        </w:rPr>
        <w:t>，探索</w:t>
      </w:r>
      <w:r>
        <w:rPr>
          <w:rFonts w:hint="eastAsia" w:ascii="仿宋_GB2312" w:hAnsi="仿宋" w:eastAsia="仿宋_GB2312" w:cs="仿宋"/>
          <w:color w:val="auto"/>
          <w:sz w:val="32"/>
          <w:szCs w:val="32"/>
        </w:rPr>
        <w:t>建立药械注册核查、</w:t>
      </w:r>
      <w:r>
        <w:rPr>
          <w:rFonts w:hint="eastAsia" w:ascii="仿宋_GB2312" w:hAnsi="仿宋" w:eastAsia="仿宋_GB2312" w:cs="仿宋"/>
          <w:color w:val="auto"/>
          <w:sz w:val="32"/>
          <w:szCs w:val="32"/>
          <w:lang w:eastAsia="zh-CN"/>
        </w:rPr>
        <w:t>监督</w:t>
      </w:r>
      <w:r>
        <w:rPr>
          <w:rFonts w:hint="eastAsia" w:ascii="仿宋_GB2312" w:hAnsi="仿宋" w:eastAsia="仿宋_GB2312" w:cs="仿宋"/>
          <w:color w:val="auto"/>
          <w:sz w:val="32"/>
          <w:szCs w:val="32"/>
        </w:rPr>
        <w:t>检查</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许可检查结果互认机制</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对同时生产第一类医疗器械的第二类、第三类医疗器械生产企业，</w:t>
      </w:r>
      <w:r>
        <w:rPr>
          <w:rFonts w:hint="eastAsia" w:ascii="仿宋_GB2312" w:hAnsi="仿宋" w:eastAsia="仿宋_GB2312" w:cs="仿宋"/>
          <w:color w:val="auto"/>
          <w:sz w:val="32"/>
          <w:szCs w:val="32"/>
          <w:lang w:eastAsia="zh-CN"/>
        </w:rPr>
        <w:t>开展联合检查或合并检查。</w:t>
      </w:r>
    </w:p>
    <w:p>
      <w:pPr>
        <w:pStyle w:val="4"/>
        <w:spacing w:after="0"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bCs/>
          <w:color w:val="auto"/>
          <w:sz w:val="32"/>
          <w:szCs w:val="32"/>
        </w:rPr>
        <w:t>15.</w:t>
      </w:r>
      <w:r>
        <w:rPr>
          <w:rFonts w:hint="eastAsia" w:ascii="仿宋_GB2312" w:hAnsi="仿宋" w:eastAsia="仿宋_GB2312" w:cs="仿宋"/>
          <w:bCs/>
          <w:color w:val="auto"/>
          <w:sz w:val="32"/>
          <w:szCs w:val="32"/>
          <w:lang w:val="en-US" w:eastAsia="zh-CN"/>
        </w:rPr>
        <w:t>高效开展</w:t>
      </w:r>
      <w:r>
        <w:rPr>
          <w:rFonts w:hint="eastAsia" w:ascii="仿宋_GB2312" w:hAnsi="仿宋" w:eastAsia="仿宋_GB2312" w:cs="仿宋"/>
          <w:bCs/>
          <w:color w:val="auto"/>
          <w:sz w:val="32"/>
          <w:szCs w:val="32"/>
        </w:rPr>
        <w:t>审评审批</w:t>
      </w:r>
      <w:bookmarkStart w:id="0" w:name="_GoBack"/>
      <w:bookmarkEnd w:id="0"/>
      <w:r>
        <w:rPr>
          <w:rFonts w:hint="eastAsia" w:ascii="仿宋_GB2312" w:hAnsi="仿宋" w:eastAsia="仿宋_GB2312" w:cs="仿宋"/>
          <w:bCs/>
          <w:color w:val="auto"/>
          <w:sz w:val="32"/>
          <w:szCs w:val="32"/>
        </w:rPr>
        <w:t>。按照“省管、市用、市保障”的原则，继续在条件成熟的地区设立省药品审评查验分中心。支持有条件的产业集聚区建设</w:t>
      </w:r>
      <w:r>
        <w:rPr>
          <w:rFonts w:hint="eastAsia" w:ascii="仿宋_GB2312" w:hAnsi="仿宋" w:eastAsia="仿宋_GB2312" w:cs="仿宋"/>
          <w:bCs/>
          <w:color w:val="auto"/>
          <w:sz w:val="32"/>
          <w:szCs w:val="32"/>
          <w:lang w:eastAsia="zh-CN"/>
        </w:rPr>
        <w:t>药械</w:t>
      </w:r>
      <w:r>
        <w:rPr>
          <w:rFonts w:hint="eastAsia" w:ascii="仿宋_GB2312" w:hAnsi="仿宋" w:eastAsia="仿宋_GB2312" w:cs="仿宋"/>
          <w:bCs/>
          <w:color w:val="auto"/>
          <w:sz w:val="32"/>
          <w:szCs w:val="32"/>
        </w:rPr>
        <w:t>注册指导服务站，为属地企业提供政策解读、注册指导、技术帮扶等柔性服务。</w:t>
      </w:r>
      <w:r>
        <w:rPr>
          <w:rFonts w:hint="eastAsia" w:ascii="仿宋_GB2312" w:eastAsia="仿宋_GB2312"/>
          <w:color w:val="auto"/>
          <w:sz w:val="32"/>
          <w:szCs w:val="32"/>
        </w:rPr>
        <w:t>优化第二类医疗器械产品注册，</w:t>
      </w:r>
      <w:r>
        <w:rPr>
          <w:rFonts w:hint="eastAsia" w:ascii="仿宋_GB2312" w:hAnsi="CESI仿宋-GB2312" w:eastAsia="仿宋_GB2312" w:cs="CESI仿宋-GB2312"/>
          <w:color w:val="auto"/>
          <w:sz w:val="32"/>
          <w:szCs w:val="32"/>
          <w:lang w:val="en"/>
        </w:rPr>
        <w:t>推行</w:t>
      </w:r>
      <w:r>
        <w:rPr>
          <w:rFonts w:hint="eastAsia" w:ascii="仿宋_GB2312" w:hAnsi="CESI仿宋-GB2312" w:eastAsia="仿宋_GB2312" w:cs="CESI仿宋-GB2312"/>
          <w:color w:val="auto"/>
          <w:sz w:val="32"/>
          <w:szCs w:val="32"/>
        </w:rPr>
        <w:t>注册检验、技术审评、注册核查前置服务，</w:t>
      </w:r>
      <w:r>
        <w:rPr>
          <w:rFonts w:hint="eastAsia" w:ascii="仿宋_GB2312" w:hAnsi="仿宋" w:eastAsia="仿宋_GB2312" w:cs="仿宋"/>
          <w:color w:val="auto"/>
          <w:sz w:val="32"/>
          <w:szCs w:val="32"/>
        </w:rPr>
        <w:t>将</w:t>
      </w:r>
      <w:r>
        <w:rPr>
          <w:rFonts w:hint="eastAsia" w:ascii="仿宋_GB2312" w:eastAsia="仿宋_GB2312"/>
          <w:color w:val="auto"/>
          <w:sz w:val="32"/>
          <w:szCs w:val="32"/>
        </w:rPr>
        <w:t>第</w:t>
      </w:r>
      <w:r>
        <w:rPr>
          <w:rFonts w:hint="eastAsia" w:ascii="仿宋_GB2312" w:hAnsi="仿宋" w:eastAsia="仿宋_GB2312" w:cs="仿宋"/>
          <w:color w:val="auto"/>
          <w:sz w:val="32"/>
          <w:szCs w:val="32"/>
        </w:rPr>
        <w:t>二类创新医疗器械审评时限由 60 个工作日缩短为 30 个工作日，补正后的技术审评时限由60个工作日缩短为15个工作日，审批时限由 20 个工作日缩短为5个工作日。</w:t>
      </w:r>
    </w:p>
    <w:p>
      <w:pPr>
        <w:pStyle w:val="4"/>
        <w:spacing w:after="0" w:line="560" w:lineRule="exact"/>
        <w:ind w:firstLine="640" w:firstLineChars="200"/>
        <w:jc w:val="both"/>
        <w:rPr>
          <w:rFonts w:hint="eastAsia" w:ascii="仿宋_GB2312" w:hAnsi="仿宋" w:eastAsia="仿宋_GB2312" w:cs="仿宋"/>
          <w:bCs/>
          <w:color w:val="auto"/>
          <w:kern w:val="0"/>
          <w:sz w:val="32"/>
          <w:szCs w:val="32"/>
        </w:rPr>
      </w:pPr>
      <w:r>
        <w:rPr>
          <w:rFonts w:hint="eastAsia" w:ascii="仿宋_GB2312" w:hAnsi="仿宋" w:eastAsia="仿宋_GB2312" w:cs="仿宋"/>
          <w:bCs/>
          <w:color w:val="auto"/>
          <w:sz w:val="32"/>
          <w:szCs w:val="32"/>
        </w:rPr>
        <w:t>16.提高药械检验检测效率。</w:t>
      </w:r>
      <w:r>
        <w:rPr>
          <w:rFonts w:hint="eastAsia" w:ascii="仿宋_GB2312" w:hAnsi="仿宋" w:eastAsia="仿宋_GB2312" w:cs="仿宋"/>
          <w:color w:val="auto"/>
          <w:sz w:val="32"/>
          <w:szCs w:val="32"/>
        </w:rPr>
        <w:t>聚焦创新药械、临床急需短缺药械等重点品种，开通优先</w:t>
      </w:r>
      <w:r>
        <w:rPr>
          <w:rFonts w:hint="eastAsia" w:ascii="仿宋_GB2312" w:hAnsi="仿宋_GB2312" w:eastAsia="仿宋_GB2312" w:cs="仿宋_GB2312"/>
          <w:color w:val="auto"/>
          <w:sz w:val="32"/>
          <w:szCs w:val="32"/>
        </w:rPr>
        <w:t>检验</w:t>
      </w:r>
      <w:r>
        <w:rPr>
          <w:rFonts w:hint="eastAsia" w:ascii="仿宋_GB2312" w:hAnsi="仿宋" w:eastAsia="仿宋_GB2312" w:cs="仿宋"/>
          <w:color w:val="auto"/>
          <w:sz w:val="32"/>
          <w:szCs w:val="32"/>
        </w:rPr>
        <w:t>绿色通道，建立医疗器械“补检”样品快速通道，将注册类药品检验时限由60个工作日缩短为30个工作日，复核验证时限由90个工作日缩短为45个工作日，</w:t>
      </w:r>
      <w:r>
        <w:rPr>
          <w:rFonts w:hint="eastAsia" w:ascii="仿宋_GB2312" w:hAnsi="仿宋" w:eastAsia="仿宋_GB2312" w:cs="仿宋"/>
          <w:color w:val="auto"/>
          <w:sz w:val="32"/>
          <w:szCs w:val="32"/>
          <w:lang w:eastAsia="zh-CN"/>
        </w:rPr>
        <w:t>无源</w:t>
      </w:r>
      <w:r>
        <w:rPr>
          <w:rFonts w:hint="eastAsia" w:ascii="仿宋_GB2312" w:hAnsi="仿宋" w:eastAsia="仿宋_GB2312" w:cs="仿宋"/>
          <w:color w:val="auto"/>
          <w:sz w:val="32"/>
          <w:szCs w:val="32"/>
        </w:rPr>
        <w:t>医疗器械检验时限由60个工作日缩短为20个工作日。支持医疗器械检验资源共享，同一产业园区内隶属</w:t>
      </w:r>
      <w:r>
        <w:rPr>
          <w:rFonts w:hint="eastAsia" w:ascii="仿宋_GB2312" w:hAnsi="仿宋" w:eastAsia="仿宋_GB2312" w:cs="仿宋"/>
          <w:color w:val="auto"/>
          <w:sz w:val="32"/>
          <w:szCs w:val="32"/>
          <w:lang w:eastAsia="zh-CN"/>
        </w:rPr>
        <w:t>同一集团公司或同一法人</w:t>
      </w:r>
      <w:r>
        <w:rPr>
          <w:rFonts w:hint="eastAsia" w:ascii="仿宋_GB2312" w:hAnsi="仿宋" w:eastAsia="仿宋_GB2312" w:cs="仿宋"/>
          <w:color w:val="auto"/>
          <w:sz w:val="32"/>
          <w:szCs w:val="32"/>
        </w:rPr>
        <w:t>的医疗器械生产企业，在保证检验数据真实完整的前提下，可以共享检验资源。</w:t>
      </w:r>
    </w:p>
    <w:p>
      <w:pPr>
        <w:spacing w:line="560" w:lineRule="exact"/>
        <w:ind w:firstLine="640" w:firstLineChars="200"/>
        <w:rPr>
          <w:rFonts w:hint="eastAsia" w:ascii="楷体_GB2312" w:eastAsia="楷体_GB2312"/>
          <w:color w:val="auto"/>
          <w:sz w:val="32"/>
          <w:szCs w:val="32"/>
          <w:lang w:eastAsia="zh-CN"/>
        </w:rPr>
      </w:pPr>
      <w:r>
        <w:rPr>
          <w:rFonts w:hint="eastAsia" w:ascii="楷体_GB2312" w:eastAsia="楷体_GB2312"/>
          <w:color w:val="auto"/>
          <w:sz w:val="32"/>
          <w:szCs w:val="32"/>
        </w:rPr>
        <w:t>（三）坚持协同治理，全</w:t>
      </w:r>
      <w:r>
        <w:rPr>
          <w:rFonts w:hint="eastAsia" w:ascii="楷体_GB2312" w:eastAsia="楷体_GB2312"/>
          <w:color w:val="auto"/>
          <w:sz w:val="32"/>
          <w:szCs w:val="32"/>
          <w:lang w:eastAsia="zh-CN"/>
        </w:rPr>
        <w:t>领域完善</w:t>
      </w:r>
      <w:r>
        <w:rPr>
          <w:rFonts w:hint="eastAsia" w:ascii="楷体_GB2312" w:eastAsia="楷体_GB2312"/>
          <w:color w:val="auto"/>
          <w:sz w:val="32"/>
          <w:szCs w:val="32"/>
        </w:rPr>
        <w:t>药品安全责任</w:t>
      </w:r>
      <w:r>
        <w:rPr>
          <w:rFonts w:hint="eastAsia" w:ascii="楷体_GB2312" w:eastAsia="楷体_GB2312"/>
          <w:color w:val="auto"/>
          <w:sz w:val="32"/>
          <w:szCs w:val="32"/>
          <w:lang w:eastAsia="zh-CN"/>
        </w:rPr>
        <w:t>体系</w:t>
      </w:r>
    </w:p>
    <w:p>
      <w:pPr>
        <w:spacing w:line="560" w:lineRule="exact"/>
        <w:ind w:firstLine="640" w:firstLineChars="200"/>
        <w:rPr>
          <w:rFonts w:hint="eastAsia" w:ascii="仿宋_GB2312" w:hAnsi="CESI仿宋-GB2312" w:eastAsia="仿宋_GB2312" w:cs="CESI仿宋-GB2312"/>
          <w:color w:val="auto"/>
          <w:sz w:val="32"/>
          <w:szCs w:val="32"/>
        </w:rPr>
      </w:pPr>
      <w:r>
        <w:rPr>
          <w:rFonts w:hint="eastAsia" w:ascii="仿宋_GB2312" w:hAnsi="方正楷体_GBK" w:eastAsia="仿宋_GB2312" w:cs="方正楷体_GBK"/>
          <w:bCs/>
          <w:color w:val="auto"/>
          <w:sz w:val="32"/>
          <w:szCs w:val="32"/>
          <w:lang w:val="en"/>
        </w:rPr>
        <w:t>1</w:t>
      </w:r>
      <w:r>
        <w:rPr>
          <w:rFonts w:hint="eastAsia" w:ascii="仿宋_GB2312" w:hAnsi="方正楷体_GBK" w:eastAsia="仿宋_GB2312" w:cs="方正楷体_GBK"/>
          <w:bCs/>
          <w:color w:val="auto"/>
          <w:sz w:val="32"/>
          <w:szCs w:val="32"/>
        </w:rPr>
        <w:t>7</w:t>
      </w:r>
      <w:r>
        <w:rPr>
          <w:rFonts w:hint="eastAsia" w:ascii="仿宋_GB2312" w:hAnsi="方正楷体_GBK" w:eastAsia="仿宋_GB2312" w:cs="方正楷体_GBK"/>
          <w:bCs/>
          <w:color w:val="auto"/>
          <w:sz w:val="32"/>
          <w:szCs w:val="32"/>
          <w:lang w:val="en"/>
        </w:rPr>
        <w:t>.督促落实企业主体责任</w:t>
      </w:r>
      <w:r>
        <w:rPr>
          <w:rFonts w:hint="eastAsia" w:ascii="仿宋_GB2312" w:hAnsi="CESI仿宋-GB2312" w:eastAsia="仿宋_GB2312" w:cs="CESI仿宋-GB2312"/>
          <w:color w:val="auto"/>
          <w:sz w:val="32"/>
          <w:szCs w:val="32"/>
          <w:lang w:val="en"/>
        </w:rPr>
        <w:t>。</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面向企业的质量安全警示教育，</w:t>
      </w:r>
      <w:r>
        <w:rPr>
          <w:rFonts w:hint="eastAsia" w:ascii="仿宋_GB2312" w:hAnsi="CESI仿宋-GB2312" w:eastAsia="仿宋_GB2312" w:cs="CESI仿宋-GB2312"/>
          <w:color w:val="auto"/>
          <w:sz w:val="32"/>
          <w:szCs w:val="32"/>
          <w:lang w:val="en"/>
        </w:rPr>
        <w:t>建立典型案例资源库，定期开展“以案释法”，及时对同类企业进行提醒预警。</w:t>
      </w:r>
      <w:r>
        <w:rPr>
          <w:rFonts w:hint="eastAsia" w:ascii="仿宋_GB2312" w:hAnsi="CESI仿宋-GB2312" w:eastAsia="仿宋_GB2312" w:cs="CESI仿宋-GB2312"/>
          <w:color w:val="auto"/>
          <w:sz w:val="32"/>
          <w:szCs w:val="32"/>
          <w:lang w:val="en" w:eastAsia="zh-CN"/>
        </w:rPr>
        <w:t>深入</w:t>
      </w:r>
      <w:r>
        <w:rPr>
          <w:rFonts w:hint="eastAsia" w:ascii="仿宋_GB2312" w:hAnsi="CESI仿宋-GB2312" w:eastAsia="仿宋_GB2312" w:cs="CESI仿宋-GB2312"/>
          <w:color w:val="auto"/>
          <w:sz w:val="32"/>
          <w:szCs w:val="32"/>
          <w:lang w:val="en"/>
        </w:rPr>
        <w:t>开展企业</w:t>
      </w:r>
      <w:r>
        <w:rPr>
          <w:rFonts w:hint="eastAsia" w:ascii="仿宋_GB2312" w:hAnsi="CESI仿宋-GB2312" w:eastAsia="仿宋_GB2312" w:cs="CESI仿宋-GB2312"/>
          <w:color w:val="auto"/>
          <w:sz w:val="32"/>
          <w:szCs w:val="32"/>
          <w:lang w:val="en" w:eastAsia="zh-CN"/>
        </w:rPr>
        <w:t>关键岗位</w:t>
      </w:r>
      <w:r>
        <w:rPr>
          <w:rFonts w:hint="eastAsia" w:ascii="仿宋_GB2312" w:hAnsi="CESI仿宋-GB2312" w:eastAsia="仿宋_GB2312" w:cs="CESI仿宋-GB2312"/>
          <w:color w:val="auto"/>
          <w:sz w:val="32"/>
          <w:szCs w:val="32"/>
          <w:lang w:val="en"/>
        </w:rPr>
        <w:t>人员培训，督促企业</w:t>
      </w:r>
      <w:r>
        <w:rPr>
          <w:rFonts w:hint="eastAsia" w:ascii="仿宋_GB2312" w:hAnsi="CESI仿宋-GB2312" w:eastAsia="仿宋_GB2312" w:cs="CESI仿宋-GB2312"/>
          <w:color w:val="auto"/>
          <w:sz w:val="32"/>
          <w:szCs w:val="32"/>
          <w:lang w:val="en" w:eastAsia="zh-CN"/>
        </w:rPr>
        <w:t>全面完善质量管理体系，依法合规生产经营</w:t>
      </w:r>
      <w:r>
        <w:rPr>
          <w:rFonts w:hint="eastAsia" w:ascii="仿宋_GB2312" w:hAnsi="CESI仿宋-GB2312" w:eastAsia="仿宋_GB2312" w:cs="CESI仿宋-GB2312"/>
          <w:color w:val="auto"/>
          <w:sz w:val="32"/>
          <w:szCs w:val="32"/>
          <w:lang w:val="en"/>
        </w:rPr>
        <w:t>。</w:t>
      </w:r>
      <w:r>
        <w:rPr>
          <w:rFonts w:hint="eastAsia" w:ascii="仿宋_GB2312" w:hAnsi="CESI仿宋-GB2312" w:eastAsia="仿宋_GB2312" w:cs="CESI仿宋-GB2312"/>
          <w:color w:val="auto"/>
          <w:sz w:val="32"/>
          <w:szCs w:val="32"/>
        </w:rPr>
        <w:t xml:space="preserve">  </w:t>
      </w:r>
    </w:p>
    <w:p>
      <w:pPr>
        <w:spacing w:line="560" w:lineRule="exact"/>
        <w:ind w:firstLine="640" w:firstLineChars="200"/>
        <w:rPr>
          <w:rFonts w:hint="eastAsia" w:ascii="仿宋_GB2312" w:hAnsi="CESI仿宋-GB2312" w:eastAsia="仿宋_GB2312" w:cs="CESI仿宋-GB2312"/>
          <w:color w:val="auto"/>
          <w:sz w:val="32"/>
          <w:szCs w:val="32"/>
        </w:rPr>
      </w:pPr>
      <w:r>
        <w:rPr>
          <w:rFonts w:hint="eastAsia" w:ascii="仿宋_GB2312" w:hAnsi="方正楷体_GBK" w:eastAsia="仿宋_GB2312" w:cs="方正楷体_GBK"/>
          <w:bCs/>
          <w:color w:val="auto"/>
          <w:sz w:val="32"/>
          <w:szCs w:val="32"/>
        </w:rPr>
        <w:t>18</w:t>
      </w:r>
      <w:r>
        <w:rPr>
          <w:rFonts w:hint="eastAsia" w:ascii="仿宋_GB2312" w:hAnsi="方正楷体_GBK" w:eastAsia="仿宋_GB2312" w:cs="方正楷体_GBK"/>
          <w:bCs/>
          <w:color w:val="auto"/>
          <w:sz w:val="32"/>
          <w:szCs w:val="32"/>
          <w:lang w:val="en"/>
        </w:rPr>
        <w:t>.推动落实属地管理责任</w:t>
      </w:r>
      <w:r>
        <w:rPr>
          <w:rFonts w:hint="eastAsia" w:ascii="仿宋_GB2312" w:hAnsi="CESI仿宋-GB2312" w:eastAsia="仿宋_GB2312" w:cs="CESI仿宋-GB2312"/>
          <w:color w:val="auto"/>
          <w:sz w:val="32"/>
          <w:szCs w:val="32"/>
          <w:lang w:val="en"/>
        </w:rPr>
        <w:t>。强化省药监局与市县</w:t>
      </w:r>
      <w:r>
        <w:rPr>
          <w:rFonts w:hint="eastAsia" w:ascii="仿宋_GB2312" w:hAnsi="CESI仿宋-GB2312" w:eastAsia="仿宋_GB2312" w:cs="CESI仿宋-GB2312"/>
          <w:color w:val="auto"/>
          <w:sz w:val="32"/>
          <w:szCs w:val="32"/>
          <w:lang w:val="en" w:eastAsia="zh-CN"/>
        </w:rPr>
        <w:t>党委、</w:t>
      </w:r>
      <w:r>
        <w:rPr>
          <w:rFonts w:hint="eastAsia" w:ascii="仿宋_GB2312" w:hAnsi="CESI仿宋-GB2312" w:eastAsia="仿宋_GB2312" w:cs="CESI仿宋-GB2312"/>
          <w:color w:val="auto"/>
          <w:sz w:val="32"/>
          <w:szCs w:val="32"/>
          <w:lang w:val="en"/>
        </w:rPr>
        <w:t>政府的协同联动，建立完善</w:t>
      </w:r>
      <w:r>
        <w:rPr>
          <w:rFonts w:hint="eastAsia" w:ascii="仿宋_GB2312" w:hAnsi="CESI仿宋-GB2312" w:eastAsia="仿宋_GB2312" w:cs="CESI仿宋-GB2312"/>
          <w:color w:val="auto"/>
          <w:sz w:val="32"/>
          <w:szCs w:val="32"/>
          <w:lang w:val="en" w:eastAsia="zh-CN"/>
        </w:rPr>
        <w:t>药品安全</w:t>
      </w:r>
      <w:r>
        <w:rPr>
          <w:rFonts w:hint="eastAsia" w:ascii="仿宋_GB2312" w:hAnsi="CESI仿宋-GB2312" w:eastAsia="仿宋_GB2312" w:cs="CESI仿宋-GB2312"/>
          <w:color w:val="auto"/>
          <w:sz w:val="32"/>
          <w:szCs w:val="32"/>
        </w:rPr>
        <w:t>责任约谈</w:t>
      </w:r>
      <w:r>
        <w:rPr>
          <w:rFonts w:hint="eastAsia" w:ascii="仿宋_GB2312" w:hAnsi="CESI仿宋-GB2312" w:eastAsia="仿宋_GB2312" w:cs="CESI仿宋-GB2312"/>
          <w:color w:val="auto"/>
          <w:sz w:val="32"/>
          <w:szCs w:val="32"/>
          <w:lang w:eastAsia="zh-CN"/>
        </w:rPr>
        <w:t>、</w:t>
      </w:r>
      <w:r>
        <w:rPr>
          <w:rFonts w:hint="eastAsia" w:ascii="仿宋_GB2312" w:hAnsi="CESI仿宋-GB2312" w:eastAsia="仿宋_GB2312" w:cs="CESI仿宋-GB2312"/>
          <w:color w:val="auto"/>
          <w:sz w:val="32"/>
          <w:szCs w:val="32"/>
        </w:rPr>
        <w:t>问题通报</w:t>
      </w:r>
      <w:r>
        <w:rPr>
          <w:rFonts w:hint="eastAsia" w:ascii="仿宋_GB2312" w:hAnsi="CESI仿宋-GB2312" w:eastAsia="仿宋_GB2312" w:cs="CESI仿宋-GB2312"/>
          <w:color w:val="auto"/>
          <w:sz w:val="32"/>
          <w:szCs w:val="32"/>
          <w:lang w:eastAsia="zh-CN"/>
        </w:rPr>
        <w:t>等</w:t>
      </w:r>
      <w:r>
        <w:rPr>
          <w:rFonts w:hint="eastAsia" w:ascii="仿宋_GB2312" w:hAnsi="CESI仿宋-GB2312" w:eastAsia="仿宋_GB2312" w:cs="CESI仿宋-GB2312"/>
          <w:color w:val="auto"/>
          <w:sz w:val="32"/>
          <w:szCs w:val="32"/>
        </w:rPr>
        <w:t>制度，</w:t>
      </w:r>
      <w:r>
        <w:rPr>
          <w:rFonts w:hint="eastAsia" w:ascii="仿宋_GB2312" w:hAnsi="CESI仿宋-GB2312" w:eastAsia="仿宋_GB2312" w:cs="CESI仿宋-GB2312"/>
          <w:color w:val="auto"/>
          <w:sz w:val="32"/>
          <w:szCs w:val="32"/>
          <w:lang w:val="en"/>
        </w:rPr>
        <w:t>推动</w:t>
      </w:r>
      <w:r>
        <w:rPr>
          <w:rFonts w:hint="eastAsia" w:ascii="仿宋_GB2312" w:hAnsi="CESI仿宋-GB2312" w:eastAsia="仿宋_GB2312" w:cs="CESI仿宋-GB2312"/>
          <w:color w:val="auto"/>
          <w:sz w:val="32"/>
          <w:szCs w:val="32"/>
          <w:lang w:val="en" w:eastAsia="zh-CN"/>
        </w:rPr>
        <w:t>各地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药品安全纳入当地经济社会发展规划，支持药品监管部门依法履职尽责，</w:t>
      </w:r>
      <w:r>
        <w:rPr>
          <w:rFonts w:hint="eastAsia" w:ascii="仿宋_GB2312" w:hAnsi="仿宋_GB2312" w:eastAsia="仿宋_GB2312" w:cs="仿宋_GB2312"/>
          <w:color w:val="auto"/>
          <w:sz w:val="32"/>
          <w:szCs w:val="32"/>
          <w:lang w:eastAsia="zh-CN"/>
        </w:rPr>
        <w:t>形成各职能部门协同治理的工作格局</w:t>
      </w:r>
      <w:r>
        <w:rPr>
          <w:rFonts w:hint="eastAsia" w:ascii="仿宋_GB2312" w:hAnsi="CESI仿宋-GB2312" w:eastAsia="仿宋_GB2312" w:cs="CESI仿宋-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方正楷体_GBK" w:eastAsia="仿宋_GB2312" w:cs="方正楷体_GBK"/>
          <w:bCs/>
          <w:color w:val="auto"/>
          <w:sz w:val="32"/>
          <w:szCs w:val="32"/>
        </w:rPr>
        <w:t>19</w:t>
      </w:r>
      <w:r>
        <w:rPr>
          <w:rFonts w:hint="eastAsia" w:ascii="仿宋_GB2312" w:hAnsi="方正楷体_GBK" w:eastAsia="仿宋_GB2312" w:cs="方正楷体_GBK"/>
          <w:bCs/>
          <w:color w:val="auto"/>
          <w:sz w:val="32"/>
          <w:szCs w:val="32"/>
          <w:lang w:val="en"/>
        </w:rPr>
        <w:t>.全面落实部门监管责任</w:t>
      </w:r>
      <w:r>
        <w:rPr>
          <w:rFonts w:hint="eastAsia" w:ascii="仿宋_GB2312" w:hAnsi="CESI仿宋-GB2312" w:eastAsia="仿宋_GB2312" w:cs="CESI仿宋-GB2312"/>
          <w:color w:val="auto"/>
          <w:sz w:val="32"/>
          <w:szCs w:val="32"/>
          <w:lang w:val="en"/>
        </w:rPr>
        <w:t>。</w:t>
      </w:r>
      <w:r>
        <w:rPr>
          <w:rFonts w:hint="eastAsia" w:ascii="仿宋_GB2312" w:hAnsi="CESI仿宋-GB2312" w:eastAsia="仿宋_GB2312" w:cs="CESI仿宋-GB2312"/>
          <w:bCs/>
          <w:color w:val="auto"/>
          <w:sz w:val="32"/>
          <w:szCs w:val="32"/>
        </w:rPr>
        <w:t>统筹推进综合监管和协同检查，推动建立规范统一的药品检查体系。</w:t>
      </w:r>
      <w:r>
        <w:rPr>
          <w:rFonts w:hint="eastAsia" w:ascii="仿宋_GB2312" w:hAnsi="CESI仿宋-GB2312" w:eastAsia="仿宋_GB2312" w:cs="CESI仿宋-GB2312"/>
          <w:color w:val="auto"/>
          <w:sz w:val="32"/>
          <w:szCs w:val="32"/>
          <w:lang w:val="en"/>
        </w:rPr>
        <w:t>建立健全多方参与、协同高效的风险会商机制，</w:t>
      </w:r>
      <w:r>
        <w:rPr>
          <w:rFonts w:hint="eastAsia" w:ascii="仿宋_GB2312" w:hAnsi="仿宋_GB2312" w:eastAsia="仿宋_GB2312" w:cs="仿宋_GB2312"/>
          <w:color w:val="auto"/>
          <w:sz w:val="32"/>
          <w:szCs w:val="32"/>
        </w:rPr>
        <w:t>常态长效推进“两品一械”安全风险会商和形势分析，深化重点领域、重点环节、重点品种监管，</w:t>
      </w:r>
      <w:r>
        <w:rPr>
          <w:rFonts w:hint="eastAsia" w:ascii="仿宋_GB2312" w:hAnsi="CESI仿宋-GB2312" w:eastAsia="仿宋_GB2312" w:cs="CESI仿宋-GB2312"/>
          <w:color w:val="auto"/>
          <w:sz w:val="32"/>
          <w:szCs w:val="32"/>
          <w:lang w:val="en"/>
        </w:rPr>
        <w:t>全链条打击违法违规行为</w:t>
      </w:r>
      <w:r>
        <w:rPr>
          <w:rFonts w:hint="eastAsia" w:ascii="仿宋_GB2312" w:hAnsi="CESI仿宋-GB2312" w:eastAsia="仿宋_GB2312" w:cs="CESI仿宋-GB2312"/>
          <w:color w:val="auto"/>
          <w:sz w:val="32"/>
          <w:szCs w:val="32"/>
          <w:lang w:val="en" w:eastAsia="zh-CN"/>
        </w:rPr>
        <w:t>，全面筑牢药品安全底线</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eastAsia="仿宋_GB2312"/>
          <w:bCs/>
          <w:color w:val="auto"/>
          <w:sz w:val="32"/>
          <w:szCs w:val="32"/>
        </w:rPr>
      </w:pPr>
      <w:r>
        <w:rPr>
          <w:rFonts w:hint="eastAsia" w:ascii="仿宋_GB2312" w:hAnsi="CESI仿宋-GB2312" w:eastAsia="仿宋_GB2312" w:cs="CESI仿宋-GB2312"/>
          <w:color w:val="auto"/>
          <w:sz w:val="32"/>
          <w:szCs w:val="32"/>
        </w:rPr>
        <w:t>2</w:t>
      </w:r>
      <w:r>
        <w:rPr>
          <w:rFonts w:hint="eastAsia" w:ascii="仿宋_GB2312" w:eastAsia="仿宋_GB2312"/>
          <w:bCs/>
          <w:color w:val="auto"/>
          <w:sz w:val="32"/>
          <w:szCs w:val="32"/>
        </w:rPr>
        <w:t>0.完善药品监管协同机制。探索搭建黄河流域、中部六省药品监管区域协作联席会议平台，推动跨省药品监管资源共享、信息互通、协调联动。建立健全药品监管与公安、卫生健康、医保等部门形势会商、联合检查、信息共享、业务协同等工作机制，</w:t>
      </w:r>
      <w:r>
        <w:rPr>
          <w:rFonts w:hint="eastAsia" w:ascii="仿宋_GB2312" w:eastAsia="仿宋_GB2312"/>
          <w:bCs/>
          <w:color w:val="auto"/>
          <w:sz w:val="32"/>
          <w:szCs w:val="32"/>
          <w:lang w:eastAsia="zh-CN"/>
        </w:rPr>
        <w:t>促进</w:t>
      </w:r>
      <w:r>
        <w:rPr>
          <w:rFonts w:hint="eastAsia" w:ascii="仿宋_GB2312" w:eastAsia="仿宋_GB2312"/>
          <w:bCs/>
          <w:color w:val="auto"/>
          <w:sz w:val="32"/>
          <w:szCs w:val="32"/>
        </w:rPr>
        <w:t>“三医”协同发展和治理。优化机关处室、监管分局、市县市场监管局之间的指导协作机制，探索建立监管分局任务式指挥管理模式，强化药品零售连锁企业、“黑窝点”查处、异地设库、网络销售等重点领域和关键环节的监管协同</w:t>
      </w:r>
      <w:r>
        <w:rPr>
          <w:rFonts w:hint="eastAsia" w:ascii="仿宋_GB2312" w:eastAsia="仿宋_GB2312"/>
          <w:bCs/>
          <w:color w:val="auto"/>
          <w:sz w:val="32"/>
          <w:szCs w:val="32"/>
          <w:lang w:eastAsia="zh-CN"/>
        </w:rPr>
        <w:t>。</w:t>
      </w:r>
    </w:p>
    <w:p>
      <w:pPr>
        <w:spacing w:line="56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（四）聚焦培基固本，全</w:t>
      </w:r>
      <w:r>
        <w:rPr>
          <w:rFonts w:hint="eastAsia" w:ascii="楷体_GB2312" w:eastAsia="楷体_GB2312"/>
          <w:color w:val="auto"/>
          <w:sz w:val="32"/>
          <w:szCs w:val="32"/>
          <w:lang w:eastAsia="zh-CN"/>
        </w:rPr>
        <w:t>方位</w:t>
      </w:r>
      <w:r>
        <w:rPr>
          <w:rFonts w:hint="eastAsia" w:ascii="楷体_GB2312" w:eastAsia="楷体_GB2312"/>
          <w:color w:val="auto"/>
          <w:sz w:val="32"/>
          <w:szCs w:val="32"/>
        </w:rPr>
        <w:t>加强</w:t>
      </w:r>
      <w:r>
        <w:rPr>
          <w:rFonts w:hint="eastAsia" w:ascii="楷体_GB2312" w:eastAsia="楷体_GB2312"/>
          <w:color w:val="auto"/>
          <w:sz w:val="32"/>
          <w:szCs w:val="32"/>
          <w:lang w:eastAsia="zh-CN"/>
        </w:rPr>
        <w:t>监管</w:t>
      </w:r>
      <w:r>
        <w:rPr>
          <w:rFonts w:hint="eastAsia" w:ascii="楷体_GB2312" w:eastAsia="楷体_GB2312"/>
          <w:color w:val="auto"/>
          <w:sz w:val="32"/>
          <w:szCs w:val="32"/>
        </w:rPr>
        <w:t>能力建设</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eastAsia="仿宋_GB2312"/>
          <w:bCs/>
          <w:color w:val="auto"/>
          <w:sz w:val="32"/>
          <w:szCs w:val="32"/>
        </w:rPr>
        <w:t>21.加强专业监管队伍建设。</w:t>
      </w:r>
      <w:r>
        <w:rPr>
          <w:rFonts w:hint="eastAsia" w:ascii="仿宋_GB2312" w:hAnsi="仿宋_GB2312" w:eastAsia="仿宋_GB2312" w:cs="仿宋_GB2312"/>
          <w:color w:val="auto"/>
          <w:sz w:val="32"/>
          <w:szCs w:val="32"/>
          <w:lang w:eastAsia="zh-CN"/>
        </w:rPr>
        <w:t>加快</w:t>
      </w:r>
      <w:r>
        <w:rPr>
          <w:rFonts w:hint="eastAsia" w:ascii="仿宋_GB2312" w:hAnsi="仿宋_GB2312" w:eastAsia="仿宋_GB2312" w:cs="仿宋_GB2312"/>
          <w:color w:val="auto"/>
          <w:sz w:val="32"/>
          <w:szCs w:val="32"/>
        </w:rPr>
        <w:t>建立与产业</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、监管任务相适应的药品检查员队伍</w:t>
      </w:r>
      <w:r>
        <w:rPr>
          <w:rFonts w:hint="eastAsia" w:ascii="仿宋_GB2312" w:hAnsi="仿宋_GB2312" w:eastAsia="仿宋_GB2312" w:cs="仿宋_GB2312"/>
          <w:color w:val="auto"/>
          <w:sz w:val="32"/>
          <w:szCs w:val="32"/>
          <w:lang w:eastAsia="zh-CN"/>
        </w:rPr>
        <w:t>，培优建强</w:t>
      </w:r>
      <w:r>
        <w:rPr>
          <w:rFonts w:hint="eastAsia" w:ascii="仿宋_GB2312" w:hAnsi="仿宋" w:eastAsia="仿宋_GB2312" w:cs="仿宋"/>
          <w:color w:val="auto"/>
          <w:sz w:val="32"/>
          <w:szCs w:val="32"/>
        </w:rPr>
        <w:t>审评审批、检查稽查、检验监测等核心专业人才队伍，</w:t>
      </w:r>
      <w:r>
        <w:rPr>
          <w:rFonts w:hint="eastAsia" w:ascii="仿宋_GB2312" w:hAnsi="CESI仿宋-GB2312" w:eastAsia="仿宋_GB2312" w:cs="CESI仿宋-GB2312"/>
          <w:color w:val="auto"/>
          <w:kern w:val="0"/>
          <w:sz w:val="32"/>
          <w:szCs w:val="32"/>
        </w:rPr>
        <w:t>指导推进市县药品监管人才队伍建设</w:t>
      </w:r>
      <w:r>
        <w:rPr>
          <w:rFonts w:hint="eastAsia" w:ascii="仿宋_GB2312" w:hAnsi="CESI仿宋-GB2312" w:eastAsia="仿宋_GB2312" w:cs="CESI仿宋-GB2312"/>
          <w:color w:val="auto"/>
          <w:kern w:val="0"/>
          <w:sz w:val="32"/>
          <w:szCs w:val="32"/>
          <w:lang w:eastAsia="zh-CN"/>
        </w:rPr>
        <w:t>，</w:t>
      </w:r>
      <w:r>
        <w:rPr>
          <w:rFonts w:hint="eastAsia" w:ascii="仿宋_GB2312" w:hAnsi="CESI仿宋-GB2312" w:eastAsia="仿宋_GB2312" w:cs="CESI仿宋-GB2312"/>
          <w:color w:val="auto"/>
          <w:kern w:val="0"/>
          <w:sz w:val="32"/>
          <w:szCs w:val="32"/>
        </w:rPr>
        <w:t>加强各级监管人员的培训，</w:t>
      </w:r>
      <w:r>
        <w:rPr>
          <w:rFonts w:hint="eastAsia" w:ascii="仿宋_GB2312" w:hAnsi="CESI仿宋-GB2312" w:eastAsia="仿宋_GB2312" w:cs="CESI仿宋-GB2312"/>
          <w:color w:val="auto"/>
          <w:kern w:val="0"/>
          <w:sz w:val="32"/>
          <w:szCs w:val="32"/>
          <w:lang w:eastAsia="zh-CN"/>
        </w:rPr>
        <w:t>整体</w:t>
      </w:r>
      <w:r>
        <w:rPr>
          <w:rFonts w:hint="eastAsia" w:ascii="仿宋_GB2312" w:eastAsia="仿宋_GB2312"/>
          <w:color w:val="auto"/>
          <w:sz w:val="32"/>
          <w:szCs w:val="32"/>
        </w:rPr>
        <w:t>提升监管队伍专业能力。</w:t>
      </w:r>
    </w:p>
    <w:p>
      <w:pPr>
        <w:spacing w:line="560" w:lineRule="exact"/>
        <w:ind w:firstLine="640" w:firstLineChars="200"/>
        <w:rPr>
          <w:rFonts w:hint="eastAsia" w:ascii="仿宋_GB2312" w:hAnsi="CESI仿宋-GB2312" w:eastAsia="仿宋_GB2312" w:cs="CESI仿宋-GB2312"/>
          <w:color w:val="auto"/>
          <w:kern w:val="0"/>
          <w:sz w:val="32"/>
          <w:szCs w:val="32"/>
          <w:lang w:bidi="ar"/>
        </w:rPr>
      </w:pPr>
      <w:r>
        <w:rPr>
          <w:rFonts w:hint="eastAsia" w:ascii="仿宋_GB2312" w:eastAsia="仿宋_GB2312"/>
          <w:bCs/>
          <w:color w:val="auto"/>
          <w:sz w:val="32"/>
          <w:szCs w:val="32"/>
        </w:rPr>
        <w:t>22.严格规范涉企</w:t>
      </w:r>
      <w:r>
        <w:rPr>
          <w:rFonts w:hint="eastAsia" w:ascii="仿宋_GB2312" w:eastAsia="仿宋_GB2312"/>
          <w:bCs/>
          <w:color w:val="auto"/>
          <w:sz w:val="32"/>
          <w:szCs w:val="32"/>
          <w:lang w:eastAsia="zh-CN"/>
        </w:rPr>
        <w:t>检查</w:t>
      </w:r>
      <w:r>
        <w:rPr>
          <w:rFonts w:hint="eastAsia" w:ascii="仿宋_GB2312" w:eastAsia="仿宋_GB2312"/>
          <w:bCs/>
          <w:color w:val="auto"/>
          <w:sz w:val="32"/>
          <w:szCs w:val="32"/>
        </w:rPr>
        <w:t>执法。</w:t>
      </w:r>
      <w:r>
        <w:rPr>
          <w:rFonts w:hint="eastAsia" w:ascii="仿宋_GB2312" w:hAnsi="CESI仿宋-GB2312" w:eastAsia="仿宋_GB2312" w:cs="CESI仿宋-GB2312"/>
          <w:bCs/>
          <w:color w:val="auto"/>
          <w:sz w:val="32"/>
          <w:szCs w:val="32"/>
          <w:lang w:eastAsia="zh-CN"/>
        </w:rPr>
        <w:t>推进</w:t>
      </w:r>
      <w:r>
        <w:rPr>
          <w:rFonts w:hint="eastAsia" w:ascii="仿宋_GB2312" w:hAnsi="CESI仿宋-GB2312" w:eastAsia="仿宋_GB2312" w:cs="CESI仿宋-GB2312"/>
          <w:color w:val="auto"/>
          <w:sz w:val="32"/>
          <w:szCs w:val="32"/>
        </w:rPr>
        <w:t>严格规范公正文明执法</w:t>
      </w:r>
      <w:r>
        <w:rPr>
          <w:rFonts w:hint="eastAsia" w:ascii="仿宋_GB2312" w:hAnsi="CESI仿宋-GB2312" w:eastAsia="仿宋_GB2312" w:cs="CESI仿宋-GB2312"/>
          <w:color w:val="auto"/>
          <w:sz w:val="32"/>
          <w:szCs w:val="32"/>
          <w:lang w:eastAsia="zh-CN"/>
        </w:rPr>
        <w:t>，</w:t>
      </w:r>
      <w:r>
        <w:rPr>
          <w:rFonts w:hint="eastAsia" w:ascii="仿宋_GB2312" w:eastAsia="仿宋_GB2312"/>
          <w:bCs/>
          <w:color w:val="auto"/>
          <w:sz w:val="32"/>
          <w:szCs w:val="32"/>
        </w:rPr>
        <w:t>根据企业和产品风险等级，结合信用风险分类管理，合理确定检查频次，减少重复检查</w:t>
      </w:r>
      <w:r>
        <w:rPr>
          <w:rFonts w:hint="eastAsia" w:ascii="仿宋_GB2312" w:hAnsi="CESI仿宋-GB2312" w:eastAsia="仿宋_GB2312" w:cs="CESI仿宋-GB2312"/>
          <w:bCs/>
          <w:color w:val="auto"/>
          <w:sz w:val="32"/>
          <w:szCs w:val="32"/>
          <w:lang w:val="en"/>
        </w:rPr>
        <w:t>。</w:t>
      </w:r>
      <w:r>
        <w:rPr>
          <w:rFonts w:hint="eastAsia" w:ascii="仿宋_GB2312" w:hAnsi="CESI仿宋-GB2312" w:eastAsia="仿宋_GB2312" w:cs="CESI仿宋-GB2312"/>
          <w:color w:val="auto"/>
          <w:sz w:val="32"/>
          <w:szCs w:val="32"/>
        </w:rPr>
        <w:t>积极推进包容审慎监管和柔性执法，</w:t>
      </w:r>
      <w:r>
        <w:rPr>
          <w:rFonts w:hint="eastAsia" w:ascii="仿宋_GB2312" w:hAnsi="CESI仿宋-GB2312" w:eastAsia="仿宋_GB2312" w:cs="CESI仿宋-GB2312"/>
          <w:color w:val="auto"/>
          <w:kern w:val="0"/>
          <w:sz w:val="32"/>
          <w:szCs w:val="32"/>
          <w:lang w:bidi="ar"/>
        </w:rPr>
        <w:t>探索实施全过程说理式执法，指导帮扶企业提升产品质量。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rPr>
        <w:t>23.完善药品智慧监管体系。</w:t>
      </w:r>
      <w:r>
        <w:rPr>
          <w:rFonts w:hint="eastAsia" w:ascii="仿宋_GB2312" w:hAnsi="CESI仿宋-GB2312" w:eastAsia="仿宋_GB2312" w:cs="CESI仿宋-GB2312"/>
          <w:color w:val="auto"/>
          <w:sz w:val="32"/>
          <w:szCs w:val="32"/>
        </w:rPr>
        <w:t>完善</w:t>
      </w:r>
      <w:r>
        <w:rPr>
          <w:rFonts w:hint="eastAsia" w:ascii="仿宋_GB2312" w:hAnsi="CESI仿宋-GB2312" w:eastAsia="仿宋_GB2312" w:cs="CESI仿宋-GB2312"/>
          <w:color w:val="auto"/>
          <w:sz w:val="32"/>
          <w:szCs w:val="32"/>
          <w:lang w:eastAsia="zh-CN"/>
        </w:rPr>
        <w:t>省级</w:t>
      </w:r>
      <w:r>
        <w:rPr>
          <w:rFonts w:hint="eastAsia" w:ascii="仿宋_GB2312" w:hAnsi="CESI仿宋-GB2312" w:eastAsia="仿宋_GB2312" w:cs="CESI仿宋-GB2312"/>
          <w:color w:val="auto"/>
          <w:sz w:val="32"/>
          <w:szCs w:val="32"/>
        </w:rPr>
        <w:t>药品智慧监管平台，深化药械追溯体系、品种档案系统建设，高标准组织实施“药品追溯信息风险预警应用项目”，</w:t>
      </w:r>
      <w:r>
        <w:rPr>
          <w:rFonts w:hint="eastAsia" w:ascii="仿宋_GB2312" w:hAnsi="CESI仿宋-GB2312" w:eastAsia="仿宋_GB2312" w:cs="CESI仿宋-GB2312"/>
          <w:color w:val="auto"/>
          <w:sz w:val="32"/>
          <w:szCs w:val="32"/>
          <w:lang w:eastAsia="zh-CN"/>
        </w:rPr>
        <w:t>健全</w:t>
      </w:r>
      <w:r>
        <w:rPr>
          <w:rFonts w:hint="eastAsia" w:ascii="仿宋_GB2312" w:hAnsi="CESI仿宋-GB2312" w:eastAsia="仿宋_GB2312" w:cs="CESI仿宋-GB2312"/>
          <w:color w:val="auto"/>
          <w:sz w:val="32"/>
          <w:szCs w:val="32"/>
        </w:rPr>
        <w:t>常态化远程监管机制，</w:t>
      </w:r>
      <w:r>
        <w:rPr>
          <w:rFonts w:hint="eastAsia" w:ascii="仿宋_GB2312" w:hAnsi="CESI仿宋-GB2312" w:eastAsia="仿宋_GB2312" w:cs="CESI仿宋-GB2312"/>
          <w:color w:val="auto"/>
          <w:sz w:val="32"/>
          <w:szCs w:val="32"/>
          <w:lang w:eastAsia="zh-CN"/>
        </w:rPr>
        <w:t>探索建立“两品一械”现场检查智慧管理系统，积极</w:t>
      </w:r>
      <w:r>
        <w:rPr>
          <w:rFonts w:hint="eastAsia" w:ascii="仿宋_GB2312" w:hAnsi="CESI仿宋-GB2312" w:eastAsia="仿宋_GB2312" w:cs="CESI仿宋-GB2312"/>
          <w:color w:val="auto"/>
          <w:sz w:val="32"/>
          <w:szCs w:val="32"/>
        </w:rPr>
        <w:t>拓展智慧监管应用场景。推动新一代信息技术与医药产业链深度融合，支持药品医疗器械生产企业数智化转型，深入实施血液制品生产智慧监管三年行动计划，深度分析运用药品追溯数据，助力医药产业发展。</w:t>
      </w:r>
    </w:p>
    <w:p>
      <w:pPr>
        <w:autoSpaceDE w:val="0"/>
        <w:autoSpaceDN w:val="0"/>
        <w:spacing w:line="560" w:lineRule="exact"/>
        <w:ind w:firstLine="640" w:firstLineChars="200"/>
        <w:contextualSpacing/>
        <w:rPr>
          <w:rFonts w:hint="eastAsia" w:ascii="仿宋_GB2312" w:eastAsia="仿宋_GB2312"/>
          <w:color w:val="auto"/>
        </w:rPr>
      </w:pPr>
      <w:r>
        <w:rPr>
          <w:rFonts w:hint="eastAsia" w:ascii="仿宋_GB2312" w:eastAsia="仿宋_GB2312"/>
          <w:color w:val="auto"/>
          <w:sz w:val="32"/>
          <w:szCs w:val="32"/>
        </w:rPr>
        <w:t>24.持续提升</w:t>
      </w:r>
      <w:r>
        <w:rPr>
          <w:rFonts w:hint="eastAsia" w:ascii="仿宋_GB2312" w:eastAsia="仿宋_GB2312"/>
          <w:bCs/>
          <w:color w:val="auto"/>
          <w:sz w:val="32"/>
          <w:szCs w:val="32"/>
        </w:rPr>
        <w:t>技术支撑能力。</w:t>
      </w:r>
      <w:r>
        <w:rPr>
          <w:rFonts w:hint="eastAsia" w:ascii="仿宋_GB2312" w:hAnsi="CESI仿宋-GB2312" w:eastAsia="仿宋_GB2312" w:cs="CESI仿宋-GB2312"/>
          <w:bCs/>
          <w:color w:val="auto"/>
          <w:sz w:val="32"/>
          <w:szCs w:val="32"/>
        </w:rPr>
        <w:t>充分</w:t>
      </w:r>
      <w:r>
        <w:rPr>
          <w:rFonts w:hint="eastAsia" w:ascii="仿宋_GB2312" w:hAnsi="CESI仿宋-GB2312" w:eastAsia="仿宋_GB2312" w:cs="CESI仿宋-GB2312"/>
          <w:color w:val="auto"/>
          <w:sz w:val="32"/>
          <w:szCs w:val="32"/>
        </w:rPr>
        <w:t>发挥国家药监局药械重点实验室的技术引领作用，加强药品监管科学研究，推进监管新技术、新工具、新方法的研究和应用。加强药用辅料和药包材检验检测能力建设，筹建省化妆品检验检测质量控制工程中心，推动省级“两品一械”检验检测能力增容扩项。</w:t>
      </w:r>
      <w:r>
        <w:rPr>
          <w:rFonts w:hint="eastAsia" w:ascii="仿宋_GB2312" w:hAnsi="CESI仿宋-GB2312" w:eastAsia="仿宋_GB2312" w:cs="CESI仿宋-GB2312"/>
          <w:bCs/>
          <w:color w:val="auto"/>
          <w:kern w:val="0"/>
          <w:sz w:val="32"/>
          <w:szCs w:val="32"/>
          <w:lang w:bidi="ar"/>
        </w:rPr>
        <w:t>深入推进药物警戒体系建设，加强省内创新药上市后的风险监测，</w:t>
      </w:r>
      <w:r>
        <w:rPr>
          <w:rFonts w:hint="eastAsia" w:ascii="仿宋_GB2312" w:hAnsi="仿宋_GB2312" w:eastAsia="仿宋_GB2312" w:cs="仿宋_GB2312"/>
          <w:color w:val="auto"/>
          <w:sz w:val="32"/>
          <w:szCs w:val="32"/>
        </w:rPr>
        <w:t>积极开展医疗器械警戒试点工作，</w:t>
      </w:r>
      <w:r>
        <w:rPr>
          <w:rFonts w:hint="eastAsia" w:ascii="仿宋_GB2312" w:hAnsi="CESI仿宋-GB2312" w:eastAsia="仿宋_GB2312" w:cs="CESI仿宋-GB2312"/>
          <w:color w:val="auto"/>
          <w:kern w:val="0"/>
          <w:sz w:val="32"/>
          <w:szCs w:val="32"/>
        </w:rPr>
        <w:t>推进监测数据共享和联动应用。</w:t>
      </w:r>
      <w:r>
        <w:rPr>
          <w:rFonts w:hint="eastAsia" w:ascii="仿宋_GB2312" w:eastAsia="仿宋_GB2312"/>
          <w:bCs/>
          <w:color w:val="auto"/>
          <w:sz w:val="32"/>
          <w:szCs w:val="32"/>
        </w:rPr>
        <w:t xml:space="preserve"> </w:t>
      </w:r>
    </w:p>
    <w:p>
      <w:pPr>
        <w:spacing w:line="560" w:lineRule="exact"/>
        <w:ind w:firstLine="640" w:firstLineChars="200"/>
        <w:rPr>
          <w:rFonts w:hint="eastAsia" w:ascii="黑体" w:hAnsi="黑体" w:eastAsia="黑体" w:cs="方正黑体_GBK"/>
          <w:color w:val="auto"/>
          <w:sz w:val="32"/>
          <w:szCs w:val="32"/>
        </w:rPr>
      </w:pPr>
      <w:r>
        <w:rPr>
          <w:rFonts w:hint="eastAsia" w:ascii="黑体" w:hAnsi="黑体" w:eastAsia="黑体" w:cs="方正黑体_GBK"/>
          <w:color w:val="auto"/>
          <w:sz w:val="32"/>
          <w:szCs w:val="32"/>
        </w:rPr>
        <w:t>三、保障措施</w:t>
      </w:r>
    </w:p>
    <w:p>
      <w:pPr>
        <w:spacing w:line="560" w:lineRule="exact"/>
        <w:ind w:firstLine="640" w:firstLineChars="200"/>
        <w:textAlignment w:val="top"/>
        <w:rPr>
          <w:rFonts w:hint="eastAsia" w:ascii="仿宋_GB2312" w:hAnsi="宋体" w:eastAsia="仿宋_GB2312" w:cs="宋体"/>
          <w:color w:val="auto"/>
          <w:kern w:val="0"/>
          <w:sz w:val="32"/>
          <w:szCs w:val="32"/>
        </w:rPr>
      </w:pPr>
      <w:r>
        <w:rPr>
          <w:rFonts w:hint="eastAsia" w:ascii="楷体_GB2312" w:eastAsia="楷体_GB2312"/>
          <w:color w:val="auto"/>
          <w:sz w:val="32"/>
          <w:szCs w:val="32"/>
        </w:rPr>
        <w:t>（一）加强组织领导。</w:t>
      </w:r>
      <w:r>
        <w:rPr>
          <w:rFonts w:hint="eastAsia" w:ascii="仿宋_GB2312" w:hAnsi="宋体" w:eastAsia="仿宋_GB2312" w:cs="宋体"/>
          <w:color w:val="auto"/>
          <w:kern w:val="0"/>
          <w:sz w:val="32"/>
          <w:szCs w:val="32"/>
        </w:rPr>
        <w:t>省药监局成立深化药品监管改革创新工作专班，统筹部署推进各项工作，协调解决重大问题。各相关处室、监管分局、直属单位要加强统筹谋划，精心组织实施，细化</w:t>
      </w:r>
      <w:r>
        <w:rPr>
          <w:rFonts w:hint="eastAsia" w:ascii="仿宋_GB2312" w:hAnsi="宋体" w:eastAsia="仿宋_GB2312" w:cs="宋体"/>
          <w:color w:val="auto"/>
          <w:kern w:val="0"/>
          <w:sz w:val="32"/>
          <w:szCs w:val="32"/>
          <w:lang w:eastAsia="zh-CN"/>
        </w:rPr>
        <w:t>责任</w:t>
      </w:r>
      <w:r>
        <w:rPr>
          <w:rFonts w:hint="eastAsia" w:ascii="仿宋_GB2312" w:hAnsi="宋体" w:eastAsia="仿宋_GB2312" w:cs="宋体"/>
          <w:color w:val="auto"/>
          <w:kern w:val="0"/>
          <w:sz w:val="32"/>
          <w:szCs w:val="32"/>
        </w:rPr>
        <w:t>分工，</w:t>
      </w:r>
      <w:r>
        <w:rPr>
          <w:rFonts w:hint="eastAsia" w:ascii="仿宋_GB2312" w:hAnsi="CESI仿宋-GB2312" w:eastAsia="仿宋_GB2312" w:cs="CESI仿宋-GB2312"/>
          <w:color w:val="auto"/>
          <w:sz w:val="32"/>
          <w:szCs w:val="32"/>
        </w:rPr>
        <w:t>落实落细各项</w:t>
      </w:r>
      <w:r>
        <w:rPr>
          <w:rFonts w:hint="eastAsia" w:ascii="仿宋_GB2312" w:hAnsi="CESI仿宋-GB2312" w:eastAsia="仿宋_GB2312" w:cs="CESI仿宋-GB2312"/>
          <w:color w:val="auto"/>
          <w:sz w:val="32"/>
          <w:szCs w:val="32"/>
          <w:lang w:eastAsia="zh-CN"/>
        </w:rPr>
        <w:t>工作任务</w:t>
      </w:r>
      <w:r>
        <w:rPr>
          <w:rFonts w:hint="eastAsia" w:ascii="仿宋_GB2312" w:hAnsi="宋体" w:eastAsia="仿宋_GB2312" w:cs="宋体"/>
          <w:color w:val="auto"/>
          <w:kern w:val="0"/>
          <w:sz w:val="32"/>
          <w:szCs w:val="32"/>
        </w:rPr>
        <w:t>。</w:t>
      </w:r>
    </w:p>
    <w:p>
      <w:pPr>
        <w:spacing w:line="560" w:lineRule="exact"/>
        <w:ind w:firstLine="640" w:firstLineChars="200"/>
        <w:textAlignment w:val="top"/>
        <w:rPr>
          <w:rFonts w:hint="eastAsia" w:ascii="仿宋_GB2312" w:hAnsi="CESI仿宋-GB2312" w:eastAsia="仿宋_GB2312" w:cs="CESI仿宋-GB2312"/>
          <w:color w:val="auto"/>
          <w:kern w:val="0"/>
          <w:sz w:val="32"/>
          <w:szCs w:val="32"/>
          <w:lang w:val="en-US" w:eastAsia="zh-CN"/>
        </w:rPr>
      </w:pPr>
      <w:r>
        <w:rPr>
          <w:rFonts w:hint="eastAsia" w:ascii="楷体_GB2312" w:eastAsia="楷体_GB2312"/>
          <w:color w:val="auto"/>
          <w:sz w:val="32"/>
          <w:szCs w:val="32"/>
        </w:rPr>
        <w:t>（二）协同推进落实。</w:t>
      </w:r>
      <w:r>
        <w:rPr>
          <w:rFonts w:hint="eastAsia" w:ascii="仿宋_GB2312" w:hAnsi="CESI仿宋-GB2312" w:eastAsia="仿宋_GB2312" w:cs="CESI仿宋-GB2312"/>
          <w:color w:val="auto"/>
          <w:kern w:val="0"/>
          <w:sz w:val="32"/>
          <w:szCs w:val="32"/>
          <w:lang w:eastAsia="zh-CN"/>
        </w:rPr>
        <w:t>深化运用</w:t>
      </w:r>
      <w:r>
        <w:rPr>
          <w:rFonts w:hint="eastAsia" w:ascii="仿宋_GB2312" w:hAnsi="CESI仿宋-GB2312" w:eastAsia="仿宋_GB2312" w:cs="CESI仿宋-GB2312"/>
          <w:color w:val="auto"/>
          <w:kern w:val="0"/>
          <w:sz w:val="32"/>
          <w:szCs w:val="32"/>
        </w:rPr>
        <w:t>“五项工作机制”，</w:t>
      </w:r>
      <w:r>
        <w:rPr>
          <w:rFonts w:hint="eastAsia" w:ascii="仿宋_GB2312" w:hAnsi="CESI仿宋-GB2312" w:eastAsia="仿宋_GB2312" w:cs="CESI仿宋-GB2312"/>
          <w:color w:val="auto"/>
          <w:kern w:val="0"/>
          <w:sz w:val="32"/>
          <w:szCs w:val="32"/>
          <w:lang w:eastAsia="zh-CN"/>
        </w:rPr>
        <w:t>督促各责任处室（单位）</w:t>
      </w:r>
      <w:r>
        <w:rPr>
          <w:rFonts w:hint="eastAsia" w:ascii="仿宋_GB2312" w:hAnsi="CESI仿宋-GB2312" w:eastAsia="仿宋_GB2312" w:cs="CESI仿宋-GB2312"/>
          <w:color w:val="auto"/>
          <w:kern w:val="0"/>
          <w:sz w:val="32"/>
          <w:szCs w:val="32"/>
        </w:rPr>
        <w:t>逐条逐项制定任务清单、措施清单和责任清单，</w:t>
      </w:r>
      <w:r>
        <w:rPr>
          <w:rFonts w:hint="eastAsia" w:ascii="仿宋_GB2312" w:hAnsi="CESI仿宋-GB2312" w:eastAsia="仿宋_GB2312" w:cs="CESI仿宋-GB2312"/>
          <w:color w:val="auto"/>
          <w:kern w:val="0"/>
          <w:sz w:val="32"/>
          <w:szCs w:val="32"/>
          <w:lang w:eastAsia="zh-CN"/>
        </w:rPr>
        <w:t>谋深谋细配套政策措施。坚持</w:t>
      </w:r>
      <w:r>
        <w:rPr>
          <w:rFonts w:hint="eastAsia" w:ascii="仿宋_GB2312" w:hAnsi="CESI仿宋-GB2312" w:eastAsia="仿宋_GB2312" w:cs="CESI仿宋-GB2312"/>
          <w:color w:val="auto"/>
          <w:kern w:val="0"/>
          <w:sz w:val="32"/>
          <w:szCs w:val="32"/>
        </w:rPr>
        <w:t>项目化推进、清单化管理、精细化落实</w:t>
      </w:r>
      <w:r>
        <w:rPr>
          <w:rFonts w:hint="eastAsia" w:ascii="仿宋_GB2312" w:hAnsi="CESI仿宋-GB2312" w:eastAsia="仿宋_GB2312" w:cs="CESI仿宋-GB2312"/>
          <w:color w:val="auto"/>
          <w:kern w:val="0"/>
          <w:sz w:val="32"/>
          <w:szCs w:val="32"/>
          <w:lang w:eastAsia="zh-CN"/>
        </w:rPr>
        <w:t>，强化协同配合和工作衔接</w:t>
      </w:r>
      <w:r>
        <w:rPr>
          <w:rFonts w:hint="eastAsia" w:ascii="仿宋_GB2312" w:hAnsi="CESI仿宋-GB2312" w:eastAsia="仿宋_GB2312" w:cs="CESI仿宋-GB2312"/>
          <w:color w:val="auto"/>
          <w:kern w:val="0"/>
          <w:sz w:val="32"/>
          <w:szCs w:val="32"/>
        </w:rPr>
        <w:t>，</w:t>
      </w:r>
      <w:r>
        <w:rPr>
          <w:rFonts w:hint="eastAsia" w:ascii="仿宋_GB2312" w:hAnsi="CESI仿宋-GB2312" w:eastAsia="仿宋_GB2312" w:cs="CESI仿宋-GB2312"/>
          <w:color w:val="auto"/>
          <w:kern w:val="0"/>
          <w:sz w:val="32"/>
          <w:szCs w:val="32"/>
          <w:lang w:eastAsia="zh-CN"/>
        </w:rPr>
        <w:t>推动</w:t>
      </w:r>
      <w:r>
        <w:rPr>
          <w:rFonts w:hint="eastAsia" w:ascii="仿宋_GB2312" w:hAnsi="CESI仿宋-GB2312" w:eastAsia="仿宋_GB2312" w:cs="CESI仿宋-GB2312"/>
          <w:color w:val="auto"/>
          <w:kern w:val="0"/>
          <w:sz w:val="32"/>
          <w:szCs w:val="32"/>
        </w:rPr>
        <w:t>各项</w:t>
      </w:r>
      <w:r>
        <w:rPr>
          <w:rFonts w:hint="eastAsia" w:ascii="仿宋_GB2312" w:hAnsi="CESI仿宋-GB2312" w:eastAsia="仿宋_GB2312" w:cs="CESI仿宋-GB2312"/>
          <w:color w:val="auto"/>
          <w:kern w:val="0"/>
          <w:sz w:val="32"/>
          <w:szCs w:val="32"/>
          <w:lang w:eastAsia="zh-CN"/>
        </w:rPr>
        <w:t>政策措施落地见效</w:t>
      </w:r>
      <w:r>
        <w:rPr>
          <w:rFonts w:hint="eastAsia" w:ascii="仿宋_GB2312" w:hAnsi="CESI仿宋-GB2312" w:eastAsia="仿宋_GB2312" w:cs="CESI仿宋-GB2312"/>
          <w:color w:val="auto"/>
          <w:kern w:val="0"/>
          <w:sz w:val="32"/>
          <w:szCs w:val="32"/>
        </w:rPr>
        <w:t>。</w:t>
      </w:r>
      <w:r>
        <w:rPr>
          <w:rFonts w:hint="eastAsia" w:ascii="仿宋_GB2312" w:hAnsi="CESI仿宋-GB2312" w:eastAsia="仿宋_GB2312" w:cs="CESI仿宋-GB2312"/>
          <w:color w:val="auto"/>
          <w:kern w:val="0"/>
          <w:sz w:val="32"/>
          <w:szCs w:val="32"/>
          <w:lang w:val="en-US" w:eastAsia="zh-CN"/>
        </w:rPr>
        <w:t xml:space="preserve"> </w:t>
      </w:r>
    </w:p>
    <w:p>
      <w:pPr>
        <w:spacing w:line="560" w:lineRule="exact"/>
        <w:ind w:firstLine="640" w:firstLineChars="200"/>
        <w:rPr>
          <w:rFonts w:hint="eastAsia" w:ascii="仿宋_GB2312" w:hAnsi="CESI仿宋-GB2312" w:eastAsia="仿宋_GB2312" w:cs="CESI仿宋-GB2312"/>
          <w:color w:val="auto"/>
          <w:sz w:val="32"/>
          <w:szCs w:val="32"/>
        </w:rPr>
      </w:pPr>
      <w:r>
        <w:rPr>
          <w:rFonts w:hint="eastAsia" w:ascii="楷体_GB2312" w:eastAsia="楷体_GB2312"/>
          <w:color w:val="auto"/>
          <w:sz w:val="32"/>
          <w:szCs w:val="32"/>
        </w:rPr>
        <w:t>（三）注重宣传引导。</w:t>
      </w:r>
      <w:r>
        <w:rPr>
          <w:rFonts w:hint="eastAsia" w:ascii="仿宋_GB2312" w:hAnsi="宋体" w:eastAsia="仿宋_GB2312" w:cs="宋体"/>
          <w:color w:val="auto"/>
          <w:kern w:val="0"/>
          <w:sz w:val="32"/>
          <w:szCs w:val="32"/>
        </w:rPr>
        <w:t>采取多种形式抓好政策解读和</w:t>
      </w:r>
      <w:r>
        <w:rPr>
          <w:rFonts w:hint="eastAsia" w:ascii="仿宋_GB2312" w:hAnsi="宋体" w:eastAsia="仿宋_GB2312" w:cs="宋体"/>
          <w:color w:val="auto"/>
          <w:kern w:val="0"/>
          <w:sz w:val="32"/>
          <w:szCs w:val="32"/>
          <w:lang w:eastAsia="zh-CN"/>
        </w:rPr>
        <w:t>宣传</w:t>
      </w:r>
      <w:r>
        <w:rPr>
          <w:rFonts w:hint="eastAsia" w:ascii="仿宋_GB2312" w:hAnsi="宋体" w:eastAsia="仿宋_GB2312" w:cs="宋体"/>
          <w:color w:val="auto"/>
          <w:kern w:val="0"/>
          <w:sz w:val="32"/>
          <w:szCs w:val="32"/>
        </w:rPr>
        <w:t>引导，充分调动系统内外和医药企业的积极性、主动性、创造性，</w:t>
      </w:r>
      <w:r>
        <w:rPr>
          <w:rFonts w:hint="eastAsia" w:ascii="仿宋_GB2312" w:hAnsi="宋体" w:eastAsia="仿宋_GB2312" w:cs="宋体"/>
          <w:color w:val="auto"/>
          <w:kern w:val="0"/>
          <w:sz w:val="32"/>
          <w:szCs w:val="32"/>
          <w:lang w:eastAsia="zh-CN"/>
        </w:rPr>
        <w:t>合力推动药品</w:t>
      </w:r>
      <w:r>
        <w:rPr>
          <w:rFonts w:hint="eastAsia" w:ascii="仿宋_GB2312" w:hAnsi="CESI仿宋-GB2312" w:eastAsia="仿宋_GB2312" w:cs="CESI仿宋-GB2312"/>
          <w:color w:val="auto"/>
          <w:sz w:val="32"/>
          <w:szCs w:val="32"/>
        </w:rPr>
        <w:t>监管改革创新</w:t>
      </w:r>
      <w:r>
        <w:rPr>
          <w:rFonts w:hint="eastAsia" w:ascii="仿宋_GB2312" w:hAnsi="CESI仿宋-GB2312" w:eastAsia="仿宋_GB2312" w:cs="CESI仿宋-GB2312"/>
          <w:color w:val="auto"/>
          <w:sz w:val="32"/>
          <w:szCs w:val="32"/>
          <w:lang w:eastAsia="zh-CN"/>
        </w:rPr>
        <w:t>取得</w:t>
      </w:r>
      <w:r>
        <w:rPr>
          <w:rFonts w:hint="eastAsia" w:ascii="仿宋_GB2312" w:hAnsi="宋体" w:eastAsia="仿宋_GB2312" w:cs="宋体"/>
          <w:color w:val="auto"/>
          <w:kern w:val="0"/>
          <w:sz w:val="32"/>
          <w:szCs w:val="32"/>
        </w:rPr>
        <w:t>更大突破</w:t>
      </w:r>
      <w:r>
        <w:rPr>
          <w:rFonts w:hint="eastAsia" w:ascii="仿宋_GB2312" w:hAnsi="CESI仿宋-GB2312" w:eastAsia="仿宋_GB2312" w:cs="CESI仿宋-GB2312"/>
          <w:color w:val="auto"/>
          <w:sz w:val="32"/>
          <w:szCs w:val="32"/>
          <w:lang w:eastAsia="zh-CN"/>
        </w:rPr>
        <w:t>，统筹</w:t>
      </w:r>
      <w:r>
        <w:rPr>
          <w:rFonts w:hint="eastAsia" w:ascii="仿宋_GB2312" w:hAnsi="CESI仿宋-GB2312" w:eastAsia="仿宋_GB2312" w:cs="CESI仿宋-GB2312"/>
          <w:color w:val="auto"/>
          <w:sz w:val="32"/>
          <w:szCs w:val="32"/>
        </w:rPr>
        <w:t>提升医药产业合规水平</w:t>
      </w:r>
      <w:r>
        <w:rPr>
          <w:rFonts w:hint="eastAsia" w:ascii="仿宋_GB2312" w:hAnsi="CESI仿宋-GB2312" w:eastAsia="仿宋_GB2312" w:cs="CESI仿宋-GB2312"/>
          <w:color w:val="auto"/>
          <w:sz w:val="32"/>
          <w:szCs w:val="32"/>
          <w:lang w:eastAsia="zh-CN"/>
        </w:rPr>
        <w:t>，有力</w:t>
      </w:r>
      <w:r>
        <w:rPr>
          <w:rFonts w:hint="eastAsia" w:ascii="仿宋_GB2312" w:hAnsi="CESI仿宋-GB2312" w:eastAsia="仿宋_GB2312" w:cs="CESI仿宋-GB2312"/>
          <w:color w:val="auto"/>
          <w:sz w:val="32"/>
          <w:szCs w:val="32"/>
        </w:rPr>
        <w:t>助推医药产业高质量发展。</w:t>
      </w:r>
    </w:p>
    <w:p>
      <w:pPr>
        <w:pStyle w:val="2"/>
        <w:rPr>
          <w:rFonts w:hint="eastAsia" w:ascii="仿宋_GB2312" w:hAnsi="CESI仿宋-GB2312" w:eastAsia="仿宋_GB2312" w:cs="CESI仿宋-GB2312"/>
          <w:b w:val="0"/>
          <w:color w:val="auto"/>
          <w:kern w:val="0"/>
          <w:sz w:val="32"/>
          <w:szCs w:val="32"/>
          <w:lang w:val="en-US" w:eastAsia="zh-CN" w:bidi="ar-SA"/>
        </w:rPr>
      </w:pPr>
    </w:p>
    <w:sectPr>
      <w:footerReference r:id="rId3" w:type="default"/>
      <w:footerReference r:id="rId4" w:type="even"/>
      <w:pgSz w:w="11906" w:h="16838"/>
      <w:pgMar w:top="2098" w:right="1474" w:bottom="1984" w:left="1588"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国标仿宋">
    <w:altName w:val="方正仿宋_GBK"/>
    <w:panose1 w:val="02000500000000000000"/>
    <w:charset w:val="00"/>
    <w:family w:val="auto"/>
    <w:pitch w:val="default"/>
    <w:sig w:usb0="00000000" w:usb1="00000000" w:usb2="00000016"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A8A46"/>
    <w:rsid w:val="0000181A"/>
    <w:rsid w:val="000049B2"/>
    <w:rsid w:val="0001100C"/>
    <w:rsid w:val="000136A3"/>
    <w:rsid w:val="00025CF5"/>
    <w:rsid w:val="00034E72"/>
    <w:rsid w:val="00040D6A"/>
    <w:rsid w:val="00042CCD"/>
    <w:rsid w:val="00045F77"/>
    <w:rsid w:val="0004777C"/>
    <w:rsid w:val="00047F30"/>
    <w:rsid w:val="00047F7A"/>
    <w:rsid w:val="00050B89"/>
    <w:rsid w:val="00051EFC"/>
    <w:rsid w:val="0005381A"/>
    <w:rsid w:val="00056371"/>
    <w:rsid w:val="000566D8"/>
    <w:rsid w:val="00061EE2"/>
    <w:rsid w:val="00063BA2"/>
    <w:rsid w:val="000641D7"/>
    <w:rsid w:val="00070038"/>
    <w:rsid w:val="000723F8"/>
    <w:rsid w:val="0007317C"/>
    <w:rsid w:val="00076AF3"/>
    <w:rsid w:val="000807CF"/>
    <w:rsid w:val="00080BFE"/>
    <w:rsid w:val="0008516D"/>
    <w:rsid w:val="000902DA"/>
    <w:rsid w:val="0009044D"/>
    <w:rsid w:val="0009179D"/>
    <w:rsid w:val="00093ADF"/>
    <w:rsid w:val="000958C8"/>
    <w:rsid w:val="00096056"/>
    <w:rsid w:val="000A08FE"/>
    <w:rsid w:val="000A192D"/>
    <w:rsid w:val="000A5EFD"/>
    <w:rsid w:val="000B3FDC"/>
    <w:rsid w:val="000C43AD"/>
    <w:rsid w:val="000C5D5C"/>
    <w:rsid w:val="000C62DA"/>
    <w:rsid w:val="000C76DC"/>
    <w:rsid w:val="000D0DEA"/>
    <w:rsid w:val="000D18D7"/>
    <w:rsid w:val="000D55BE"/>
    <w:rsid w:val="000E4204"/>
    <w:rsid w:val="000E540C"/>
    <w:rsid w:val="000E690A"/>
    <w:rsid w:val="000F213B"/>
    <w:rsid w:val="000F3B0B"/>
    <w:rsid w:val="000F5DB6"/>
    <w:rsid w:val="000F5E57"/>
    <w:rsid w:val="00100ED9"/>
    <w:rsid w:val="00101ED4"/>
    <w:rsid w:val="00102725"/>
    <w:rsid w:val="001043B5"/>
    <w:rsid w:val="00107EFE"/>
    <w:rsid w:val="00110AF9"/>
    <w:rsid w:val="00112765"/>
    <w:rsid w:val="001156D4"/>
    <w:rsid w:val="0011572F"/>
    <w:rsid w:val="00115E08"/>
    <w:rsid w:val="00116923"/>
    <w:rsid w:val="00120747"/>
    <w:rsid w:val="00131711"/>
    <w:rsid w:val="00132445"/>
    <w:rsid w:val="001354FF"/>
    <w:rsid w:val="00135DD0"/>
    <w:rsid w:val="00137275"/>
    <w:rsid w:val="00140666"/>
    <w:rsid w:val="00140FAA"/>
    <w:rsid w:val="00142027"/>
    <w:rsid w:val="001421B9"/>
    <w:rsid w:val="00142D48"/>
    <w:rsid w:val="00151C77"/>
    <w:rsid w:val="0015530C"/>
    <w:rsid w:val="001554B7"/>
    <w:rsid w:val="0015650E"/>
    <w:rsid w:val="00157E2A"/>
    <w:rsid w:val="00161FB7"/>
    <w:rsid w:val="001653FE"/>
    <w:rsid w:val="00165502"/>
    <w:rsid w:val="0016559B"/>
    <w:rsid w:val="00165FC1"/>
    <w:rsid w:val="001678F3"/>
    <w:rsid w:val="0017426E"/>
    <w:rsid w:val="00177818"/>
    <w:rsid w:val="00177A4D"/>
    <w:rsid w:val="00177E4A"/>
    <w:rsid w:val="00180B70"/>
    <w:rsid w:val="00181C42"/>
    <w:rsid w:val="00183364"/>
    <w:rsid w:val="0018553E"/>
    <w:rsid w:val="00186E4E"/>
    <w:rsid w:val="00191E0D"/>
    <w:rsid w:val="001920BF"/>
    <w:rsid w:val="00194B38"/>
    <w:rsid w:val="0019539B"/>
    <w:rsid w:val="00195F49"/>
    <w:rsid w:val="00197066"/>
    <w:rsid w:val="001A4E8A"/>
    <w:rsid w:val="001B0CF0"/>
    <w:rsid w:val="001B19B7"/>
    <w:rsid w:val="001B1D4C"/>
    <w:rsid w:val="001B21DB"/>
    <w:rsid w:val="001B42A4"/>
    <w:rsid w:val="001B5464"/>
    <w:rsid w:val="001B7C70"/>
    <w:rsid w:val="001C27D3"/>
    <w:rsid w:val="001C2BDE"/>
    <w:rsid w:val="001C2FFF"/>
    <w:rsid w:val="001C69A3"/>
    <w:rsid w:val="001C6C89"/>
    <w:rsid w:val="001C6F80"/>
    <w:rsid w:val="001D0D53"/>
    <w:rsid w:val="001D4C25"/>
    <w:rsid w:val="001D52A7"/>
    <w:rsid w:val="001D62E8"/>
    <w:rsid w:val="001D7A3D"/>
    <w:rsid w:val="001E1B09"/>
    <w:rsid w:val="001E615D"/>
    <w:rsid w:val="001F38EC"/>
    <w:rsid w:val="001F3A25"/>
    <w:rsid w:val="001F4DBC"/>
    <w:rsid w:val="001F5AA9"/>
    <w:rsid w:val="001F70FE"/>
    <w:rsid w:val="00200EC5"/>
    <w:rsid w:val="00204AF0"/>
    <w:rsid w:val="0020583D"/>
    <w:rsid w:val="00211608"/>
    <w:rsid w:val="00211AD3"/>
    <w:rsid w:val="00214FC3"/>
    <w:rsid w:val="0021543D"/>
    <w:rsid w:val="00222C63"/>
    <w:rsid w:val="002232E5"/>
    <w:rsid w:val="002245BD"/>
    <w:rsid w:val="002250EA"/>
    <w:rsid w:val="00230A1C"/>
    <w:rsid w:val="00231943"/>
    <w:rsid w:val="00232C40"/>
    <w:rsid w:val="00235153"/>
    <w:rsid w:val="00235DC4"/>
    <w:rsid w:val="0024001D"/>
    <w:rsid w:val="002412C8"/>
    <w:rsid w:val="00243F5E"/>
    <w:rsid w:val="002445F1"/>
    <w:rsid w:val="00247F15"/>
    <w:rsid w:val="00251CBD"/>
    <w:rsid w:val="002520DE"/>
    <w:rsid w:val="00253D1A"/>
    <w:rsid w:val="00260C5C"/>
    <w:rsid w:val="00261DA4"/>
    <w:rsid w:val="002662B2"/>
    <w:rsid w:val="00266B09"/>
    <w:rsid w:val="0027110B"/>
    <w:rsid w:val="00273011"/>
    <w:rsid w:val="00273EF5"/>
    <w:rsid w:val="0027460B"/>
    <w:rsid w:val="00275546"/>
    <w:rsid w:val="00280409"/>
    <w:rsid w:val="00280569"/>
    <w:rsid w:val="002856D7"/>
    <w:rsid w:val="002862F0"/>
    <w:rsid w:val="00293480"/>
    <w:rsid w:val="00296258"/>
    <w:rsid w:val="00296413"/>
    <w:rsid w:val="002A54B9"/>
    <w:rsid w:val="002A6236"/>
    <w:rsid w:val="002A62F4"/>
    <w:rsid w:val="002B0942"/>
    <w:rsid w:val="002B0B8E"/>
    <w:rsid w:val="002B1E1C"/>
    <w:rsid w:val="002B3C51"/>
    <w:rsid w:val="002B51A4"/>
    <w:rsid w:val="002C363E"/>
    <w:rsid w:val="002C3EA6"/>
    <w:rsid w:val="002D0EBF"/>
    <w:rsid w:val="002D222E"/>
    <w:rsid w:val="002D2914"/>
    <w:rsid w:val="002D29C1"/>
    <w:rsid w:val="002D3F99"/>
    <w:rsid w:val="002D582D"/>
    <w:rsid w:val="002E03E6"/>
    <w:rsid w:val="002E4401"/>
    <w:rsid w:val="002E4985"/>
    <w:rsid w:val="002E52E2"/>
    <w:rsid w:val="002F0051"/>
    <w:rsid w:val="002F1330"/>
    <w:rsid w:val="002F20C2"/>
    <w:rsid w:val="002F701E"/>
    <w:rsid w:val="002F7543"/>
    <w:rsid w:val="002F79A8"/>
    <w:rsid w:val="00303066"/>
    <w:rsid w:val="00303FC6"/>
    <w:rsid w:val="0030614D"/>
    <w:rsid w:val="0030727A"/>
    <w:rsid w:val="0031167B"/>
    <w:rsid w:val="00323070"/>
    <w:rsid w:val="00323111"/>
    <w:rsid w:val="00323E16"/>
    <w:rsid w:val="00324F6D"/>
    <w:rsid w:val="00330FBB"/>
    <w:rsid w:val="00332FAD"/>
    <w:rsid w:val="00334CE4"/>
    <w:rsid w:val="0034173B"/>
    <w:rsid w:val="003435F4"/>
    <w:rsid w:val="003463FC"/>
    <w:rsid w:val="00350D45"/>
    <w:rsid w:val="0035283C"/>
    <w:rsid w:val="003537F4"/>
    <w:rsid w:val="00357616"/>
    <w:rsid w:val="003576C0"/>
    <w:rsid w:val="00360B56"/>
    <w:rsid w:val="003645BC"/>
    <w:rsid w:val="00364D97"/>
    <w:rsid w:val="0036608C"/>
    <w:rsid w:val="0037044B"/>
    <w:rsid w:val="00374673"/>
    <w:rsid w:val="00377899"/>
    <w:rsid w:val="003826F6"/>
    <w:rsid w:val="003846AE"/>
    <w:rsid w:val="003855FB"/>
    <w:rsid w:val="003874B7"/>
    <w:rsid w:val="003930EF"/>
    <w:rsid w:val="003974D1"/>
    <w:rsid w:val="00397926"/>
    <w:rsid w:val="003A0AA9"/>
    <w:rsid w:val="003A212D"/>
    <w:rsid w:val="003A4686"/>
    <w:rsid w:val="003A550F"/>
    <w:rsid w:val="003A6F8C"/>
    <w:rsid w:val="003B07B0"/>
    <w:rsid w:val="003B1659"/>
    <w:rsid w:val="003B1871"/>
    <w:rsid w:val="003C1B87"/>
    <w:rsid w:val="003C3879"/>
    <w:rsid w:val="003C5210"/>
    <w:rsid w:val="003C6048"/>
    <w:rsid w:val="003C79B6"/>
    <w:rsid w:val="003D1C4C"/>
    <w:rsid w:val="003D21FD"/>
    <w:rsid w:val="003D24F3"/>
    <w:rsid w:val="003D2D69"/>
    <w:rsid w:val="003D3439"/>
    <w:rsid w:val="003D3BB3"/>
    <w:rsid w:val="003D3DD2"/>
    <w:rsid w:val="003D6E7D"/>
    <w:rsid w:val="003D7F09"/>
    <w:rsid w:val="003E0966"/>
    <w:rsid w:val="003E7E12"/>
    <w:rsid w:val="003F004A"/>
    <w:rsid w:val="003F287E"/>
    <w:rsid w:val="003F6618"/>
    <w:rsid w:val="00401CA4"/>
    <w:rsid w:val="00403BF9"/>
    <w:rsid w:val="00406EB0"/>
    <w:rsid w:val="00407185"/>
    <w:rsid w:val="00411E7D"/>
    <w:rsid w:val="00414970"/>
    <w:rsid w:val="00420711"/>
    <w:rsid w:val="00426E4D"/>
    <w:rsid w:val="0043728F"/>
    <w:rsid w:val="004424C4"/>
    <w:rsid w:val="00444355"/>
    <w:rsid w:val="00446094"/>
    <w:rsid w:val="00446150"/>
    <w:rsid w:val="004467D5"/>
    <w:rsid w:val="004475CE"/>
    <w:rsid w:val="00450A25"/>
    <w:rsid w:val="00450ADE"/>
    <w:rsid w:val="00451688"/>
    <w:rsid w:val="00454038"/>
    <w:rsid w:val="00454BB7"/>
    <w:rsid w:val="00455522"/>
    <w:rsid w:val="0045605D"/>
    <w:rsid w:val="0046087C"/>
    <w:rsid w:val="00461573"/>
    <w:rsid w:val="00462036"/>
    <w:rsid w:val="00466710"/>
    <w:rsid w:val="00470496"/>
    <w:rsid w:val="00470B38"/>
    <w:rsid w:val="0047186E"/>
    <w:rsid w:val="00483B3F"/>
    <w:rsid w:val="00490428"/>
    <w:rsid w:val="00490B02"/>
    <w:rsid w:val="004919F6"/>
    <w:rsid w:val="00495F4A"/>
    <w:rsid w:val="004A1C13"/>
    <w:rsid w:val="004A2AEF"/>
    <w:rsid w:val="004A59F5"/>
    <w:rsid w:val="004B37C8"/>
    <w:rsid w:val="004B5597"/>
    <w:rsid w:val="004B6DF1"/>
    <w:rsid w:val="004C220E"/>
    <w:rsid w:val="004C2F0C"/>
    <w:rsid w:val="004C2F40"/>
    <w:rsid w:val="004C66C2"/>
    <w:rsid w:val="004C6A15"/>
    <w:rsid w:val="004C7487"/>
    <w:rsid w:val="004D286D"/>
    <w:rsid w:val="004D2D7D"/>
    <w:rsid w:val="004D3C56"/>
    <w:rsid w:val="004D7630"/>
    <w:rsid w:val="004D7D98"/>
    <w:rsid w:val="004E1B98"/>
    <w:rsid w:val="004E3788"/>
    <w:rsid w:val="004E4DA8"/>
    <w:rsid w:val="004E54D8"/>
    <w:rsid w:val="004E77F0"/>
    <w:rsid w:val="004F2ED1"/>
    <w:rsid w:val="005049FF"/>
    <w:rsid w:val="00507369"/>
    <w:rsid w:val="00507796"/>
    <w:rsid w:val="0051044D"/>
    <w:rsid w:val="005146A6"/>
    <w:rsid w:val="00516027"/>
    <w:rsid w:val="0052036A"/>
    <w:rsid w:val="005211DC"/>
    <w:rsid w:val="0052223B"/>
    <w:rsid w:val="005231FD"/>
    <w:rsid w:val="00523DED"/>
    <w:rsid w:val="00525D91"/>
    <w:rsid w:val="00533C28"/>
    <w:rsid w:val="00542F84"/>
    <w:rsid w:val="00553E66"/>
    <w:rsid w:val="00560D93"/>
    <w:rsid w:val="00561475"/>
    <w:rsid w:val="005617E0"/>
    <w:rsid w:val="005647FD"/>
    <w:rsid w:val="00566376"/>
    <w:rsid w:val="0056699B"/>
    <w:rsid w:val="00566B4C"/>
    <w:rsid w:val="005725B9"/>
    <w:rsid w:val="0057458A"/>
    <w:rsid w:val="00575C7E"/>
    <w:rsid w:val="00580353"/>
    <w:rsid w:val="0058045A"/>
    <w:rsid w:val="00584258"/>
    <w:rsid w:val="005848BF"/>
    <w:rsid w:val="005900A4"/>
    <w:rsid w:val="005A68DD"/>
    <w:rsid w:val="005A7471"/>
    <w:rsid w:val="005B06DC"/>
    <w:rsid w:val="005B07C6"/>
    <w:rsid w:val="005B18CB"/>
    <w:rsid w:val="005B4384"/>
    <w:rsid w:val="005B6418"/>
    <w:rsid w:val="005C116D"/>
    <w:rsid w:val="005C3961"/>
    <w:rsid w:val="005C4973"/>
    <w:rsid w:val="005C5DE5"/>
    <w:rsid w:val="005C6A3B"/>
    <w:rsid w:val="005D5504"/>
    <w:rsid w:val="005D5D4E"/>
    <w:rsid w:val="005E18FA"/>
    <w:rsid w:val="005E3438"/>
    <w:rsid w:val="005E7702"/>
    <w:rsid w:val="005F1350"/>
    <w:rsid w:val="005F3402"/>
    <w:rsid w:val="006015C4"/>
    <w:rsid w:val="00601D06"/>
    <w:rsid w:val="006020EF"/>
    <w:rsid w:val="00602389"/>
    <w:rsid w:val="006042D7"/>
    <w:rsid w:val="006075D4"/>
    <w:rsid w:val="0061081D"/>
    <w:rsid w:val="0061092C"/>
    <w:rsid w:val="00610B5F"/>
    <w:rsid w:val="006128CE"/>
    <w:rsid w:val="0061500F"/>
    <w:rsid w:val="00622275"/>
    <w:rsid w:val="00622483"/>
    <w:rsid w:val="006271C0"/>
    <w:rsid w:val="00630F8B"/>
    <w:rsid w:val="0063128B"/>
    <w:rsid w:val="006329C9"/>
    <w:rsid w:val="00635EF3"/>
    <w:rsid w:val="006404A9"/>
    <w:rsid w:val="00641CB7"/>
    <w:rsid w:val="006450B7"/>
    <w:rsid w:val="00646C71"/>
    <w:rsid w:val="00650CAD"/>
    <w:rsid w:val="006539A1"/>
    <w:rsid w:val="0066045E"/>
    <w:rsid w:val="00660464"/>
    <w:rsid w:val="00665953"/>
    <w:rsid w:val="006663AB"/>
    <w:rsid w:val="00666ACA"/>
    <w:rsid w:val="00666D68"/>
    <w:rsid w:val="00672C0C"/>
    <w:rsid w:val="0067642C"/>
    <w:rsid w:val="006774AA"/>
    <w:rsid w:val="006800D9"/>
    <w:rsid w:val="006834BE"/>
    <w:rsid w:val="00684254"/>
    <w:rsid w:val="00691EDA"/>
    <w:rsid w:val="006928E8"/>
    <w:rsid w:val="0069339A"/>
    <w:rsid w:val="00696254"/>
    <w:rsid w:val="00697E0A"/>
    <w:rsid w:val="006A22B6"/>
    <w:rsid w:val="006A2B42"/>
    <w:rsid w:val="006A32EF"/>
    <w:rsid w:val="006B179C"/>
    <w:rsid w:val="006B72A9"/>
    <w:rsid w:val="006D031E"/>
    <w:rsid w:val="006D1FDF"/>
    <w:rsid w:val="006D2B37"/>
    <w:rsid w:val="006D5D21"/>
    <w:rsid w:val="006D5DE0"/>
    <w:rsid w:val="006D79A6"/>
    <w:rsid w:val="006E00A5"/>
    <w:rsid w:val="006E0C7B"/>
    <w:rsid w:val="006E147E"/>
    <w:rsid w:val="006E4F0E"/>
    <w:rsid w:val="006E7C96"/>
    <w:rsid w:val="006F1593"/>
    <w:rsid w:val="006F22EB"/>
    <w:rsid w:val="006F6E12"/>
    <w:rsid w:val="006F79DC"/>
    <w:rsid w:val="00700ED7"/>
    <w:rsid w:val="007021FF"/>
    <w:rsid w:val="0070654B"/>
    <w:rsid w:val="007146FD"/>
    <w:rsid w:val="00715054"/>
    <w:rsid w:val="0071603B"/>
    <w:rsid w:val="00717685"/>
    <w:rsid w:val="00720484"/>
    <w:rsid w:val="00721211"/>
    <w:rsid w:val="0072415B"/>
    <w:rsid w:val="00725D9F"/>
    <w:rsid w:val="00730F7F"/>
    <w:rsid w:val="0073615A"/>
    <w:rsid w:val="00736794"/>
    <w:rsid w:val="00742175"/>
    <w:rsid w:val="007429E2"/>
    <w:rsid w:val="00742A11"/>
    <w:rsid w:val="00742E1A"/>
    <w:rsid w:val="00742E1D"/>
    <w:rsid w:val="00744769"/>
    <w:rsid w:val="00746A6F"/>
    <w:rsid w:val="0075290F"/>
    <w:rsid w:val="0075625E"/>
    <w:rsid w:val="00760563"/>
    <w:rsid w:val="00763BC9"/>
    <w:rsid w:val="0076606B"/>
    <w:rsid w:val="00767FE6"/>
    <w:rsid w:val="00771639"/>
    <w:rsid w:val="00773C2A"/>
    <w:rsid w:val="00776E39"/>
    <w:rsid w:val="00776E6F"/>
    <w:rsid w:val="0078241B"/>
    <w:rsid w:val="00786021"/>
    <w:rsid w:val="00786EB8"/>
    <w:rsid w:val="007870ED"/>
    <w:rsid w:val="007917A9"/>
    <w:rsid w:val="007919E3"/>
    <w:rsid w:val="00794A12"/>
    <w:rsid w:val="0079523F"/>
    <w:rsid w:val="007A21D5"/>
    <w:rsid w:val="007A4854"/>
    <w:rsid w:val="007A692E"/>
    <w:rsid w:val="007B0BB6"/>
    <w:rsid w:val="007B21DC"/>
    <w:rsid w:val="007B759D"/>
    <w:rsid w:val="007B799A"/>
    <w:rsid w:val="007B7F92"/>
    <w:rsid w:val="007C136A"/>
    <w:rsid w:val="007C1E5E"/>
    <w:rsid w:val="007C232D"/>
    <w:rsid w:val="007C7F6E"/>
    <w:rsid w:val="007D1C5F"/>
    <w:rsid w:val="007D5560"/>
    <w:rsid w:val="007D7EFE"/>
    <w:rsid w:val="007E0F76"/>
    <w:rsid w:val="007E15DC"/>
    <w:rsid w:val="007E1BFC"/>
    <w:rsid w:val="007F01F8"/>
    <w:rsid w:val="007F20BF"/>
    <w:rsid w:val="007F3D13"/>
    <w:rsid w:val="007F633E"/>
    <w:rsid w:val="00800E05"/>
    <w:rsid w:val="00801CED"/>
    <w:rsid w:val="008023B9"/>
    <w:rsid w:val="008033C5"/>
    <w:rsid w:val="008035D9"/>
    <w:rsid w:val="008043B7"/>
    <w:rsid w:val="00805AFF"/>
    <w:rsid w:val="00805BC9"/>
    <w:rsid w:val="0081100A"/>
    <w:rsid w:val="008124E8"/>
    <w:rsid w:val="00814A81"/>
    <w:rsid w:val="0081637F"/>
    <w:rsid w:val="00817D11"/>
    <w:rsid w:val="008229C4"/>
    <w:rsid w:val="00823520"/>
    <w:rsid w:val="00823E40"/>
    <w:rsid w:val="00824AA6"/>
    <w:rsid w:val="008254F2"/>
    <w:rsid w:val="00826187"/>
    <w:rsid w:val="008312BE"/>
    <w:rsid w:val="00832135"/>
    <w:rsid w:val="00834410"/>
    <w:rsid w:val="00837F16"/>
    <w:rsid w:val="00841414"/>
    <w:rsid w:val="008424B9"/>
    <w:rsid w:val="008431CD"/>
    <w:rsid w:val="008435A7"/>
    <w:rsid w:val="0084487D"/>
    <w:rsid w:val="00844CC7"/>
    <w:rsid w:val="0084599E"/>
    <w:rsid w:val="008472EE"/>
    <w:rsid w:val="00850543"/>
    <w:rsid w:val="00850ABB"/>
    <w:rsid w:val="00856BFE"/>
    <w:rsid w:val="00857084"/>
    <w:rsid w:val="008616FD"/>
    <w:rsid w:val="008625C8"/>
    <w:rsid w:val="00863056"/>
    <w:rsid w:val="00866034"/>
    <w:rsid w:val="00866063"/>
    <w:rsid w:val="00866ABB"/>
    <w:rsid w:val="0087113B"/>
    <w:rsid w:val="00871B50"/>
    <w:rsid w:val="0087587D"/>
    <w:rsid w:val="008826D9"/>
    <w:rsid w:val="00884DA1"/>
    <w:rsid w:val="00885F51"/>
    <w:rsid w:val="008867B6"/>
    <w:rsid w:val="00892B28"/>
    <w:rsid w:val="00894B9C"/>
    <w:rsid w:val="008A093E"/>
    <w:rsid w:val="008A2743"/>
    <w:rsid w:val="008A364E"/>
    <w:rsid w:val="008A6C21"/>
    <w:rsid w:val="008B01DF"/>
    <w:rsid w:val="008B0FA4"/>
    <w:rsid w:val="008B1626"/>
    <w:rsid w:val="008B5BCA"/>
    <w:rsid w:val="008B7B08"/>
    <w:rsid w:val="008C0B0E"/>
    <w:rsid w:val="008C4424"/>
    <w:rsid w:val="008C5ACB"/>
    <w:rsid w:val="008C68AF"/>
    <w:rsid w:val="008D4214"/>
    <w:rsid w:val="008E1111"/>
    <w:rsid w:val="008E1272"/>
    <w:rsid w:val="008E4B0A"/>
    <w:rsid w:val="008E5884"/>
    <w:rsid w:val="008E7F49"/>
    <w:rsid w:val="008F345F"/>
    <w:rsid w:val="00901880"/>
    <w:rsid w:val="00906AA5"/>
    <w:rsid w:val="00912D47"/>
    <w:rsid w:val="00917D82"/>
    <w:rsid w:val="009219CA"/>
    <w:rsid w:val="0092572D"/>
    <w:rsid w:val="00927A5E"/>
    <w:rsid w:val="00930141"/>
    <w:rsid w:val="00931D78"/>
    <w:rsid w:val="009328E4"/>
    <w:rsid w:val="00934C2C"/>
    <w:rsid w:val="00936284"/>
    <w:rsid w:val="009402E4"/>
    <w:rsid w:val="0094601E"/>
    <w:rsid w:val="00946E0D"/>
    <w:rsid w:val="0094752F"/>
    <w:rsid w:val="009517BE"/>
    <w:rsid w:val="00955BB9"/>
    <w:rsid w:val="00961FB7"/>
    <w:rsid w:val="009643E9"/>
    <w:rsid w:val="009656CE"/>
    <w:rsid w:val="00967F76"/>
    <w:rsid w:val="00974518"/>
    <w:rsid w:val="00974B18"/>
    <w:rsid w:val="0097763E"/>
    <w:rsid w:val="009776AF"/>
    <w:rsid w:val="00981A3A"/>
    <w:rsid w:val="00985937"/>
    <w:rsid w:val="00987E30"/>
    <w:rsid w:val="00992BA4"/>
    <w:rsid w:val="00992FA0"/>
    <w:rsid w:val="00993E00"/>
    <w:rsid w:val="009A2AEF"/>
    <w:rsid w:val="009A2F3A"/>
    <w:rsid w:val="009A39AC"/>
    <w:rsid w:val="009A404B"/>
    <w:rsid w:val="009A459E"/>
    <w:rsid w:val="009B1E00"/>
    <w:rsid w:val="009B48C5"/>
    <w:rsid w:val="009B4BC2"/>
    <w:rsid w:val="009B5023"/>
    <w:rsid w:val="009B52A8"/>
    <w:rsid w:val="009C152D"/>
    <w:rsid w:val="009C1875"/>
    <w:rsid w:val="009C2A3E"/>
    <w:rsid w:val="009C4DCE"/>
    <w:rsid w:val="009C61A8"/>
    <w:rsid w:val="009D02ED"/>
    <w:rsid w:val="009D2C4D"/>
    <w:rsid w:val="009D2F45"/>
    <w:rsid w:val="009D47FB"/>
    <w:rsid w:val="009D5BE8"/>
    <w:rsid w:val="009E398A"/>
    <w:rsid w:val="009E694B"/>
    <w:rsid w:val="009E69B4"/>
    <w:rsid w:val="009E69B6"/>
    <w:rsid w:val="009E70F4"/>
    <w:rsid w:val="009E71D5"/>
    <w:rsid w:val="009E72C2"/>
    <w:rsid w:val="009E7738"/>
    <w:rsid w:val="009F1655"/>
    <w:rsid w:val="009F3B99"/>
    <w:rsid w:val="009F4367"/>
    <w:rsid w:val="009F5A9B"/>
    <w:rsid w:val="00A015B2"/>
    <w:rsid w:val="00A05ED8"/>
    <w:rsid w:val="00A06512"/>
    <w:rsid w:val="00A126AA"/>
    <w:rsid w:val="00A13A56"/>
    <w:rsid w:val="00A13E15"/>
    <w:rsid w:val="00A14E6E"/>
    <w:rsid w:val="00A20ABA"/>
    <w:rsid w:val="00A21E8A"/>
    <w:rsid w:val="00A2630A"/>
    <w:rsid w:val="00A3047B"/>
    <w:rsid w:val="00A364EE"/>
    <w:rsid w:val="00A40048"/>
    <w:rsid w:val="00A4527C"/>
    <w:rsid w:val="00A46D60"/>
    <w:rsid w:val="00A479C4"/>
    <w:rsid w:val="00A52BCE"/>
    <w:rsid w:val="00A56610"/>
    <w:rsid w:val="00A579E6"/>
    <w:rsid w:val="00A62203"/>
    <w:rsid w:val="00A6317E"/>
    <w:rsid w:val="00A6338E"/>
    <w:rsid w:val="00A6571D"/>
    <w:rsid w:val="00A66B89"/>
    <w:rsid w:val="00A73844"/>
    <w:rsid w:val="00A7435E"/>
    <w:rsid w:val="00A7773D"/>
    <w:rsid w:val="00A81B5B"/>
    <w:rsid w:val="00A84D11"/>
    <w:rsid w:val="00A940D2"/>
    <w:rsid w:val="00A94F65"/>
    <w:rsid w:val="00A958C9"/>
    <w:rsid w:val="00A96475"/>
    <w:rsid w:val="00A966DA"/>
    <w:rsid w:val="00AA0E21"/>
    <w:rsid w:val="00AA20AD"/>
    <w:rsid w:val="00AA37EB"/>
    <w:rsid w:val="00AA7E7A"/>
    <w:rsid w:val="00AA7FE5"/>
    <w:rsid w:val="00AB1ECA"/>
    <w:rsid w:val="00AB4C5A"/>
    <w:rsid w:val="00AB5E7D"/>
    <w:rsid w:val="00AB64E7"/>
    <w:rsid w:val="00AB7C8A"/>
    <w:rsid w:val="00AC3723"/>
    <w:rsid w:val="00AC4549"/>
    <w:rsid w:val="00AC48FA"/>
    <w:rsid w:val="00AC5040"/>
    <w:rsid w:val="00AC54EE"/>
    <w:rsid w:val="00AC7845"/>
    <w:rsid w:val="00AD0B26"/>
    <w:rsid w:val="00AD172E"/>
    <w:rsid w:val="00AD3189"/>
    <w:rsid w:val="00AD655A"/>
    <w:rsid w:val="00AD6846"/>
    <w:rsid w:val="00AD7EA1"/>
    <w:rsid w:val="00AE00FE"/>
    <w:rsid w:val="00AE20D4"/>
    <w:rsid w:val="00AE21C5"/>
    <w:rsid w:val="00AE32A5"/>
    <w:rsid w:val="00AE4AF7"/>
    <w:rsid w:val="00AE7230"/>
    <w:rsid w:val="00AF06D7"/>
    <w:rsid w:val="00AF2D69"/>
    <w:rsid w:val="00AF73B4"/>
    <w:rsid w:val="00B0074A"/>
    <w:rsid w:val="00B02049"/>
    <w:rsid w:val="00B02143"/>
    <w:rsid w:val="00B1011D"/>
    <w:rsid w:val="00B115F4"/>
    <w:rsid w:val="00B17F9F"/>
    <w:rsid w:val="00B201EB"/>
    <w:rsid w:val="00B2075F"/>
    <w:rsid w:val="00B266A3"/>
    <w:rsid w:val="00B26E69"/>
    <w:rsid w:val="00B270F5"/>
    <w:rsid w:val="00B30034"/>
    <w:rsid w:val="00B305E3"/>
    <w:rsid w:val="00B30C25"/>
    <w:rsid w:val="00B32062"/>
    <w:rsid w:val="00B328CC"/>
    <w:rsid w:val="00B376D8"/>
    <w:rsid w:val="00B4124C"/>
    <w:rsid w:val="00B43528"/>
    <w:rsid w:val="00B43926"/>
    <w:rsid w:val="00B479C0"/>
    <w:rsid w:val="00B50383"/>
    <w:rsid w:val="00B52687"/>
    <w:rsid w:val="00B549B3"/>
    <w:rsid w:val="00B56FEC"/>
    <w:rsid w:val="00B57718"/>
    <w:rsid w:val="00B61DB6"/>
    <w:rsid w:val="00B63083"/>
    <w:rsid w:val="00B632A0"/>
    <w:rsid w:val="00B64219"/>
    <w:rsid w:val="00B674DD"/>
    <w:rsid w:val="00B745E4"/>
    <w:rsid w:val="00B7579E"/>
    <w:rsid w:val="00B75D73"/>
    <w:rsid w:val="00B76240"/>
    <w:rsid w:val="00B770A7"/>
    <w:rsid w:val="00B7754E"/>
    <w:rsid w:val="00B83316"/>
    <w:rsid w:val="00B8694C"/>
    <w:rsid w:val="00B9507B"/>
    <w:rsid w:val="00B956B6"/>
    <w:rsid w:val="00BA2B23"/>
    <w:rsid w:val="00BB3986"/>
    <w:rsid w:val="00BB47E1"/>
    <w:rsid w:val="00BB48B7"/>
    <w:rsid w:val="00BB717A"/>
    <w:rsid w:val="00BC0455"/>
    <w:rsid w:val="00BC0C22"/>
    <w:rsid w:val="00BC3A9B"/>
    <w:rsid w:val="00BC47F4"/>
    <w:rsid w:val="00BC4962"/>
    <w:rsid w:val="00BC6114"/>
    <w:rsid w:val="00BC784D"/>
    <w:rsid w:val="00BC7D50"/>
    <w:rsid w:val="00BD42D0"/>
    <w:rsid w:val="00BD6ACC"/>
    <w:rsid w:val="00BD6B34"/>
    <w:rsid w:val="00BD79B2"/>
    <w:rsid w:val="00BD7F9B"/>
    <w:rsid w:val="00BE1CD1"/>
    <w:rsid w:val="00BE7809"/>
    <w:rsid w:val="00BF057A"/>
    <w:rsid w:val="00C000CD"/>
    <w:rsid w:val="00C012AD"/>
    <w:rsid w:val="00C01671"/>
    <w:rsid w:val="00C01F2D"/>
    <w:rsid w:val="00C0616C"/>
    <w:rsid w:val="00C06FC3"/>
    <w:rsid w:val="00C10E8D"/>
    <w:rsid w:val="00C115A9"/>
    <w:rsid w:val="00C169B5"/>
    <w:rsid w:val="00C16A37"/>
    <w:rsid w:val="00C170F0"/>
    <w:rsid w:val="00C223D7"/>
    <w:rsid w:val="00C265DC"/>
    <w:rsid w:val="00C26B16"/>
    <w:rsid w:val="00C27CB8"/>
    <w:rsid w:val="00C30084"/>
    <w:rsid w:val="00C31C00"/>
    <w:rsid w:val="00C32689"/>
    <w:rsid w:val="00C32FDE"/>
    <w:rsid w:val="00C34787"/>
    <w:rsid w:val="00C40853"/>
    <w:rsid w:val="00C4129C"/>
    <w:rsid w:val="00C42BF8"/>
    <w:rsid w:val="00C51B35"/>
    <w:rsid w:val="00C5276E"/>
    <w:rsid w:val="00C53F5F"/>
    <w:rsid w:val="00C6063F"/>
    <w:rsid w:val="00C60644"/>
    <w:rsid w:val="00C6083F"/>
    <w:rsid w:val="00C60D3E"/>
    <w:rsid w:val="00C62524"/>
    <w:rsid w:val="00C62F6E"/>
    <w:rsid w:val="00C64999"/>
    <w:rsid w:val="00C72732"/>
    <w:rsid w:val="00C73C21"/>
    <w:rsid w:val="00C83461"/>
    <w:rsid w:val="00C84BE4"/>
    <w:rsid w:val="00C8658B"/>
    <w:rsid w:val="00C86B5A"/>
    <w:rsid w:val="00C87D2E"/>
    <w:rsid w:val="00C9003B"/>
    <w:rsid w:val="00C94149"/>
    <w:rsid w:val="00CA12E6"/>
    <w:rsid w:val="00CA27E2"/>
    <w:rsid w:val="00CB0AEA"/>
    <w:rsid w:val="00CB13AD"/>
    <w:rsid w:val="00CB436C"/>
    <w:rsid w:val="00CB694C"/>
    <w:rsid w:val="00CC1FDD"/>
    <w:rsid w:val="00CC2968"/>
    <w:rsid w:val="00CC447E"/>
    <w:rsid w:val="00CC716D"/>
    <w:rsid w:val="00CC7E10"/>
    <w:rsid w:val="00CD1CCB"/>
    <w:rsid w:val="00CD2901"/>
    <w:rsid w:val="00CD3119"/>
    <w:rsid w:val="00CD730E"/>
    <w:rsid w:val="00CD7E41"/>
    <w:rsid w:val="00CE005E"/>
    <w:rsid w:val="00CE0817"/>
    <w:rsid w:val="00CE2C5C"/>
    <w:rsid w:val="00CE6D5D"/>
    <w:rsid w:val="00CF16F0"/>
    <w:rsid w:val="00CF282B"/>
    <w:rsid w:val="00D00734"/>
    <w:rsid w:val="00D0731E"/>
    <w:rsid w:val="00D14155"/>
    <w:rsid w:val="00D16A21"/>
    <w:rsid w:val="00D16D21"/>
    <w:rsid w:val="00D1703D"/>
    <w:rsid w:val="00D204C4"/>
    <w:rsid w:val="00D212D5"/>
    <w:rsid w:val="00D26936"/>
    <w:rsid w:val="00D31655"/>
    <w:rsid w:val="00D323C9"/>
    <w:rsid w:val="00D332D5"/>
    <w:rsid w:val="00D3550F"/>
    <w:rsid w:val="00D404C8"/>
    <w:rsid w:val="00D405D0"/>
    <w:rsid w:val="00D41B28"/>
    <w:rsid w:val="00D42F48"/>
    <w:rsid w:val="00D43D45"/>
    <w:rsid w:val="00D470E1"/>
    <w:rsid w:val="00D47732"/>
    <w:rsid w:val="00D50A3D"/>
    <w:rsid w:val="00D5196D"/>
    <w:rsid w:val="00D537AF"/>
    <w:rsid w:val="00D53A1C"/>
    <w:rsid w:val="00D54237"/>
    <w:rsid w:val="00D55AEA"/>
    <w:rsid w:val="00D60F06"/>
    <w:rsid w:val="00D62165"/>
    <w:rsid w:val="00D63093"/>
    <w:rsid w:val="00D64075"/>
    <w:rsid w:val="00D669F8"/>
    <w:rsid w:val="00D669FF"/>
    <w:rsid w:val="00D67DB0"/>
    <w:rsid w:val="00D71654"/>
    <w:rsid w:val="00D77A23"/>
    <w:rsid w:val="00D8086C"/>
    <w:rsid w:val="00D821EB"/>
    <w:rsid w:val="00D828EB"/>
    <w:rsid w:val="00D845AD"/>
    <w:rsid w:val="00D84D5B"/>
    <w:rsid w:val="00D90299"/>
    <w:rsid w:val="00D95DD8"/>
    <w:rsid w:val="00D97B1F"/>
    <w:rsid w:val="00D97EBB"/>
    <w:rsid w:val="00DA5801"/>
    <w:rsid w:val="00DB03DD"/>
    <w:rsid w:val="00DB0BF7"/>
    <w:rsid w:val="00DB225C"/>
    <w:rsid w:val="00DB2757"/>
    <w:rsid w:val="00DB48EE"/>
    <w:rsid w:val="00DB512E"/>
    <w:rsid w:val="00DB63DE"/>
    <w:rsid w:val="00DB6E1B"/>
    <w:rsid w:val="00DB6F68"/>
    <w:rsid w:val="00DB743F"/>
    <w:rsid w:val="00DC1BC1"/>
    <w:rsid w:val="00DC25B7"/>
    <w:rsid w:val="00DC2E56"/>
    <w:rsid w:val="00DC4C0F"/>
    <w:rsid w:val="00DC621B"/>
    <w:rsid w:val="00DC7B48"/>
    <w:rsid w:val="00DD2C8D"/>
    <w:rsid w:val="00DD4D4D"/>
    <w:rsid w:val="00DD5ED4"/>
    <w:rsid w:val="00DD5FD9"/>
    <w:rsid w:val="00DE2102"/>
    <w:rsid w:val="00DE3EBD"/>
    <w:rsid w:val="00DE6BC4"/>
    <w:rsid w:val="00DE6C5D"/>
    <w:rsid w:val="00DE6E7D"/>
    <w:rsid w:val="00DE7E77"/>
    <w:rsid w:val="00DF15D2"/>
    <w:rsid w:val="00DF3B82"/>
    <w:rsid w:val="00DF3D9C"/>
    <w:rsid w:val="00DF5554"/>
    <w:rsid w:val="00E0006D"/>
    <w:rsid w:val="00E10594"/>
    <w:rsid w:val="00E116CB"/>
    <w:rsid w:val="00E23B93"/>
    <w:rsid w:val="00E2446A"/>
    <w:rsid w:val="00E25CE9"/>
    <w:rsid w:val="00E30AD2"/>
    <w:rsid w:val="00E30D86"/>
    <w:rsid w:val="00E32543"/>
    <w:rsid w:val="00E33A22"/>
    <w:rsid w:val="00E34B8D"/>
    <w:rsid w:val="00E35A32"/>
    <w:rsid w:val="00E36142"/>
    <w:rsid w:val="00E3716D"/>
    <w:rsid w:val="00E37C96"/>
    <w:rsid w:val="00E456DE"/>
    <w:rsid w:val="00E45839"/>
    <w:rsid w:val="00E4766B"/>
    <w:rsid w:val="00E5346C"/>
    <w:rsid w:val="00E5499E"/>
    <w:rsid w:val="00E54B71"/>
    <w:rsid w:val="00E55D68"/>
    <w:rsid w:val="00E60295"/>
    <w:rsid w:val="00E62F93"/>
    <w:rsid w:val="00E64DBF"/>
    <w:rsid w:val="00E65CA0"/>
    <w:rsid w:val="00E7073F"/>
    <w:rsid w:val="00E71AF5"/>
    <w:rsid w:val="00E7315E"/>
    <w:rsid w:val="00E75083"/>
    <w:rsid w:val="00E75092"/>
    <w:rsid w:val="00E762A7"/>
    <w:rsid w:val="00E86051"/>
    <w:rsid w:val="00E91FD7"/>
    <w:rsid w:val="00E9540B"/>
    <w:rsid w:val="00E96E9D"/>
    <w:rsid w:val="00E97540"/>
    <w:rsid w:val="00EA0C83"/>
    <w:rsid w:val="00EA3077"/>
    <w:rsid w:val="00EB0557"/>
    <w:rsid w:val="00EB2116"/>
    <w:rsid w:val="00EB3A44"/>
    <w:rsid w:val="00EB5C82"/>
    <w:rsid w:val="00EB6120"/>
    <w:rsid w:val="00EB63D7"/>
    <w:rsid w:val="00EC2CBA"/>
    <w:rsid w:val="00EC3391"/>
    <w:rsid w:val="00ED5352"/>
    <w:rsid w:val="00ED66A1"/>
    <w:rsid w:val="00ED79B6"/>
    <w:rsid w:val="00EE2A0E"/>
    <w:rsid w:val="00EE724A"/>
    <w:rsid w:val="00EE7956"/>
    <w:rsid w:val="00EE7E73"/>
    <w:rsid w:val="00EF0B1A"/>
    <w:rsid w:val="00EF18EF"/>
    <w:rsid w:val="00EF215C"/>
    <w:rsid w:val="00EF3761"/>
    <w:rsid w:val="00EF41FA"/>
    <w:rsid w:val="00EF4880"/>
    <w:rsid w:val="00EF5F2C"/>
    <w:rsid w:val="00EF5FA2"/>
    <w:rsid w:val="00EF6398"/>
    <w:rsid w:val="00F01EA1"/>
    <w:rsid w:val="00F10221"/>
    <w:rsid w:val="00F10DA7"/>
    <w:rsid w:val="00F12574"/>
    <w:rsid w:val="00F126E8"/>
    <w:rsid w:val="00F16E4B"/>
    <w:rsid w:val="00F1745A"/>
    <w:rsid w:val="00F24BDD"/>
    <w:rsid w:val="00F31D6E"/>
    <w:rsid w:val="00F41A60"/>
    <w:rsid w:val="00F422BD"/>
    <w:rsid w:val="00F45E31"/>
    <w:rsid w:val="00F50450"/>
    <w:rsid w:val="00F507D9"/>
    <w:rsid w:val="00F545FE"/>
    <w:rsid w:val="00F55ABE"/>
    <w:rsid w:val="00F605CF"/>
    <w:rsid w:val="00F616FA"/>
    <w:rsid w:val="00F663EC"/>
    <w:rsid w:val="00F6723E"/>
    <w:rsid w:val="00F67A0C"/>
    <w:rsid w:val="00F67F4A"/>
    <w:rsid w:val="00F72CA5"/>
    <w:rsid w:val="00F8009D"/>
    <w:rsid w:val="00F81C26"/>
    <w:rsid w:val="00F8703D"/>
    <w:rsid w:val="00F95B21"/>
    <w:rsid w:val="00F97C13"/>
    <w:rsid w:val="00FA3B06"/>
    <w:rsid w:val="00FA71FC"/>
    <w:rsid w:val="00FB5E38"/>
    <w:rsid w:val="00FB7ABA"/>
    <w:rsid w:val="00FC0A45"/>
    <w:rsid w:val="00FC25EC"/>
    <w:rsid w:val="00FC4DF1"/>
    <w:rsid w:val="00FC4E4D"/>
    <w:rsid w:val="00FC5AEB"/>
    <w:rsid w:val="00FD58FF"/>
    <w:rsid w:val="00FE262C"/>
    <w:rsid w:val="00FE2E6D"/>
    <w:rsid w:val="00FE5339"/>
    <w:rsid w:val="00FE6B54"/>
    <w:rsid w:val="00FF12B4"/>
    <w:rsid w:val="00FF1B67"/>
    <w:rsid w:val="00FF25D1"/>
    <w:rsid w:val="00FF2F44"/>
    <w:rsid w:val="00FF48EB"/>
    <w:rsid w:val="00FF7EDC"/>
    <w:rsid w:val="15DFBC6A"/>
    <w:rsid w:val="19B5FAAC"/>
    <w:rsid w:val="1E7BEC69"/>
    <w:rsid w:val="29FB6723"/>
    <w:rsid w:val="2BFD7834"/>
    <w:rsid w:val="37E7E965"/>
    <w:rsid w:val="3B7F0DC6"/>
    <w:rsid w:val="3BCBA3CD"/>
    <w:rsid w:val="3DB7F85E"/>
    <w:rsid w:val="3DFB78F3"/>
    <w:rsid w:val="3DFF1F5D"/>
    <w:rsid w:val="3E5B1D1E"/>
    <w:rsid w:val="3E7389DD"/>
    <w:rsid w:val="3FE76BC1"/>
    <w:rsid w:val="3FF758C5"/>
    <w:rsid w:val="411B66E8"/>
    <w:rsid w:val="4DDFF739"/>
    <w:rsid w:val="4FED57DE"/>
    <w:rsid w:val="4FF78FE7"/>
    <w:rsid w:val="51752615"/>
    <w:rsid w:val="55DE70D5"/>
    <w:rsid w:val="57FDCED7"/>
    <w:rsid w:val="57FF1544"/>
    <w:rsid w:val="5DCFD48F"/>
    <w:rsid w:val="5DEFD795"/>
    <w:rsid w:val="5DFF7681"/>
    <w:rsid w:val="5EAEDEF1"/>
    <w:rsid w:val="5FDF883F"/>
    <w:rsid w:val="5FF7F8E8"/>
    <w:rsid w:val="5FFEDF2F"/>
    <w:rsid w:val="642F09AD"/>
    <w:rsid w:val="6773C46A"/>
    <w:rsid w:val="677D9E6C"/>
    <w:rsid w:val="69EA8A46"/>
    <w:rsid w:val="6B97397C"/>
    <w:rsid w:val="6CF93FD9"/>
    <w:rsid w:val="6DEEF7A3"/>
    <w:rsid w:val="6F7ABD8B"/>
    <w:rsid w:val="6F7F4928"/>
    <w:rsid w:val="717E7E3F"/>
    <w:rsid w:val="73BDE6B5"/>
    <w:rsid w:val="73F9AA4F"/>
    <w:rsid w:val="75D7ABC0"/>
    <w:rsid w:val="76F6E737"/>
    <w:rsid w:val="76FFE4FB"/>
    <w:rsid w:val="77575BD0"/>
    <w:rsid w:val="776F5C6C"/>
    <w:rsid w:val="77DF304C"/>
    <w:rsid w:val="77FC2C8A"/>
    <w:rsid w:val="78EF4114"/>
    <w:rsid w:val="7B7BC354"/>
    <w:rsid w:val="7BDE92A3"/>
    <w:rsid w:val="7C1F309C"/>
    <w:rsid w:val="7CBFA836"/>
    <w:rsid w:val="7DD5DF48"/>
    <w:rsid w:val="7E766CAB"/>
    <w:rsid w:val="7EAF9454"/>
    <w:rsid w:val="7EBDE580"/>
    <w:rsid w:val="7EFE6555"/>
    <w:rsid w:val="7F5DFC4C"/>
    <w:rsid w:val="7F5F320E"/>
    <w:rsid w:val="7FB6611A"/>
    <w:rsid w:val="7FBF7B3C"/>
    <w:rsid w:val="7FDF9EF8"/>
    <w:rsid w:val="7FF70E5A"/>
    <w:rsid w:val="7FFF63B8"/>
    <w:rsid w:val="99FF5D8B"/>
    <w:rsid w:val="9B7FCA31"/>
    <w:rsid w:val="9FFF6A47"/>
    <w:rsid w:val="ABFE0D12"/>
    <w:rsid w:val="B26E4FA5"/>
    <w:rsid w:val="B35FC498"/>
    <w:rsid w:val="B37EF111"/>
    <w:rsid w:val="B7D7ACD3"/>
    <w:rsid w:val="BDFDEEEF"/>
    <w:rsid w:val="BF7F72F4"/>
    <w:rsid w:val="BFDDB114"/>
    <w:rsid w:val="BFFBFD6E"/>
    <w:rsid w:val="C5B7FFB8"/>
    <w:rsid w:val="C85EB08F"/>
    <w:rsid w:val="CEF9A390"/>
    <w:rsid w:val="D0F720C2"/>
    <w:rsid w:val="D6DF72F1"/>
    <w:rsid w:val="D7F4E0A3"/>
    <w:rsid w:val="DABD89F4"/>
    <w:rsid w:val="DE7F3FE3"/>
    <w:rsid w:val="DF3A8CDF"/>
    <w:rsid w:val="DF77CDF7"/>
    <w:rsid w:val="DFFC81A5"/>
    <w:rsid w:val="DFFE7707"/>
    <w:rsid w:val="E47C151F"/>
    <w:rsid w:val="E63FC3B3"/>
    <w:rsid w:val="E63FF4A6"/>
    <w:rsid w:val="EBDF7355"/>
    <w:rsid w:val="EE9AA5EC"/>
    <w:rsid w:val="EFAA50D3"/>
    <w:rsid w:val="EFEBF6B5"/>
    <w:rsid w:val="F5DD4DC0"/>
    <w:rsid w:val="F67F2376"/>
    <w:rsid w:val="F6BE0E16"/>
    <w:rsid w:val="F76F8B08"/>
    <w:rsid w:val="F7DFD19E"/>
    <w:rsid w:val="F7FF9884"/>
    <w:rsid w:val="FBDD304B"/>
    <w:rsid w:val="FCFD4AE4"/>
    <w:rsid w:val="FD7FFCA0"/>
    <w:rsid w:val="FEDBCED0"/>
    <w:rsid w:val="FEF6AB93"/>
    <w:rsid w:val="FEF6DF0D"/>
    <w:rsid w:val="FEFB9899"/>
    <w:rsid w:val="FF1FA964"/>
    <w:rsid w:val="FFA4F7F6"/>
    <w:rsid w:val="FFD24958"/>
    <w:rsid w:val="FFEF8A76"/>
    <w:rsid w:val="FFEFB0EA"/>
    <w:rsid w:val="FFFDFB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link w:val="12"/>
    <w:unhideWhenUsed/>
    <w:qFormat/>
    <w:uiPriority w:val="1"/>
    <w:pPr>
      <w:spacing w:after="120"/>
    </w:pPr>
  </w:style>
  <w:style w:type="paragraph" w:styleId="5">
    <w:name w:val="Balloon Text"/>
    <w:basedOn w:val="1"/>
    <w:link w:val="13"/>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qFormat/>
    <w:uiPriority w:val="0"/>
    <w:rPr>
      <w:color w:val="0000FF"/>
      <w:u w:val="single"/>
    </w:rPr>
  </w:style>
  <w:style w:type="character" w:customStyle="1" w:styleId="12">
    <w:name w:val="正文文本 Char"/>
    <w:link w:val="4"/>
    <w:qFormat/>
    <w:uiPriority w:val="1"/>
    <w:rPr>
      <w:rFonts w:ascii="Calibri" w:hAnsi="Calibri"/>
      <w:kern w:val="2"/>
      <w:sz w:val="21"/>
      <w:szCs w:val="24"/>
    </w:rPr>
  </w:style>
  <w:style w:type="character" w:customStyle="1" w:styleId="13">
    <w:name w:val="批注框文本 Char"/>
    <w:link w:val="5"/>
    <w:qFormat/>
    <w:uiPriority w:val="0"/>
    <w:rPr>
      <w:rFonts w:ascii="Calibri" w:hAnsi="Calibri"/>
      <w:kern w:val="2"/>
      <w:sz w:val="18"/>
      <w:szCs w:val="18"/>
    </w:rPr>
  </w:style>
  <w:style w:type="character" w:customStyle="1" w:styleId="14">
    <w:name w:val="页脚 Char"/>
    <w:link w:val="6"/>
    <w:qFormat/>
    <w:uiPriority w:val="99"/>
    <w:rPr>
      <w:rFonts w:ascii="Calibri" w:hAnsi="Calibri"/>
      <w:kern w:val="2"/>
      <w:sz w:val="18"/>
      <w:szCs w:val="18"/>
    </w:rPr>
  </w:style>
  <w:style w:type="character" w:customStyle="1" w:styleId="15">
    <w:name w:val="页眉 Char"/>
    <w:link w:val="7"/>
    <w:qFormat/>
    <w:uiPriority w:val="0"/>
    <w:rPr>
      <w:rFonts w:ascii="Calibri" w:hAnsi="Calibri"/>
      <w:kern w:val="2"/>
      <w:sz w:val="18"/>
      <w:szCs w:val="18"/>
    </w:rPr>
  </w:style>
  <w:style w:type="paragraph" w:customStyle="1" w:styleId="16">
    <w:name w:val="BodyText"/>
    <w:next w:val="1"/>
    <w:qFormat/>
    <w:uiPriority w:val="0"/>
    <w:pPr>
      <w:widowControl w:val="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1077</Words>
  <Characters>6139</Characters>
  <Lines>51</Lines>
  <Paragraphs>14</Paragraphs>
  <TotalTime>4</TotalTime>
  <ScaleCrop>false</ScaleCrop>
  <LinksUpToDate>false</LinksUpToDate>
  <CharactersWithSpaces>7202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2024-12-27T15:08:00Z</dcterms:created>
  <dc:creator>huanghe</dc:creator>
  <cp:lastModifiedBy>huanghe</cp:lastModifiedBy>
  <cp:lastPrinted>2025-02-28T21:03:00Z</cp:lastPrinted>
  <dcterms:modified xsi:type="dcterms:W3CDTF">2025-04-27T11:36:53Z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