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5446" w14:textId="77777777" w:rsidR="001F71DD" w:rsidRDefault="00997FB0">
      <w:pPr>
        <w:tabs>
          <w:tab w:val="left" w:pos="7380"/>
          <w:tab w:val="left" w:pos="7560"/>
        </w:tabs>
        <w:spacing w:line="594"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6B9CF3B1" w14:textId="77777777" w:rsidR="001F71DD" w:rsidRDefault="001F71DD">
      <w:pPr>
        <w:widowControl/>
        <w:adjustRightInd w:val="0"/>
        <w:snapToGrid w:val="0"/>
        <w:spacing w:line="640" w:lineRule="exact"/>
        <w:jc w:val="center"/>
        <w:rPr>
          <w:rFonts w:ascii="宋体" w:eastAsia="宋体" w:hAnsi="宋体" w:cs="宋体"/>
          <w:b/>
          <w:bCs/>
          <w:color w:val="000000"/>
          <w:kern w:val="0"/>
          <w:sz w:val="44"/>
          <w:szCs w:val="44"/>
          <w:lang w:bidi="ar"/>
        </w:rPr>
      </w:pPr>
    </w:p>
    <w:p w14:paraId="7F3DCD93" w14:textId="77777777" w:rsidR="001F71DD" w:rsidRDefault="00997FB0">
      <w:pPr>
        <w:widowControl/>
        <w:adjustRightInd w:val="0"/>
        <w:snapToGrid w:val="0"/>
        <w:spacing w:line="640" w:lineRule="exact"/>
        <w:jc w:val="center"/>
        <w:rPr>
          <w:rFonts w:ascii="宋体" w:eastAsia="宋体" w:hAnsi="宋体" w:cs="宋体"/>
          <w:b/>
          <w:bCs/>
          <w:color w:val="000000"/>
          <w:kern w:val="0"/>
          <w:sz w:val="44"/>
          <w:szCs w:val="44"/>
          <w:lang w:bidi="ar"/>
        </w:rPr>
      </w:pPr>
      <w:r>
        <w:rPr>
          <w:rFonts w:ascii="宋体" w:eastAsia="宋体" w:hAnsi="宋体" w:cs="宋体" w:hint="eastAsia"/>
          <w:b/>
          <w:bCs/>
          <w:color w:val="000000"/>
          <w:kern w:val="0"/>
          <w:sz w:val="44"/>
          <w:szCs w:val="44"/>
          <w:lang w:bidi="ar"/>
        </w:rPr>
        <w:t>吉林省药品监督管理局关于进一步</w:t>
      </w:r>
    </w:p>
    <w:p w14:paraId="01047F69" w14:textId="77777777" w:rsidR="001F71DD" w:rsidRDefault="00997FB0">
      <w:pPr>
        <w:widowControl/>
        <w:adjustRightInd w:val="0"/>
        <w:snapToGrid w:val="0"/>
        <w:spacing w:line="640" w:lineRule="exact"/>
        <w:jc w:val="center"/>
        <w:rPr>
          <w:rFonts w:ascii="宋体" w:eastAsia="宋体" w:hAnsi="宋体" w:cs="宋体"/>
          <w:b/>
          <w:bCs/>
          <w:color w:val="000000"/>
          <w:kern w:val="0"/>
          <w:sz w:val="44"/>
          <w:szCs w:val="44"/>
          <w:lang w:bidi="ar"/>
        </w:rPr>
      </w:pPr>
      <w:r>
        <w:rPr>
          <w:rFonts w:ascii="宋体" w:eastAsia="宋体" w:hAnsi="宋体" w:cs="宋体" w:hint="eastAsia"/>
          <w:b/>
          <w:bCs/>
          <w:color w:val="000000"/>
          <w:kern w:val="0"/>
          <w:sz w:val="44"/>
          <w:szCs w:val="44"/>
          <w:lang w:bidi="ar"/>
        </w:rPr>
        <w:t>做好药品经营监督管理有关工作通告</w:t>
      </w:r>
    </w:p>
    <w:p w14:paraId="24988E20" w14:textId="77777777" w:rsidR="001F71DD" w:rsidRDefault="00997FB0">
      <w:pPr>
        <w:widowControl/>
        <w:adjustRightInd w:val="0"/>
        <w:snapToGrid w:val="0"/>
        <w:spacing w:line="640" w:lineRule="exact"/>
        <w:jc w:val="center"/>
        <w:rPr>
          <w:rFonts w:ascii="宋体" w:eastAsia="宋体" w:hAnsi="宋体" w:cs="宋体"/>
          <w:b/>
          <w:bCs/>
          <w:color w:val="000000"/>
          <w:kern w:val="0"/>
          <w:sz w:val="44"/>
          <w:szCs w:val="44"/>
          <w:lang w:bidi="ar"/>
        </w:rPr>
      </w:pPr>
      <w:r>
        <w:rPr>
          <w:rFonts w:ascii="宋体" w:eastAsia="宋体" w:hAnsi="宋体" w:cs="宋体" w:hint="eastAsia"/>
          <w:b/>
          <w:bCs/>
          <w:color w:val="000000"/>
          <w:kern w:val="0"/>
          <w:sz w:val="44"/>
          <w:szCs w:val="44"/>
          <w:lang w:bidi="ar"/>
        </w:rPr>
        <w:t>（征求意见稿）</w:t>
      </w:r>
    </w:p>
    <w:p w14:paraId="0B913733" w14:textId="77777777" w:rsidR="001F71DD" w:rsidRDefault="00997FB0">
      <w:pPr>
        <w:widowControl/>
        <w:adjustRightInd w:val="0"/>
        <w:snapToGrid w:val="0"/>
        <w:spacing w:line="360" w:lineRule="auto"/>
        <w:jc w:val="center"/>
        <w:rPr>
          <w:rFonts w:ascii="仿宋" w:eastAsia="仿宋" w:hAnsi="仿宋" w:cs="仿宋"/>
          <w:color w:val="000000"/>
          <w:kern w:val="0"/>
          <w:sz w:val="44"/>
          <w:szCs w:val="44"/>
          <w:lang w:bidi="ar"/>
        </w:rPr>
      </w:pP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2025</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第</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号</w:t>
      </w:r>
    </w:p>
    <w:p w14:paraId="5CFF48C6" w14:textId="77777777" w:rsidR="001F71DD" w:rsidRDefault="00997FB0">
      <w:pPr>
        <w:widowControl/>
        <w:adjustRightInd w:val="0"/>
        <w:snapToGrid w:val="0"/>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依据《中华人民共和国药品管理法》，为认真贯彻实施《药品经营和使用质量监督管理办法》（国家市场监督管理总局令第</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号）（以下简称《办法》）和《药品经营质量管理规范》有关要求，在严格执行《国家药监局关于进一步做好药品经营监督管理有关工作的公告》（</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年第</w:t>
      </w:r>
      <w:r>
        <w:rPr>
          <w:rFonts w:ascii="仿宋" w:eastAsia="仿宋" w:hAnsi="仿宋" w:cs="仿宋" w:hint="eastAsia"/>
          <w:color w:val="000000"/>
          <w:kern w:val="0"/>
          <w:sz w:val="32"/>
          <w:szCs w:val="32"/>
          <w:lang w:bidi="ar"/>
        </w:rPr>
        <w:t>48</w:t>
      </w:r>
      <w:r>
        <w:rPr>
          <w:rFonts w:ascii="仿宋" w:eastAsia="仿宋" w:hAnsi="仿宋" w:cs="仿宋" w:hint="eastAsia"/>
          <w:color w:val="000000"/>
          <w:kern w:val="0"/>
          <w:sz w:val="32"/>
          <w:szCs w:val="32"/>
          <w:lang w:bidi="ar"/>
        </w:rPr>
        <w:t>号）（以下简称《公告》）相关规定的基础上，现将进一步做好我省药品经营监督管理有关工作通告如下：</w:t>
      </w:r>
    </w:p>
    <w:p w14:paraId="4897C0B0" w14:textId="77777777" w:rsidR="001F71DD" w:rsidRDefault="00997FB0">
      <w:pPr>
        <w:widowControl/>
        <w:numPr>
          <w:ilvl w:val="0"/>
          <w:numId w:val="1"/>
        </w:numPr>
        <w:adjustRightInd w:val="0"/>
        <w:snapToGrid w:val="0"/>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申请新开办药品批发企业的应当具有</w:t>
      </w:r>
      <w:r>
        <w:rPr>
          <w:rFonts w:ascii="仿宋" w:eastAsia="仿宋" w:hAnsi="仿宋" w:cs="仿宋" w:hint="eastAsia"/>
          <w:kern w:val="0"/>
          <w:sz w:val="32"/>
          <w:szCs w:val="32"/>
          <w:lang w:bidi="ar"/>
        </w:rPr>
        <w:t>与其经营品种和规模相适应的自营仓库、营业场所和设施设备，由本企业人员自行运营管理</w:t>
      </w:r>
      <w:r>
        <w:rPr>
          <w:rFonts w:ascii="仿宋" w:eastAsia="仿宋" w:hAnsi="仿宋" w:cs="仿宋" w:hint="eastAsia"/>
          <w:color w:val="000000"/>
          <w:kern w:val="0"/>
          <w:sz w:val="32"/>
          <w:szCs w:val="32"/>
          <w:lang w:bidi="ar"/>
        </w:rPr>
        <w:t>且</w:t>
      </w:r>
      <w:r>
        <w:rPr>
          <w:rFonts w:ascii="仿宋" w:eastAsia="仿宋" w:hAnsi="仿宋" w:cs="仿宋" w:hint="eastAsia"/>
          <w:kern w:val="0"/>
          <w:sz w:val="32"/>
          <w:szCs w:val="32"/>
          <w:lang w:bidi="ar"/>
        </w:rPr>
        <w:t>符合药品经营质量管理规范的要求，自营仓库、营</w:t>
      </w:r>
      <w:r>
        <w:rPr>
          <w:rFonts w:ascii="仿宋" w:eastAsia="仿宋" w:hAnsi="仿宋" w:cs="仿宋" w:hint="eastAsia"/>
          <w:kern w:val="0"/>
          <w:sz w:val="32"/>
          <w:szCs w:val="32"/>
          <w:lang w:bidi="ar"/>
        </w:rPr>
        <w:t>业场所可自有产权也可以租赁（租赁期需超过</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年，含</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年），仓库应具备实现药品入库、传送、分拣、上架、出库等操作的符合国家规定的现代物流设施设备。仓库和经营地址应当在同一市级行政区域内。仓库面积应与经营规模和经营品种相适应，库房应当建在地上且在同一地点的独立平面仓间，面积不少于</w:t>
      </w:r>
      <w:r>
        <w:rPr>
          <w:rFonts w:ascii="仿宋" w:eastAsia="仿宋" w:hAnsi="仿宋" w:cs="仿宋" w:hint="eastAsia"/>
          <w:kern w:val="0"/>
          <w:sz w:val="32"/>
          <w:szCs w:val="32"/>
          <w:lang w:bidi="ar"/>
        </w:rPr>
        <w:t>1500</w:t>
      </w:r>
      <w:r>
        <w:rPr>
          <w:rFonts w:ascii="仿宋" w:eastAsia="仿宋" w:hAnsi="仿宋" w:cs="仿宋" w:hint="eastAsia"/>
          <w:kern w:val="0"/>
          <w:sz w:val="32"/>
          <w:szCs w:val="32"/>
          <w:lang w:bidi="ar"/>
        </w:rPr>
        <w:t>平方米；批发企业库房</w:t>
      </w:r>
      <w:r>
        <w:rPr>
          <w:rFonts w:ascii="仿宋" w:eastAsia="仿宋" w:hAnsi="仿宋" w:cs="仿宋" w:hint="eastAsia"/>
          <w:kern w:val="0"/>
          <w:sz w:val="32"/>
          <w:szCs w:val="32"/>
          <w:lang w:bidi="ar"/>
        </w:rPr>
        <w:lastRenderedPageBreak/>
        <w:t>举架应当不低于</w:t>
      </w:r>
      <w:r>
        <w:rPr>
          <w:rFonts w:ascii="仿宋" w:eastAsia="仿宋" w:hAnsi="仿宋" w:cs="仿宋" w:hint="eastAsia"/>
          <w:kern w:val="0"/>
          <w:sz w:val="32"/>
          <w:szCs w:val="32"/>
          <w:lang w:bidi="ar"/>
        </w:rPr>
        <w:t>4.5</w:t>
      </w:r>
      <w:r>
        <w:rPr>
          <w:rFonts w:ascii="仿宋" w:eastAsia="仿宋" w:hAnsi="仿宋" w:cs="仿宋" w:hint="eastAsia"/>
          <w:kern w:val="0"/>
          <w:sz w:val="32"/>
          <w:szCs w:val="32"/>
          <w:lang w:bidi="ar"/>
        </w:rPr>
        <w:t>米</w:t>
      </w:r>
      <w:r>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（在原库房地址外增加库房面积的与新开办条件相同）。专营中药饮片的批发企业，库房面积应当不少于</w:t>
      </w:r>
      <w:r>
        <w:rPr>
          <w:rFonts w:ascii="仿宋" w:eastAsia="仿宋" w:hAnsi="仿宋" w:cs="仿宋" w:hint="eastAsia"/>
          <w:kern w:val="0"/>
          <w:sz w:val="32"/>
          <w:szCs w:val="32"/>
          <w:lang w:bidi="ar"/>
        </w:rPr>
        <w:t>1000</w:t>
      </w:r>
      <w:r>
        <w:rPr>
          <w:rFonts w:ascii="仿宋" w:eastAsia="仿宋" w:hAnsi="仿宋" w:cs="仿宋" w:hint="eastAsia"/>
          <w:kern w:val="0"/>
          <w:sz w:val="32"/>
          <w:szCs w:val="32"/>
          <w:lang w:bidi="ar"/>
        </w:rPr>
        <w:t>平方米；三方代储企业库房应当为独立立体仓间，面积不得少于</w:t>
      </w:r>
      <w:r>
        <w:rPr>
          <w:rFonts w:ascii="仿宋" w:eastAsia="仿宋" w:hAnsi="仿宋" w:cs="仿宋" w:hint="eastAsia"/>
          <w:kern w:val="0"/>
          <w:sz w:val="32"/>
          <w:szCs w:val="32"/>
          <w:lang w:bidi="ar"/>
        </w:rPr>
        <w:t>10000</w:t>
      </w:r>
      <w:r>
        <w:rPr>
          <w:rFonts w:ascii="仿宋" w:eastAsia="仿宋" w:hAnsi="仿宋" w:cs="仿宋" w:hint="eastAsia"/>
          <w:kern w:val="0"/>
          <w:sz w:val="32"/>
          <w:szCs w:val="32"/>
          <w:lang w:bidi="ar"/>
        </w:rPr>
        <w:t>平</w:t>
      </w:r>
      <w:r>
        <w:rPr>
          <w:rFonts w:ascii="仿宋" w:eastAsia="仿宋" w:hAnsi="仿宋" w:cs="仿宋" w:hint="eastAsia"/>
          <w:kern w:val="0"/>
          <w:sz w:val="32"/>
          <w:szCs w:val="32"/>
          <w:lang w:bidi="ar"/>
        </w:rPr>
        <w:t>方米</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且同一平层面</w:t>
      </w:r>
      <w:r>
        <w:rPr>
          <w:rFonts w:ascii="仿宋" w:eastAsia="仿宋" w:hAnsi="仿宋" w:cs="仿宋" w:hint="eastAsia"/>
          <w:kern w:val="0"/>
          <w:sz w:val="32"/>
          <w:szCs w:val="32"/>
          <w:lang w:bidi="ar"/>
        </w:rPr>
        <w:t>积不得少于</w:t>
      </w:r>
      <w:r>
        <w:rPr>
          <w:rFonts w:ascii="仿宋" w:eastAsia="仿宋" w:hAnsi="仿宋" w:cs="仿宋" w:hint="eastAsia"/>
          <w:kern w:val="0"/>
          <w:sz w:val="32"/>
          <w:szCs w:val="32"/>
          <w:lang w:bidi="ar"/>
        </w:rPr>
        <w:t>2000</w:t>
      </w:r>
      <w:r>
        <w:rPr>
          <w:rFonts w:ascii="仿宋" w:eastAsia="仿宋" w:hAnsi="仿宋" w:cs="仿宋" w:hint="eastAsia"/>
          <w:kern w:val="0"/>
          <w:sz w:val="32"/>
          <w:szCs w:val="32"/>
          <w:lang w:bidi="ar"/>
        </w:rPr>
        <w:t>平方米。（经营中药</w:t>
      </w:r>
      <w:r>
        <w:rPr>
          <w:rFonts w:ascii="仿宋" w:eastAsia="仿宋" w:hAnsi="仿宋" w:cs="仿宋" w:hint="eastAsia"/>
          <w:kern w:val="0"/>
          <w:sz w:val="32"/>
          <w:szCs w:val="32"/>
          <w:lang w:bidi="ar"/>
        </w:rPr>
        <w:t>饮片的应当有专用库房，库房总面积</w:t>
      </w:r>
      <w:r>
        <w:rPr>
          <w:rFonts w:ascii="仿宋" w:eastAsia="仿宋" w:hAnsi="仿宋" w:cs="仿宋" w:hint="eastAsia"/>
          <w:kern w:val="0"/>
          <w:sz w:val="32"/>
          <w:szCs w:val="32"/>
          <w:lang w:bidi="ar"/>
        </w:rPr>
        <w:t>不得少于</w:t>
      </w:r>
      <w:r>
        <w:rPr>
          <w:rFonts w:ascii="仿宋" w:eastAsia="仿宋" w:hAnsi="仿宋" w:cs="仿宋" w:hint="eastAsia"/>
          <w:kern w:val="0"/>
          <w:sz w:val="32"/>
          <w:szCs w:val="32"/>
          <w:lang w:bidi="ar"/>
        </w:rPr>
        <w:t>500</w:t>
      </w:r>
      <w:r>
        <w:rPr>
          <w:rFonts w:ascii="仿宋" w:eastAsia="仿宋" w:hAnsi="仿宋" w:cs="仿宋" w:hint="eastAsia"/>
          <w:kern w:val="0"/>
          <w:sz w:val="32"/>
          <w:szCs w:val="32"/>
          <w:lang w:bidi="ar"/>
        </w:rPr>
        <w:t>平方米；经营冷藏、冷冻药品的，应当至少设置</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个冷库，冷库总容积不得小于</w:t>
      </w:r>
      <w:r>
        <w:rPr>
          <w:rFonts w:ascii="仿宋" w:eastAsia="仿宋" w:hAnsi="仿宋" w:cs="仿宋" w:hint="eastAsia"/>
          <w:kern w:val="0"/>
          <w:sz w:val="32"/>
          <w:szCs w:val="32"/>
          <w:lang w:bidi="ar"/>
        </w:rPr>
        <w:t>200</w:t>
      </w:r>
      <w:r>
        <w:rPr>
          <w:rFonts w:ascii="仿宋" w:eastAsia="仿宋" w:hAnsi="仿宋" w:cs="仿宋" w:hint="eastAsia"/>
          <w:kern w:val="0"/>
          <w:sz w:val="32"/>
          <w:szCs w:val="32"/>
          <w:lang w:bidi="ar"/>
        </w:rPr>
        <w:t>立方米），运输车辆应当满足运输要求。零售连锁总部门店不少于</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家，门</w:t>
      </w:r>
      <w:proofErr w:type="gramStart"/>
      <w:r>
        <w:rPr>
          <w:rFonts w:ascii="仿宋" w:eastAsia="仿宋" w:hAnsi="仿宋" w:cs="仿宋" w:hint="eastAsia"/>
          <w:kern w:val="0"/>
          <w:sz w:val="32"/>
          <w:szCs w:val="32"/>
          <w:lang w:bidi="ar"/>
        </w:rPr>
        <w:t>店应当</w:t>
      </w:r>
      <w:proofErr w:type="gramEnd"/>
      <w:r>
        <w:rPr>
          <w:rFonts w:ascii="仿宋" w:eastAsia="仿宋" w:hAnsi="仿宋" w:cs="仿宋" w:hint="eastAsia"/>
          <w:kern w:val="0"/>
          <w:sz w:val="32"/>
          <w:szCs w:val="32"/>
          <w:lang w:bidi="ar"/>
        </w:rPr>
        <w:t>有一年以上连续经营数据，总部库房面积不少于</w:t>
      </w:r>
      <w:r>
        <w:rPr>
          <w:rFonts w:ascii="仿宋" w:eastAsia="仿宋" w:hAnsi="仿宋" w:cs="仿宋" w:hint="eastAsia"/>
          <w:kern w:val="0"/>
          <w:sz w:val="32"/>
          <w:szCs w:val="32"/>
          <w:lang w:bidi="ar"/>
        </w:rPr>
        <w:t>500</w:t>
      </w:r>
      <w:r>
        <w:rPr>
          <w:rFonts w:ascii="仿宋" w:eastAsia="仿宋" w:hAnsi="仿宋" w:cs="仿宋" w:hint="eastAsia"/>
          <w:kern w:val="0"/>
          <w:sz w:val="32"/>
          <w:szCs w:val="32"/>
          <w:lang w:bidi="ar"/>
        </w:rPr>
        <w:t>平方米。应有保证药品质量的质量管理制度以及覆盖药品经营、质量控制和</w:t>
      </w:r>
      <w:proofErr w:type="gramStart"/>
      <w:r>
        <w:rPr>
          <w:rFonts w:ascii="仿宋" w:eastAsia="仿宋" w:hAnsi="仿宋" w:cs="仿宋" w:hint="eastAsia"/>
          <w:kern w:val="0"/>
          <w:sz w:val="32"/>
          <w:szCs w:val="32"/>
          <w:lang w:bidi="ar"/>
        </w:rPr>
        <w:t>追溯全</w:t>
      </w:r>
      <w:proofErr w:type="gramEnd"/>
      <w:r>
        <w:rPr>
          <w:rFonts w:ascii="仿宋" w:eastAsia="仿宋" w:hAnsi="仿宋" w:cs="仿宋" w:hint="eastAsia"/>
          <w:kern w:val="0"/>
          <w:sz w:val="32"/>
          <w:szCs w:val="32"/>
          <w:lang w:bidi="ar"/>
        </w:rPr>
        <w:t>过程的信息管理系统，并符合药品经营质量管理规范要求。企业信息管理系统应当包括但不限于企业资源计划管理系统（</w:t>
      </w:r>
      <w:r>
        <w:rPr>
          <w:rFonts w:ascii="仿宋" w:eastAsia="仿宋" w:hAnsi="仿宋" w:cs="仿宋" w:hint="eastAsia"/>
          <w:kern w:val="0"/>
          <w:sz w:val="32"/>
          <w:szCs w:val="32"/>
          <w:lang w:bidi="ar"/>
        </w:rPr>
        <w:t>ERP</w:t>
      </w:r>
      <w:r>
        <w:rPr>
          <w:rFonts w:ascii="仿宋" w:eastAsia="仿宋" w:hAnsi="仿宋" w:cs="仿宋" w:hint="eastAsia"/>
          <w:kern w:val="0"/>
          <w:sz w:val="32"/>
          <w:szCs w:val="32"/>
          <w:lang w:bidi="ar"/>
        </w:rPr>
        <w:t>）、仓储管理系统（</w:t>
      </w:r>
      <w:r>
        <w:rPr>
          <w:rFonts w:ascii="仿宋" w:eastAsia="仿宋" w:hAnsi="仿宋" w:cs="仿宋" w:hint="eastAsia"/>
          <w:kern w:val="0"/>
          <w:sz w:val="32"/>
          <w:szCs w:val="32"/>
          <w:lang w:bidi="ar"/>
        </w:rPr>
        <w:t>WMS</w:t>
      </w:r>
      <w:r>
        <w:rPr>
          <w:rFonts w:ascii="仿宋" w:eastAsia="仿宋" w:hAnsi="仿宋" w:cs="仿宋" w:hint="eastAsia"/>
          <w:kern w:val="0"/>
          <w:sz w:val="32"/>
          <w:szCs w:val="32"/>
          <w:lang w:bidi="ar"/>
        </w:rPr>
        <w:t>）、设备控制系统（</w:t>
      </w:r>
      <w:r>
        <w:rPr>
          <w:rFonts w:ascii="仿宋" w:eastAsia="仿宋" w:hAnsi="仿宋" w:cs="仿宋" w:hint="eastAsia"/>
          <w:kern w:val="0"/>
          <w:sz w:val="32"/>
          <w:szCs w:val="32"/>
          <w:lang w:bidi="ar"/>
        </w:rPr>
        <w:t>WCS</w:t>
      </w:r>
      <w:r>
        <w:rPr>
          <w:rFonts w:ascii="仿宋" w:eastAsia="仿宋" w:hAnsi="仿宋" w:cs="仿宋" w:hint="eastAsia"/>
          <w:kern w:val="0"/>
          <w:sz w:val="32"/>
          <w:szCs w:val="32"/>
          <w:lang w:bidi="ar"/>
        </w:rPr>
        <w:t>）、运输管理系统（</w:t>
      </w:r>
      <w:r>
        <w:rPr>
          <w:rFonts w:ascii="仿宋" w:eastAsia="仿宋" w:hAnsi="仿宋" w:cs="仿宋" w:hint="eastAsia"/>
          <w:kern w:val="0"/>
          <w:sz w:val="32"/>
          <w:szCs w:val="32"/>
          <w:lang w:bidi="ar"/>
        </w:rPr>
        <w:t>TMS</w:t>
      </w:r>
      <w:r>
        <w:rPr>
          <w:rFonts w:ascii="仿宋" w:eastAsia="仿宋" w:hAnsi="仿宋" w:cs="仿宋" w:hint="eastAsia"/>
          <w:kern w:val="0"/>
          <w:sz w:val="32"/>
          <w:szCs w:val="32"/>
          <w:lang w:bidi="ar"/>
        </w:rPr>
        <w:t>）、温湿度自动监测系统、药品追溯系统等。企业应</w:t>
      </w:r>
      <w:r>
        <w:rPr>
          <w:rFonts w:ascii="仿宋" w:eastAsia="仿宋" w:hAnsi="仿宋" w:cs="仿宋" w:hint="eastAsia"/>
          <w:kern w:val="0"/>
          <w:sz w:val="32"/>
          <w:szCs w:val="32"/>
          <w:lang w:bidi="ar"/>
        </w:rPr>
        <w:t>当通过信息化手段实现各系统之间的数据实时对接、交互、可追溯。</w:t>
      </w:r>
    </w:p>
    <w:p w14:paraId="00C7FF8D" w14:textId="77777777" w:rsidR="001F71DD" w:rsidRDefault="00997FB0">
      <w:pPr>
        <w:widowControl/>
        <w:adjustRightInd w:val="0"/>
        <w:snapToGrid w:val="0"/>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kern w:val="0"/>
          <w:sz w:val="32"/>
          <w:szCs w:val="32"/>
          <w:lang w:bidi="ar"/>
        </w:rPr>
        <w:t>吉林省内批发企业（体外诊断试剂专营企业、放射性药品经营企业除外）和零售连锁总部原则上应当在</w:t>
      </w:r>
      <w:r>
        <w:rPr>
          <w:rFonts w:ascii="仿宋" w:eastAsia="仿宋" w:hAnsi="仿宋" w:cs="仿宋" w:hint="eastAsia"/>
          <w:kern w:val="0"/>
          <w:sz w:val="32"/>
          <w:szCs w:val="32"/>
          <w:lang w:bidi="ar"/>
        </w:rPr>
        <w:t>2026</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12</w:t>
      </w:r>
      <w:r>
        <w:rPr>
          <w:rFonts w:ascii="仿宋" w:eastAsia="仿宋" w:hAnsi="仿宋" w:cs="仿宋" w:hint="eastAsia"/>
          <w:kern w:val="0"/>
          <w:sz w:val="32"/>
          <w:szCs w:val="32"/>
          <w:lang w:bidi="ar"/>
        </w:rPr>
        <w:t>月</w:t>
      </w:r>
      <w:r>
        <w:rPr>
          <w:rFonts w:ascii="仿宋" w:eastAsia="仿宋" w:hAnsi="仿宋" w:cs="仿宋" w:hint="eastAsia"/>
          <w:kern w:val="0"/>
          <w:sz w:val="32"/>
          <w:szCs w:val="32"/>
          <w:lang w:bidi="ar"/>
        </w:rPr>
        <w:t>31</w:t>
      </w:r>
      <w:r>
        <w:rPr>
          <w:rFonts w:ascii="仿宋" w:eastAsia="仿宋" w:hAnsi="仿宋" w:cs="仿宋" w:hint="eastAsia"/>
          <w:kern w:val="0"/>
          <w:sz w:val="32"/>
          <w:szCs w:val="32"/>
          <w:lang w:bidi="ar"/>
        </w:rPr>
        <w:t>日前，全部达到该要求。鼓励新开办药品批发</w:t>
      </w:r>
      <w:r>
        <w:rPr>
          <w:rFonts w:ascii="仿宋" w:eastAsia="仿宋" w:hAnsi="仿宋" w:cs="仿宋" w:hint="eastAsia"/>
          <w:color w:val="000000"/>
          <w:kern w:val="0"/>
          <w:sz w:val="32"/>
          <w:szCs w:val="32"/>
          <w:lang w:bidi="ar"/>
        </w:rPr>
        <w:t>企业整合现有资</w:t>
      </w:r>
      <w:r>
        <w:rPr>
          <w:rFonts w:ascii="仿宋" w:eastAsia="仿宋" w:hAnsi="仿宋" w:cs="仿宋" w:hint="eastAsia"/>
          <w:color w:val="000000"/>
          <w:kern w:val="0"/>
          <w:sz w:val="32"/>
          <w:szCs w:val="32"/>
          <w:lang w:bidi="ar"/>
        </w:rPr>
        <w:t>源，提升行业集中度和管理现代化水平。申请新开办药品零售连锁总部的，应当符合《办法》第九条的要求。</w:t>
      </w:r>
    </w:p>
    <w:p w14:paraId="13A36F02" w14:textId="77777777" w:rsidR="001F71DD" w:rsidRDefault="00997FB0">
      <w:pPr>
        <w:widowControl/>
        <w:adjustRightInd w:val="0"/>
        <w:snapToGrid w:val="0"/>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二、申请新开办药品零售企业（仅销售乙类非处方药的除外）的，应当符合《办法》第十条规定，配备与经营规模</w:t>
      </w:r>
      <w:r>
        <w:rPr>
          <w:rFonts w:ascii="仿宋" w:eastAsia="仿宋" w:hAnsi="仿宋" w:cs="仿宋" w:hint="eastAsia"/>
          <w:color w:val="000000"/>
          <w:kern w:val="0"/>
          <w:sz w:val="32"/>
          <w:szCs w:val="32"/>
          <w:lang w:bidi="ar"/>
        </w:rPr>
        <w:lastRenderedPageBreak/>
        <w:t>和经营品种相适应的执业药师或者其他依法经过资格认定的药学技术人员。执业药师应当在岗履职，</w:t>
      </w:r>
      <w:r>
        <w:rPr>
          <w:rFonts w:ascii="仿宋" w:eastAsia="仿宋" w:hAnsi="仿宋" w:cs="仿宋" w:hint="eastAsia"/>
          <w:color w:val="000000"/>
          <w:kern w:val="0"/>
          <w:sz w:val="32"/>
          <w:szCs w:val="32"/>
          <w:lang w:bidi="ar"/>
        </w:rPr>
        <w:t>严禁《执业药师注册证》挂靠。申请经营血液制品、细胞治疗类生物制品的药品零售企业，应当具备与经营品种相适应的质量保证能力和产品信息化追溯能力。经营细胞治疗类生物制品的药品零售企业还应当具备与指定医疗机构电子处方信息互联互通的条件，配备的执业药师应当具有临床医学、预防医学、免疫学、微生物学等专业本科以上学历，并经过相关产品上市许可持有人培训考核。</w:t>
      </w:r>
    </w:p>
    <w:p w14:paraId="7FE66EB3"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三、药品经营许可证有效期届满，申请重新审查发证的</w:t>
      </w:r>
    </w:p>
    <w:p w14:paraId="4631BF9A" w14:textId="77777777" w:rsidR="001F71DD" w:rsidRDefault="00997FB0">
      <w:pPr>
        <w:widowControl/>
        <w:adjustRightInd w:val="0"/>
        <w:snapToGrid w:val="0"/>
        <w:spacing w:line="600" w:lineRule="exact"/>
        <w:jc w:val="left"/>
        <w:rPr>
          <w:rFonts w:ascii="仿宋" w:eastAsia="仿宋" w:hAnsi="仿宋" w:cs="仿宋"/>
          <w:color w:val="0000FF"/>
          <w:kern w:val="0"/>
          <w:sz w:val="32"/>
          <w:szCs w:val="32"/>
          <w:lang w:bidi="ar"/>
        </w:rPr>
      </w:pPr>
      <w:r>
        <w:rPr>
          <w:rFonts w:ascii="仿宋" w:eastAsia="仿宋" w:hAnsi="仿宋" w:cs="仿宋" w:hint="eastAsia"/>
          <w:color w:val="000000"/>
          <w:kern w:val="0"/>
          <w:sz w:val="32"/>
          <w:szCs w:val="32"/>
          <w:lang w:bidi="ar"/>
        </w:rPr>
        <w:t>药品批发企业，原则上应当达到《办法》有关要求。</w:t>
      </w:r>
    </w:p>
    <w:p w14:paraId="7D904ED5"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四、药品经营企业经营地址应当是企业实施药品经营行为的实际地点，经营地</w:t>
      </w:r>
      <w:r>
        <w:rPr>
          <w:rFonts w:ascii="仿宋" w:eastAsia="仿宋" w:hAnsi="仿宋" w:cs="仿宋" w:hint="eastAsia"/>
          <w:color w:val="000000"/>
          <w:kern w:val="0"/>
          <w:sz w:val="32"/>
          <w:szCs w:val="32"/>
          <w:lang w:bidi="ar"/>
        </w:rPr>
        <w:t>址应当具体、准确。</w:t>
      </w:r>
    </w:p>
    <w:p w14:paraId="242D440E"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五、药品经营许可证载明的“企业负责人”项调整为“主要负责人”，法定代表人、主要负责人对药品经营活动全面负责。</w:t>
      </w:r>
    </w:p>
    <w:p w14:paraId="77989E88"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六、药品批发企业许可证不再载明“中药材”经营范围；取得化学药经营范围的，可以经营化学原料药。</w:t>
      </w:r>
    </w:p>
    <w:p w14:paraId="3506B241"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七、从事药品零售活动的，应当先核定经营类别，确定经营处方药、甲类非处方药、乙类非处方药的资格并在经营范围中予以明确，再核定具体经营范围。药品零售企业经营血液制品、细胞治疗类生物制品的，应当按照国家有关规定执行，取得相应经营许可；对于《办法》实施前核发的具有</w:t>
      </w:r>
      <w:r>
        <w:rPr>
          <w:rFonts w:ascii="仿宋" w:eastAsia="仿宋" w:hAnsi="仿宋" w:cs="仿宋" w:hint="eastAsia"/>
          <w:color w:val="000000"/>
          <w:kern w:val="0"/>
          <w:sz w:val="32"/>
          <w:szCs w:val="32"/>
          <w:lang w:bidi="ar"/>
        </w:rPr>
        <w:lastRenderedPageBreak/>
        <w:t>生物制品经营范围且经营血液制品的</w:t>
      </w:r>
      <w:r>
        <w:rPr>
          <w:rFonts w:ascii="仿宋" w:eastAsia="仿宋" w:hAnsi="仿宋" w:cs="仿宋" w:hint="eastAsia"/>
          <w:color w:val="000000"/>
          <w:kern w:val="0"/>
          <w:sz w:val="32"/>
          <w:szCs w:val="32"/>
          <w:lang w:bidi="ar"/>
        </w:rPr>
        <w:t>药品零售企业，应当于</w:t>
      </w:r>
      <w:r>
        <w:rPr>
          <w:rFonts w:ascii="仿宋" w:eastAsia="仿宋" w:hAnsi="仿宋" w:cs="仿宋" w:hint="eastAsia"/>
          <w:color w:val="000000"/>
          <w:kern w:val="0"/>
          <w:sz w:val="32"/>
          <w:szCs w:val="32"/>
          <w:lang w:bidi="ar"/>
        </w:rPr>
        <w:t>2025</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日前取得血液制品经营范围。</w:t>
      </w:r>
    </w:p>
    <w:p w14:paraId="5CF1425A" w14:textId="77777777" w:rsidR="001F71DD" w:rsidRDefault="00997FB0">
      <w:pPr>
        <w:pStyle w:val="a5"/>
        <w:widowControl/>
        <w:adjustRightInd w:val="0"/>
        <w:snapToGrid w:val="0"/>
        <w:spacing w:beforeAutospacing="0" w:afterAutospacing="0" w:line="600" w:lineRule="exact"/>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八、药品零售连锁企业应严格执行统一企业标识、规章制度、计算机系统、人员培训、采购配送、票据管理、药学服务标准规范等“七统一”要求。药品零售连锁企业应当由总部统一采购药品，统一由总部的配送中心直接配送至下辖连锁门店，药品零售连锁企业总部不得零售药品。连锁门店只能接收和销售总部统一采购配送的药品，不得直接从药品上市许可持有人、其他药品批发企业等渠道购进药品。按照《办法》第四十五、四十六条规定委托储存、配送的，总部应当对受托企业进行审核把关和统一管理。</w:t>
      </w:r>
    </w:p>
    <w:p w14:paraId="2E8B4F43" w14:textId="77777777" w:rsidR="001F71DD" w:rsidRDefault="00997FB0">
      <w:pPr>
        <w:widowControl/>
        <w:adjustRightInd w:val="0"/>
        <w:snapToGrid w:val="0"/>
        <w:spacing w:line="600" w:lineRule="exact"/>
        <w:ind w:firstLineChars="200" w:firstLine="640"/>
        <w:jc w:val="left"/>
        <w:rPr>
          <w:rFonts w:ascii="仿宋" w:eastAsia="仿宋" w:hAnsi="仿宋" w:cs="仿宋"/>
          <w:b/>
          <w:bCs/>
          <w:color w:val="000000"/>
          <w:kern w:val="0"/>
          <w:sz w:val="32"/>
          <w:szCs w:val="32"/>
          <w:lang w:bidi="ar"/>
        </w:rPr>
      </w:pPr>
      <w:r>
        <w:rPr>
          <w:rFonts w:ascii="仿宋" w:eastAsia="仿宋" w:hAnsi="仿宋" w:cs="仿宋" w:hint="eastAsia"/>
          <w:color w:val="000000"/>
          <w:kern w:val="0"/>
          <w:sz w:val="32"/>
          <w:szCs w:val="32"/>
          <w:lang w:bidi="ar"/>
        </w:rPr>
        <w:t>同一法人主体的药品批发企业和药品零售连锁企业应当依据药品经营质量管理规范，分别建立药品批发和零售质量管理体系，配备符合药品经营全过程管理和质量控制要求的计算机系统，设置可满足批发和零售连锁经营实际需求的仓库，并采取有效措施防止药品混淆与差错。</w:t>
      </w:r>
    </w:p>
    <w:p w14:paraId="316C8BA4" w14:textId="77777777" w:rsidR="001F71DD" w:rsidRDefault="00997FB0">
      <w:pPr>
        <w:adjustRightInd w:val="0"/>
        <w:snapToGrid w:val="0"/>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九、连锁企业门店为网络零售主体，总部不得向个人销售药品，药品零售连锁企业门店可以委托总部进行网络零售药品的储存配送，由总部库房（自有库房或总部委托的第三方药品储存配送服务企业库房）发货。</w:t>
      </w:r>
    </w:p>
    <w:p w14:paraId="2C35E54D"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十、药品零售企业可以按照药品储存要求设置自助售药机销售乙类非处方药；自助售药</w:t>
      </w:r>
      <w:proofErr w:type="gramStart"/>
      <w:r>
        <w:rPr>
          <w:rFonts w:ascii="仿宋" w:eastAsia="仿宋" w:hAnsi="仿宋" w:cs="仿宋" w:hint="eastAsia"/>
          <w:sz w:val="32"/>
          <w:szCs w:val="32"/>
        </w:rPr>
        <w:t>机不</w:t>
      </w:r>
      <w:r>
        <w:rPr>
          <w:rFonts w:ascii="仿宋" w:eastAsia="仿宋" w:hAnsi="仿宋" w:cs="仿宋" w:hint="eastAsia"/>
          <w:sz w:val="32"/>
          <w:szCs w:val="32"/>
        </w:rPr>
        <w:t>得</w:t>
      </w:r>
      <w:proofErr w:type="gramEnd"/>
      <w:r>
        <w:rPr>
          <w:rFonts w:ascii="仿宋" w:eastAsia="仿宋" w:hAnsi="仿宋" w:cs="仿宋" w:hint="eastAsia"/>
          <w:sz w:val="32"/>
          <w:szCs w:val="32"/>
        </w:rPr>
        <w:t>销售甲类非处方药和处方药。自助售药机放置地址在许可证“经营地址”项下注</w:t>
      </w:r>
      <w:r>
        <w:rPr>
          <w:rFonts w:ascii="仿宋" w:eastAsia="仿宋" w:hAnsi="仿宋" w:cs="仿宋" w:hint="eastAsia"/>
          <w:sz w:val="32"/>
          <w:szCs w:val="32"/>
        </w:rPr>
        <w:lastRenderedPageBreak/>
        <w:t>明；自助售药机发生变动的</w:t>
      </w:r>
      <w:r>
        <w:rPr>
          <w:rFonts w:ascii="仿宋" w:eastAsia="仿宋" w:hAnsi="仿宋" w:cs="仿宋" w:hint="eastAsia"/>
          <w:sz w:val="32"/>
          <w:szCs w:val="32"/>
        </w:rPr>
        <w:t>(</w:t>
      </w:r>
      <w:r>
        <w:rPr>
          <w:rFonts w:ascii="仿宋" w:eastAsia="仿宋" w:hAnsi="仿宋" w:cs="仿宋" w:hint="eastAsia"/>
          <w:sz w:val="32"/>
          <w:szCs w:val="32"/>
        </w:rPr>
        <w:t>包括新增、减少、</w:t>
      </w:r>
      <w:r>
        <w:rPr>
          <w:rFonts w:ascii="仿宋" w:eastAsia="仿宋" w:hAnsi="仿宋" w:cs="仿宋" w:hint="eastAsia"/>
          <w:sz w:val="32"/>
          <w:szCs w:val="32"/>
        </w:rPr>
        <w:t xml:space="preserve"> </w:t>
      </w:r>
      <w:r>
        <w:rPr>
          <w:rFonts w:ascii="仿宋" w:eastAsia="仿宋" w:hAnsi="仿宋" w:cs="仿宋" w:hint="eastAsia"/>
          <w:sz w:val="32"/>
          <w:szCs w:val="32"/>
        </w:rPr>
        <w:t>撤除自助售药机</w:t>
      </w:r>
      <w:r>
        <w:rPr>
          <w:rFonts w:ascii="仿宋" w:eastAsia="仿宋" w:hAnsi="仿宋" w:cs="仿宋" w:hint="eastAsia"/>
          <w:sz w:val="32"/>
          <w:szCs w:val="32"/>
        </w:rPr>
        <w:t>),</w:t>
      </w:r>
      <w:r>
        <w:rPr>
          <w:rFonts w:ascii="仿宋" w:eastAsia="仿宋" w:hAnsi="仿宋" w:cs="仿宋" w:hint="eastAsia"/>
          <w:sz w:val="32"/>
          <w:szCs w:val="32"/>
        </w:rPr>
        <w:t>应当办理相应许可变更。</w:t>
      </w:r>
      <w:r>
        <w:rPr>
          <w:rFonts w:ascii="仿宋" w:eastAsia="仿宋" w:hAnsi="仿宋" w:cs="仿宋" w:hint="eastAsia"/>
          <w:sz w:val="32"/>
          <w:szCs w:val="32"/>
        </w:rPr>
        <w:t xml:space="preserve"> </w:t>
      </w:r>
    </w:p>
    <w:p w14:paraId="2AAA82D5"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药品零售企业使用自助售药机销售乙类非处方药的，应当建立自助售药管理制度，包括维护、检查、保养和使用等制度；配备专人负责日常检查和维护；建立计算机系统并能够实现自助售药的数量、有效期、销售等管理和追溯。自助售药</w:t>
      </w:r>
      <w:proofErr w:type="gramStart"/>
      <w:r>
        <w:rPr>
          <w:rFonts w:ascii="仿宋" w:eastAsia="仿宋" w:hAnsi="仿宋" w:cs="仿宋" w:hint="eastAsia"/>
          <w:sz w:val="32"/>
          <w:szCs w:val="32"/>
        </w:rPr>
        <w:t>机应当</w:t>
      </w:r>
      <w:proofErr w:type="gramEnd"/>
      <w:r>
        <w:rPr>
          <w:rFonts w:ascii="仿宋" w:eastAsia="仿宋" w:hAnsi="仿宋" w:cs="仿宋" w:hint="eastAsia"/>
          <w:sz w:val="32"/>
          <w:szCs w:val="32"/>
        </w:rPr>
        <w:t>具备温湿度自动监测与记录功能，能够实时采集、监测、记录温湿度；销售的药品应当建立销售记录并自动打印销售凭证，销售记录及凭证应包含药品通用名</w:t>
      </w:r>
      <w:r>
        <w:rPr>
          <w:rFonts w:ascii="仿宋" w:eastAsia="仿宋" w:hAnsi="仿宋" w:cs="仿宋" w:hint="eastAsia"/>
          <w:sz w:val="32"/>
          <w:szCs w:val="32"/>
        </w:rPr>
        <w:t>称、药品上市许可持有人（中药饮片标明生产企业、产地）、受托生产企业</w:t>
      </w:r>
      <w:r>
        <w:rPr>
          <w:rFonts w:ascii="仿宋" w:eastAsia="仿宋" w:hAnsi="仿宋" w:cs="仿宋" w:hint="eastAsia"/>
          <w:sz w:val="32"/>
          <w:szCs w:val="32"/>
        </w:rPr>
        <w:t>(</w:t>
      </w:r>
      <w:r>
        <w:rPr>
          <w:rFonts w:ascii="仿宋" w:eastAsia="仿宋" w:hAnsi="仿宋" w:cs="仿宋" w:hint="eastAsia"/>
          <w:sz w:val="32"/>
          <w:szCs w:val="32"/>
        </w:rPr>
        <w:t>如有</w:t>
      </w:r>
      <w:r>
        <w:rPr>
          <w:rFonts w:ascii="仿宋" w:eastAsia="仿宋" w:hAnsi="仿宋" w:cs="仿宋" w:hint="eastAsia"/>
          <w:sz w:val="32"/>
          <w:szCs w:val="32"/>
        </w:rPr>
        <w:t>)</w:t>
      </w:r>
      <w:r>
        <w:rPr>
          <w:rFonts w:ascii="仿宋" w:eastAsia="仿宋" w:hAnsi="仿宋" w:cs="仿宋" w:hint="eastAsia"/>
          <w:sz w:val="32"/>
          <w:szCs w:val="32"/>
        </w:rPr>
        <w:t>、产品批号、剂型、规格、销售数量、销售价格、销售数量、销售日期、药品零售企业名称等内容。</w:t>
      </w:r>
    </w:p>
    <w:p w14:paraId="6A69E045"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市（州）药品监管部门要按照快捷、简易、便利原则认真研究制定乙类非处方药自</w:t>
      </w:r>
      <w:r>
        <w:rPr>
          <w:rFonts w:ascii="仿宋" w:eastAsia="仿宋" w:hAnsi="仿宋" w:cs="仿宋" w:hint="eastAsia"/>
          <w:sz w:val="32"/>
          <w:szCs w:val="32"/>
        </w:rPr>
        <w:t>助</w:t>
      </w:r>
      <w:r>
        <w:rPr>
          <w:rFonts w:ascii="仿宋" w:eastAsia="仿宋" w:hAnsi="仿宋" w:cs="仿宋" w:hint="eastAsia"/>
          <w:sz w:val="32"/>
          <w:szCs w:val="32"/>
        </w:rPr>
        <w:t>售药机的设置标准，并强化监管和服务。</w:t>
      </w:r>
    </w:p>
    <w:p w14:paraId="7ACDAE6D"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十一、药品批发企业委托储存药品的，应当在保留原批准设立的自营仓库基础上，依据《办法》第四十五条规定申请变更仓库地址。接受药品委托储存、运输的企业应具备第三方药品现代物流条件，符合《办法》《药品经营质量管理规范》相关规定。接受多家委托储存</w:t>
      </w:r>
      <w:r>
        <w:rPr>
          <w:rFonts w:ascii="仿宋" w:eastAsia="仿宋" w:hAnsi="仿宋" w:cs="仿宋" w:hint="eastAsia"/>
          <w:color w:val="000000"/>
          <w:kern w:val="0"/>
          <w:sz w:val="32"/>
          <w:szCs w:val="32"/>
          <w:lang w:bidi="ar"/>
        </w:rPr>
        <w:t>的企业，其质量管理体系及现代化物流设施设备应当与经营规模相适应，能够通过计算机系统及有效措施对药品进行明确区分、有效管理，确保药品可追溯。</w:t>
      </w:r>
      <w:r>
        <w:rPr>
          <w:rFonts w:ascii="仿宋" w:eastAsia="仿宋" w:hAnsi="仿宋" w:cs="仿宋" w:hint="eastAsia"/>
          <w:color w:val="000000"/>
          <w:kern w:val="0"/>
          <w:sz w:val="32"/>
          <w:szCs w:val="32"/>
          <w:lang w:bidi="ar"/>
        </w:rPr>
        <w:t xml:space="preserve"> </w:t>
      </w:r>
    </w:p>
    <w:p w14:paraId="3FA97300"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十二、药品上市许可持有人委托药品批发企业储存、销售的以及药品经营企业委托储存的，委托期限不得超过药品生产许可证、药品经营许可证的有效期。</w:t>
      </w:r>
    </w:p>
    <w:p w14:paraId="62AD93F3"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十三、支持批发企业有效整合仓储资源和运输资源，</w:t>
      </w:r>
      <w:proofErr w:type="gramStart"/>
      <w:r>
        <w:rPr>
          <w:rFonts w:ascii="仿宋" w:eastAsia="仿宋" w:hAnsi="仿宋" w:cs="仿宋" w:hint="eastAsia"/>
          <w:sz w:val="32"/>
          <w:szCs w:val="32"/>
        </w:rPr>
        <w:t>构建多仓协同</w:t>
      </w:r>
      <w:proofErr w:type="gramEnd"/>
      <w:r>
        <w:rPr>
          <w:rFonts w:ascii="仿宋" w:eastAsia="仿宋" w:hAnsi="仿宋" w:cs="仿宋" w:hint="eastAsia"/>
          <w:sz w:val="32"/>
          <w:szCs w:val="32"/>
        </w:rPr>
        <w:t>物流管理模式。允许按照省级炮制规范炮制的中药饮片可按规定跨省销售，按照国家药品标准生产的中药配方颗粒可直接跨省销售。</w:t>
      </w:r>
    </w:p>
    <w:p w14:paraId="3811C006" w14:textId="77777777" w:rsidR="001F71DD" w:rsidRDefault="00997FB0">
      <w:pPr>
        <w:widowControl/>
        <w:adjustRightInd w:val="0"/>
        <w:snapToGrid w:val="0"/>
        <w:spacing w:line="600" w:lineRule="exact"/>
        <w:ind w:firstLineChars="200" w:firstLine="640"/>
        <w:jc w:val="left"/>
        <w:rPr>
          <w:rFonts w:ascii="仿宋" w:eastAsia="仿宋" w:hAnsi="仿宋" w:cs="仿宋"/>
          <w:color w:val="0000FF"/>
          <w:sz w:val="32"/>
          <w:szCs w:val="32"/>
        </w:rPr>
      </w:pPr>
      <w:r>
        <w:rPr>
          <w:rFonts w:ascii="仿宋" w:eastAsia="仿宋" w:hAnsi="仿宋" w:cs="仿宋" w:hint="eastAsia"/>
          <w:sz w:val="32"/>
          <w:szCs w:val="32"/>
        </w:rPr>
        <w:t>十四、允许国家规定的药食同源目录中执行不同炮制规范的中药</w:t>
      </w:r>
      <w:r>
        <w:rPr>
          <w:rFonts w:ascii="仿宋" w:eastAsia="仿宋" w:hAnsi="仿宋" w:cs="仿宋" w:hint="eastAsia"/>
          <w:sz w:val="32"/>
          <w:szCs w:val="32"/>
        </w:rPr>
        <w:t>饮片可不凭处方开架销售。</w:t>
      </w:r>
    </w:p>
    <w:p w14:paraId="1C006B7E"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十五、鼓励药品经营企业开展首</w:t>
      </w:r>
      <w:proofErr w:type="gramStart"/>
      <w:r>
        <w:rPr>
          <w:rFonts w:ascii="仿宋" w:eastAsia="仿宋" w:hAnsi="仿宋" w:cs="仿宋" w:hint="eastAsia"/>
          <w:color w:val="000000"/>
          <w:kern w:val="0"/>
          <w:sz w:val="32"/>
          <w:szCs w:val="32"/>
          <w:lang w:bidi="ar"/>
        </w:rPr>
        <w:t>营资料</w:t>
      </w:r>
      <w:proofErr w:type="gramEnd"/>
      <w:r>
        <w:rPr>
          <w:rFonts w:ascii="仿宋" w:eastAsia="仿宋" w:hAnsi="仿宋" w:cs="仿宋" w:hint="eastAsia"/>
          <w:color w:val="000000"/>
          <w:kern w:val="0"/>
          <w:sz w:val="32"/>
          <w:szCs w:val="32"/>
          <w:lang w:bidi="ar"/>
        </w:rPr>
        <w:t>电子化交换与管理。加盖符合法律规定的电子签名或者电子印章的首营企业、首营品种、购货单位、检验报告等资质资料，与纸质资料具有同等效力。</w:t>
      </w:r>
    </w:p>
    <w:p w14:paraId="572874EC" w14:textId="77777777" w:rsidR="001F71DD" w:rsidRDefault="00997FB0">
      <w:pPr>
        <w:widowControl/>
        <w:adjustRightInd w:val="0"/>
        <w:snapToGrid w:val="0"/>
        <w:spacing w:line="60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十六、药品经营企业应当对国家药监局要求追溯的药品通过追溯系统进行追溯。提倡药品经营企业对其经营的其他赋码药品通过追溯系统进行追溯。</w:t>
      </w:r>
    </w:p>
    <w:p w14:paraId="461A6BC2"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十七、本通告自发布之日起施行。</w:t>
      </w:r>
      <w:r>
        <w:rPr>
          <w:rFonts w:ascii="仿宋" w:eastAsia="仿宋" w:hAnsi="仿宋" w:cs="仿宋" w:hint="eastAsia"/>
          <w:color w:val="000000"/>
          <w:kern w:val="0"/>
          <w:sz w:val="32"/>
          <w:szCs w:val="32"/>
          <w:lang w:bidi="ar"/>
        </w:rPr>
        <w:t xml:space="preserve"> </w:t>
      </w:r>
    </w:p>
    <w:p w14:paraId="7EA4CC23" w14:textId="77777777" w:rsidR="001F71DD" w:rsidRDefault="00997FB0">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特此通告。</w:t>
      </w:r>
      <w:r>
        <w:rPr>
          <w:rFonts w:ascii="仿宋" w:eastAsia="仿宋" w:hAnsi="仿宋" w:cs="仿宋" w:hint="eastAsia"/>
          <w:color w:val="000000"/>
          <w:kern w:val="0"/>
          <w:sz w:val="32"/>
          <w:szCs w:val="32"/>
          <w:lang w:bidi="ar"/>
        </w:rPr>
        <w:t xml:space="preserve"> </w:t>
      </w:r>
    </w:p>
    <w:p w14:paraId="133852AE" w14:textId="77777777" w:rsidR="001F71DD" w:rsidRDefault="001F71DD">
      <w:pPr>
        <w:widowControl/>
        <w:adjustRightInd w:val="0"/>
        <w:snapToGrid w:val="0"/>
        <w:spacing w:line="600" w:lineRule="exact"/>
        <w:ind w:firstLineChars="1400" w:firstLine="4480"/>
        <w:jc w:val="left"/>
        <w:rPr>
          <w:rFonts w:ascii="仿宋" w:eastAsia="仿宋" w:hAnsi="仿宋" w:cs="仿宋"/>
          <w:color w:val="000000"/>
          <w:kern w:val="0"/>
          <w:sz w:val="32"/>
          <w:szCs w:val="32"/>
          <w:lang w:bidi="ar"/>
        </w:rPr>
      </w:pPr>
    </w:p>
    <w:p w14:paraId="72C88957" w14:textId="77777777" w:rsidR="001F71DD" w:rsidRDefault="00997FB0" w:rsidP="00053E56">
      <w:pPr>
        <w:widowControl/>
        <w:adjustRightInd w:val="0"/>
        <w:snapToGrid w:val="0"/>
        <w:spacing w:line="600" w:lineRule="exact"/>
        <w:ind w:firstLineChars="1400" w:firstLine="4480"/>
        <w:jc w:val="right"/>
        <w:rPr>
          <w:rFonts w:ascii="仿宋" w:eastAsia="仿宋" w:hAnsi="仿宋" w:cs="仿宋"/>
          <w:sz w:val="32"/>
          <w:szCs w:val="32"/>
        </w:rPr>
      </w:pPr>
      <w:r>
        <w:rPr>
          <w:rFonts w:ascii="仿宋" w:eastAsia="仿宋" w:hAnsi="仿宋" w:cs="仿宋" w:hint="eastAsia"/>
          <w:color w:val="000000"/>
          <w:kern w:val="0"/>
          <w:sz w:val="32"/>
          <w:szCs w:val="32"/>
          <w:lang w:bidi="ar"/>
        </w:rPr>
        <w:t>吉林省药品监督管理局</w:t>
      </w:r>
      <w:r>
        <w:rPr>
          <w:rFonts w:ascii="仿宋" w:eastAsia="仿宋" w:hAnsi="仿宋" w:cs="仿宋" w:hint="eastAsia"/>
          <w:color w:val="000000"/>
          <w:kern w:val="0"/>
          <w:sz w:val="32"/>
          <w:szCs w:val="32"/>
          <w:lang w:bidi="ar"/>
        </w:rPr>
        <w:t xml:space="preserve"> </w:t>
      </w:r>
    </w:p>
    <w:p w14:paraId="1249CE49" w14:textId="77777777" w:rsidR="001F71DD" w:rsidRDefault="00997FB0" w:rsidP="00053E56">
      <w:pPr>
        <w:widowControl/>
        <w:adjustRightInd w:val="0"/>
        <w:snapToGrid w:val="0"/>
        <w:spacing w:line="600" w:lineRule="exact"/>
        <w:ind w:firstLineChars="1500" w:firstLine="4800"/>
        <w:jc w:val="right"/>
        <w:rPr>
          <w:rFonts w:ascii="仿宋" w:eastAsia="仿宋" w:hAnsi="仿宋" w:cs="仿宋"/>
          <w:sz w:val="32"/>
          <w:szCs w:val="32"/>
        </w:rPr>
      </w:pPr>
      <w:r>
        <w:rPr>
          <w:rFonts w:ascii="仿宋" w:eastAsia="仿宋" w:hAnsi="仿宋" w:cs="仿宋" w:hint="eastAsia"/>
          <w:color w:val="000000"/>
          <w:kern w:val="0"/>
          <w:sz w:val="32"/>
          <w:szCs w:val="32"/>
          <w:lang w:bidi="ar"/>
        </w:rPr>
        <w:t>2025</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日</w:t>
      </w:r>
    </w:p>
    <w:sectPr w:rsidR="001F71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1EEC" w14:textId="77777777" w:rsidR="00997FB0" w:rsidRDefault="00997FB0">
      <w:r>
        <w:separator/>
      </w:r>
    </w:p>
  </w:endnote>
  <w:endnote w:type="continuationSeparator" w:id="0">
    <w:p w14:paraId="1931B0B5" w14:textId="77777777" w:rsidR="00997FB0" w:rsidRDefault="0099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9DF3" w14:textId="77777777" w:rsidR="001F71DD" w:rsidRDefault="00997FB0">
    <w:pPr>
      <w:pStyle w:val="a4"/>
    </w:pPr>
    <w:r>
      <w:rPr>
        <w:noProof/>
      </w:rPr>
      <mc:AlternateContent>
        <mc:Choice Requires="wps">
          <w:drawing>
            <wp:anchor distT="0" distB="0" distL="114300" distR="114300" simplePos="0" relativeHeight="251659264" behindDoc="0" locked="0" layoutInCell="1" allowOverlap="1" wp14:anchorId="0F0A48A8" wp14:editId="18920D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9AD24" w14:textId="77777777" w:rsidR="001F71DD" w:rsidRDefault="00997FB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A48A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609AD24" w14:textId="77777777" w:rsidR="001F71DD" w:rsidRDefault="00997FB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A655" w14:textId="77777777" w:rsidR="00997FB0" w:rsidRDefault="00997FB0">
      <w:r>
        <w:separator/>
      </w:r>
    </w:p>
  </w:footnote>
  <w:footnote w:type="continuationSeparator" w:id="0">
    <w:p w14:paraId="0390C574" w14:textId="77777777" w:rsidR="00997FB0" w:rsidRDefault="0099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DCA63"/>
    <w:multiLevelType w:val="singleLevel"/>
    <w:tmpl w:val="F73DCA6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IxYWZkNmNhMzVkNzUwZTdkYWQzZDk1MzNmNmEyZjEifQ=="/>
  </w:docVars>
  <w:rsids>
    <w:rsidRoot w:val="005E271A"/>
    <w:rsid w:val="DF650DE7"/>
    <w:rsid w:val="DF6BF8E6"/>
    <w:rsid w:val="E7FE4B94"/>
    <w:rsid w:val="EAAE428A"/>
    <w:rsid w:val="EDD7AA75"/>
    <w:rsid w:val="EFFD9485"/>
    <w:rsid w:val="EFFF41E7"/>
    <w:rsid w:val="F65D791E"/>
    <w:rsid w:val="F7B4A26D"/>
    <w:rsid w:val="F7FEE403"/>
    <w:rsid w:val="FC995468"/>
    <w:rsid w:val="FDB89F12"/>
    <w:rsid w:val="FEFDA65C"/>
    <w:rsid w:val="FEFF78C1"/>
    <w:rsid w:val="FFD9746F"/>
    <w:rsid w:val="00053E56"/>
    <w:rsid w:val="001F71DD"/>
    <w:rsid w:val="005E271A"/>
    <w:rsid w:val="00997FB0"/>
    <w:rsid w:val="00EB1C0E"/>
    <w:rsid w:val="00F76805"/>
    <w:rsid w:val="015B0332"/>
    <w:rsid w:val="01770217"/>
    <w:rsid w:val="027C16B8"/>
    <w:rsid w:val="027D71DE"/>
    <w:rsid w:val="05726DA2"/>
    <w:rsid w:val="06622427"/>
    <w:rsid w:val="068428E9"/>
    <w:rsid w:val="07F7358F"/>
    <w:rsid w:val="087F5A5E"/>
    <w:rsid w:val="09712FE3"/>
    <w:rsid w:val="0A2D3298"/>
    <w:rsid w:val="0B41349E"/>
    <w:rsid w:val="0BF56037"/>
    <w:rsid w:val="0CD21ED4"/>
    <w:rsid w:val="0D222E5C"/>
    <w:rsid w:val="0D7D2700"/>
    <w:rsid w:val="0FE443F8"/>
    <w:rsid w:val="121C2012"/>
    <w:rsid w:val="14373618"/>
    <w:rsid w:val="15342D09"/>
    <w:rsid w:val="155D557D"/>
    <w:rsid w:val="195C511A"/>
    <w:rsid w:val="19722A75"/>
    <w:rsid w:val="19DE7BF0"/>
    <w:rsid w:val="1A227F8F"/>
    <w:rsid w:val="1A48060F"/>
    <w:rsid w:val="1D9A080E"/>
    <w:rsid w:val="1F2E38E2"/>
    <w:rsid w:val="24134E54"/>
    <w:rsid w:val="261A2CED"/>
    <w:rsid w:val="27C00E99"/>
    <w:rsid w:val="28C332ED"/>
    <w:rsid w:val="2B2362C5"/>
    <w:rsid w:val="2E847009"/>
    <w:rsid w:val="2FD47B8E"/>
    <w:rsid w:val="315C42DF"/>
    <w:rsid w:val="33D26ADA"/>
    <w:rsid w:val="34C70BB4"/>
    <w:rsid w:val="359F0C3E"/>
    <w:rsid w:val="36237179"/>
    <w:rsid w:val="365C5755"/>
    <w:rsid w:val="374750E9"/>
    <w:rsid w:val="376637C1"/>
    <w:rsid w:val="3C8D6394"/>
    <w:rsid w:val="3CFCC7F9"/>
    <w:rsid w:val="3CFFEA9E"/>
    <w:rsid w:val="3E2E0DB1"/>
    <w:rsid w:val="3E7D8183"/>
    <w:rsid w:val="3F7F3E06"/>
    <w:rsid w:val="40B57568"/>
    <w:rsid w:val="458F482B"/>
    <w:rsid w:val="461865CE"/>
    <w:rsid w:val="48FB212D"/>
    <w:rsid w:val="49D7054F"/>
    <w:rsid w:val="49DE7B2F"/>
    <w:rsid w:val="49E72B74"/>
    <w:rsid w:val="4FF21C3E"/>
    <w:rsid w:val="51556929"/>
    <w:rsid w:val="53C94591"/>
    <w:rsid w:val="553C395C"/>
    <w:rsid w:val="56AB6FEB"/>
    <w:rsid w:val="57EF2F30"/>
    <w:rsid w:val="59666F68"/>
    <w:rsid w:val="5AC643F3"/>
    <w:rsid w:val="5C6BD113"/>
    <w:rsid w:val="5D647EF4"/>
    <w:rsid w:val="5F4959EB"/>
    <w:rsid w:val="5FFC3B35"/>
    <w:rsid w:val="5FFE06A9"/>
    <w:rsid w:val="61B256D1"/>
    <w:rsid w:val="65760646"/>
    <w:rsid w:val="66501015"/>
    <w:rsid w:val="69180510"/>
    <w:rsid w:val="6C5630FD"/>
    <w:rsid w:val="6EF7BF97"/>
    <w:rsid w:val="725D3437"/>
    <w:rsid w:val="739764D5"/>
    <w:rsid w:val="74A4534E"/>
    <w:rsid w:val="76BE3D78"/>
    <w:rsid w:val="77EC3FCB"/>
    <w:rsid w:val="786E24FB"/>
    <w:rsid w:val="78BE3675"/>
    <w:rsid w:val="7A2111EE"/>
    <w:rsid w:val="7A37631C"/>
    <w:rsid w:val="7A7F147D"/>
    <w:rsid w:val="7ADBD25F"/>
    <w:rsid w:val="7BBF66DD"/>
    <w:rsid w:val="7CE107C1"/>
    <w:rsid w:val="7D566F44"/>
    <w:rsid w:val="7D9677FD"/>
    <w:rsid w:val="7DDF5E25"/>
    <w:rsid w:val="7DFFA0F9"/>
    <w:rsid w:val="7EB663A9"/>
    <w:rsid w:val="7EEF451F"/>
    <w:rsid w:val="7FEB8C9D"/>
    <w:rsid w:val="7FF5D680"/>
    <w:rsid w:val="AFF721CF"/>
    <w:rsid w:val="B5ACDF60"/>
    <w:rsid w:val="BBFE0A50"/>
    <w:rsid w:val="BDADC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0FBBF"/>
  <w15:docId w15:val="{7834F823-3AAD-4CA8-BD8E-09FA948D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ind w:firstLineChars="200" w:firstLine="880"/>
    </w:pPr>
    <w:rPr>
      <w:rFonts w:ascii="楷体_GB2312" w:eastAsia="楷体_GB2312" w:hAnsi="楷体_GB2312"/>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1">
    <w:name w:val="样式1"/>
    <w:basedOn w:val="a"/>
    <w:next w:val="a3"/>
    <w:qFormat/>
    <w:pPr>
      <w:ind w:firstLineChars="200" w:firstLine="602"/>
    </w:pPr>
    <w:rPr>
      <w:rFonts w:ascii="仿宋" w:eastAsia="仿宋" w:hAnsi="仿宋"/>
      <w:sz w:val="30"/>
      <w:szCs w:val="30"/>
    </w:rPr>
  </w:style>
  <w:style w:type="paragraph" w:styleId="a6">
    <w:name w:val="header"/>
    <w:basedOn w:val="a"/>
    <w:link w:val="a7"/>
    <w:rsid w:val="00053E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53E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阿斯顿</cp:lastModifiedBy>
  <cp:revision>2</cp:revision>
  <cp:lastPrinted>2025-04-22T04:10:00Z</cp:lastPrinted>
  <dcterms:created xsi:type="dcterms:W3CDTF">2024-10-24T22:48:00Z</dcterms:created>
  <dcterms:modified xsi:type="dcterms:W3CDTF">2025-04-23T02:43:00Z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4250D2BEEBD04C968B4AF5310208E617_13</vt:lpwstr>
  </property>
  <property fmtid="{D5CDD505-2E9C-101B-9397-08002B2CF9AE}" pid="4" name="KSOTemplateDocerSaveRecord">
    <vt:lpwstr>eyJoZGlkIjoiMzIxYWZkNmNhMzVkNzUwZTdkYWQzZDk1MzNmNmEyZjEifQ==</vt:lpwstr>
  </property>
</Properties>
</file>