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CEA25">
      <w:pPr>
        <w:keepNext w:val="0"/>
        <w:keepLines w:val="0"/>
        <w:pageBreakBefore w:val="0"/>
        <w:numPr>
          <w:ilvl w:val="0"/>
          <w:numId w:val="0"/>
        </w:numPr>
        <w:kinsoku/>
        <w:wordWrap/>
        <w:overflowPunct/>
        <w:topLinePunct w:val="0"/>
        <w:bidi w:val="0"/>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14:paraId="72B13F58">
      <w:pPr>
        <w:pStyle w:val="16"/>
        <w:keepNext w:val="0"/>
        <w:keepLines w:val="0"/>
        <w:pageBreakBefore w:val="0"/>
        <w:widowControl/>
        <w:shd w:val="clear" w:color="070000" w:fill="FFFFFF"/>
        <w:kinsoku/>
        <w:wordWrap/>
        <w:overflowPunct/>
        <w:topLinePunct w:val="0"/>
        <w:bidi w:val="0"/>
        <w:spacing w:line="560" w:lineRule="exact"/>
        <w:jc w:val="left"/>
        <w:textAlignment w:val="auto"/>
        <w:rPr>
          <w:rFonts w:hint="default" w:ascii="Times New Roman" w:hAnsi="Times New Roman" w:eastAsia="黑体" w:cs="Times New Roman"/>
          <w:sz w:val="32"/>
          <w:szCs w:val="32"/>
        </w:rPr>
      </w:pPr>
    </w:p>
    <w:p w14:paraId="5C7630E4">
      <w:pPr>
        <w:pStyle w:val="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起草说明</w:t>
      </w:r>
    </w:p>
    <w:p w14:paraId="25E5D89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p>
    <w:p w14:paraId="7804B2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一、政策</w:t>
      </w:r>
      <w:r>
        <w:rPr>
          <w:rFonts w:hint="default" w:ascii="Times New Roman" w:hAnsi="Times New Roman" w:eastAsia="黑体" w:cs="Times New Roman"/>
          <w:sz w:val="32"/>
          <w:szCs w:val="32"/>
        </w:rPr>
        <w:t>背景</w:t>
      </w:r>
    </w:p>
    <w:p w14:paraId="71B9D197">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auto"/>
          <w:sz w:val="32"/>
          <w:szCs w:val="32"/>
          <w:lang w:eastAsia="zh-CN"/>
        </w:rPr>
        <w:t>广东省医保局</w:t>
      </w:r>
      <w:r>
        <w:rPr>
          <w:rFonts w:hint="default" w:ascii="Times New Roman" w:hAnsi="Times New Roman" w:eastAsia="仿宋_GB2312" w:cs="Times New Roman"/>
          <w:color w:val="auto"/>
          <w:sz w:val="32"/>
          <w:szCs w:val="32"/>
          <w:lang w:val="en-US" w:eastAsia="zh-CN"/>
        </w:rPr>
        <w:t>根据</w:t>
      </w:r>
      <w:r>
        <w:rPr>
          <w:rFonts w:hint="default" w:ascii="Times New Roman" w:hAnsi="Times New Roman" w:eastAsia="仿宋_GB2312" w:cs="Times New Roman"/>
          <w:color w:val="auto"/>
          <w:sz w:val="32"/>
          <w:szCs w:val="32"/>
        </w:rPr>
        <w:t>国家医疗保障局医药价格和招标采购司《关于印发〈中医类（灸法、拔罐、推拿）医疗服务价格项目立项指南（试行）〉的通知》（医保价采函〔2022〕111号）、《关于印发〈中医外治类医疗服务价格项目立项指南（试行）〉的通知》（医保价采函〔2023〕46号）、《关于印发〈产科类医疗服务价格项目立项指南（试行）的通知〉》（医保价采函〔2024〕83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《关于印发〈护理类医疗服务价格项目立项指南（试行）的通知〉》（医保价采函〔2024〕168号）</w:t>
      </w:r>
      <w:r>
        <w:rPr>
          <w:rFonts w:hint="default"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sz w:val="32"/>
          <w:szCs w:val="32"/>
          <w:lang w:val="zh-CN" w:eastAsia="zh-CN"/>
        </w:rPr>
        <w:t>《关于印发〈放射检查类医疗服务价格项目立项指南（试行）〉的通知》（医保价采函〔2024〕233号）</w:t>
      </w:r>
      <w:r>
        <w:rPr>
          <w:rFonts w:hint="default" w:ascii="Times New Roman" w:hAnsi="Times New Roman" w:eastAsia="仿宋_GB2312" w:cs="Times New Roman"/>
          <w:color w:val="000000"/>
          <w:kern w:val="0"/>
          <w:sz w:val="32"/>
          <w:szCs w:val="32"/>
          <w:u w:val="none"/>
          <w:lang w:val="en-US" w:eastAsia="zh-CN" w:bidi="ar-SA"/>
        </w:rPr>
        <w:t>精神，发布了</w:t>
      </w:r>
      <w:r>
        <w:rPr>
          <w:rFonts w:hint="default" w:ascii="Times New Roman" w:hAnsi="Times New Roman" w:eastAsia="仿宋_GB2312" w:cs="Times New Roman"/>
          <w:color w:val="auto"/>
          <w:sz w:val="32"/>
          <w:szCs w:val="32"/>
          <w:lang w:eastAsia="zh-CN"/>
        </w:rPr>
        <w:t>《广东省医疗保障局关于公布放射检查类医疗服务价格项目的通知》（粤医保发〔202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号）、《广东省医疗保障局关于公布中医类等医疗服务价格项目的通知》（粤医保发〔202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eastAsia="zh-CN"/>
        </w:rPr>
        <w:t>号）</w:t>
      </w:r>
      <w:r>
        <w:rPr>
          <w:rFonts w:hint="default" w:ascii="Times New Roman" w:hAnsi="Times New Roman" w:eastAsia="仿宋_GB2312" w:cs="Times New Roman"/>
          <w:color w:val="000000"/>
          <w:kern w:val="0"/>
          <w:sz w:val="32"/>
          <w:szCs w:val="32"/>
          <w:u w:val="none"/>
          <w:lang w:val="en-US" w:eastAsia="zh-CN" w:bidi="ar-SA"/>
        </w:rPr>
        <w:t>，</w:t>
      </w:r>
      <w:r>
        <w:rPr>
          <w:rFonts w:hint="default" w:ascii="Times New Roman" w:hAnsi="Times New Roman" w:eastAsia="仿宋_GB2312" w:cs="Times New Roman"/>
          <w:color w:val="auto"/>
          <w:sz w:val="32"/>
          <w:szCs w:val="32"/>
          <w:lang w:val="en-US" w:eastAsia="zh-CN"/>
        </w:rPr>
        <w:t>制定了我省</w:t>
      </w:r>
      <w:r>
        <w:rPr>
          <w:rFonts w:hint="default" w:ascii="Times New Roman" w:hAnsi="Times New Roman" w:eastAsia="仿宋_GB2312" w:cs="Times New Roman"/>
          <w:color w:val="auto"/>
          <w:sz w:val="32"/>
          <w:szCs w:val="32"/>
          <w:lang w:val="en" w:eastAsia="zh-CN"/>
        </w:rPr>
        <w:t>最高限价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lang w:val="en" w:eastAsia="zh-CN"/>
        </w:rPr>
        <w:t>要求</w:t>
      </w:r>
      <w:r>
        <w:rPr>
          <w:rFonts w:hint="default" w:ascii="Times New Roman" w:hAnsi="Times New Roman" w:eastAsia="仿宋_GB2312" w:cs="Times New Roman"/>
          <w:color w:val="auto"/>
          <w:sz w:val="32"/>
          <w:szCs w:val="32"/>
          <w:lang w:val="en-US" w:eastAsia="zh-CN"/>
        </w:rPr>
        <w:t>各地级以上市按照省最高限价，结合实际，确定辖区内公立医疗机构的政府指导价，自2025年</w:t>
      </w:r>
      <w:r>
        <w:rPr>
          <w:rFonts w:hint="default" w:ascii="Times New Roman" w:hAnsi="Times New Roman" w:eastAsia="仿宋_GB2312" w:cs="Times New Roman"/>
          <w:color w:val="auto"/>
          <w:sz w:val="32"/>
          <w:szCs w:val="32"/>
          <w:lang w:val="en" w:eastAsia="zh-CN"/>
        </w:rPr>
        <w:t>4</w:t>
      </w:r>
      <w:r>
        <w:rPr>
          <w:rFonts w:hint="default" w:ascii="Times New Roman" w:hAnsi="Times New Roman" w:eastAsia="仿宋_GB2312" w:cs="Times New Roman"/>
          <w:color w:val="auto"/>
          <w:sz w:val="32"/>
          <w:szCs w:val="32"/>
          <w:lang w:val="en-US" w:eastAsia="zh-CN"/>
        </w:rPr>
        <w:t>月30日起实施</w:t>
      </w:r>
      <w:r>
        <w:rPr>
          <w:rFonts w:hint="default" w:ascii="Times New Roman" w:hAnsi="Times New Roman" w:eastAsia="仿宋_GB2312" w:cs="Times New Roman"/>
          <w:color w:val="auto"/>
          <w:sz w:val="32"/>
          <w:szCs w:val="32"/>
          <w:lang w:eastAsia="zh-CN"/>
        </w:rPr>
        <w:t>。</w:t>
      </w:r>
    </w:p>
    <w:p w14:paraId="504784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二、政策依据</w:t>
      </w:r>
    </w:p>
    <w:p w14:paraId="50D154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广东省人民政府办公厅关于印发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广东省定价目</w:t>
      </w:r>
      <w:r>
        <w:rPr>
          <w:rFonts w:hint="default" w:ascii="Times New Roman" w:hAnsi="Times New Roman" w:eastAsia="仿宋_GB2312" w:cs="Times New Roman"/>
          <w:color w:val="000000"/>
          <w:kern w:val="0"/>
          <w:sz w:val="32"/>
          <w:szCs w:val="32"/>
          <w:u w:val="none"/>
          <w:lang w:val="en-US" w:eastAsia="zh-CN" w:bidi="ar-SA"/>
        </w:rPr>
        <w:t>录（2022年版）〉的通知》（粤府办〔2022〕5号）</w:t>
      </w:r>
    </w:p>
    <w:p w14:paraId="787D33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kern w:val="0"/>
          <w:sz w:val="32"/>
          <w:szCs w:val="32"/>
          <w:u w:val="none"/>
          <w:lang w:val="en-US" w:eastAsia="zh-CN" w:bidi="ar-SA"/>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（二）《广东省发展改革委关于印发&lt;关于政府制定价格行为</w:t>
      </w:r>
      <w:r>
        <w:rPr>
          <w:rFonts w:hint="default" w:ascii="Times New Roman" w:hAnsi="Times New Roman" w:eastAsia="仿宋_GB2312" w:cs="Times New Roman"/>
          <w:color w:val="000000"/>
          <w:kern w:val="0"/>
          <w:sz w:val="32"/>
          <w:szCs w:val="32"/>
          <w:u w:val="none"/>
          <w:lang w:val="en-US" w:eastAsia="zh-CN" w:bidi="ar-SA"/>
        </w:rPr>
        <w:t>规则的实施细则（2024年修订）&gt;的通知》（粤发改规〔2024〕3号）</w:t>
      </w:r>
    </w:p>
    <w:p w14:paraId="0CE568E7">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kern w:val="0"/>
          <w:sz w:val="32"/>
          <w:szCs w:val="32"/>
          <w:u w:val="none"/>
          <w:lang w:val="en-US" w:eastAsia="zh-CN" w:bidi="ar-SA"/>
        </w:rPr>
        <w:t>（三）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auto"/>
          <w:sz w:val="32"/>
          <w:szCs w:val="32"/>
          <w:lang w:eastAsia="zh-CN"/>
        </w:rPr>
        <w:t>广东省医疗保障局关于公布放射检查类医疗服务价格项目的通知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lang w:val="en-US" w:eastAsia="zh-CN"/>
        </w:rPr>
        <w:t>粤医保发〔2025〕5号</w:t>
      </w:r>
      <w:r>
        <w:rPr>
          <w:rFonts w:hint="default" w:ascii="Times New Roman" w:hAnsi="Times New Roman" w:eastAsia="仿宋_GB2312" w:cs="Times New Roman"/>
          <w:sz w:val="32"/>
          <w:szCs w:val="32"/>
          <w:lang w:eastAsia="zh-CN"/>
        </w:rPr>
        <w:t>）</w:t>
      </w:r>
    </w:p>
    <w:p w14:paraId="31BFCCB1">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kern w:val="0"/>
          <w:sz w:val="32"/>
          <w:szCs w:val="32"/>
          <w:u w:val="none"/>
          <w:lang w:val="en-US" w:eastAsia="zh-CN" w:bidi="ar-SA"/>
        </w:rPr>
        <w:t>（四）</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auto"/>
          <w:sz w:val="32"/>
          <w:szCs w:val="32"/>
          <w:lang w:eastAsia="zh-CN"/>
        </w:rPr>
        <w:t>广东省医疗保障局关于公布中医类等医疗服务价格项目的通知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lang w:val="en-US" w:eastAsia="zh-CN"/>
        </w:rPr>
        <w:t>粤医保发〔2025〕6号</w:t>
      </w:r>
      <w:r>
        <w:rPr>
          <w:rFonts w:hint="default" w:ascii="Times New Roman" w:hAnsi="Times New Roman" w:eastAsia="仿宋_GB2312" w:cs="Times New Roman"/>
          <w:sz w:val="32"/>
          <w:szCs w:val="32"/>
          <w:lang w:eastAsia="zh-CN"/>
        </w:rPr>
        <w:t>）</w:t>
      </w:r>
    </w:p>
    <w:p w14:paraId="2AAA409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三、主要内容</w:t>
      </w:r>
    </w:p>
    <w:p w14:paraId="4B997D8B">
      <w:pPr>
        <w:pStyle w:val="13"/>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（一）优化整合医疗服务价格项目</w:t>
      </w:r>
    </w:p>
    <w:p w14:paraId="1088F3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00000"/>
          <w:sz w:val="32"/>
          <w:szCs w:val="32"/>
          <w:lang w:eastAsia="zh-CN"/>
        </w:rPr>
        <w:t>规范整合放射检查</w:t>
      </w:r>
      <w:r>
        <w:rPr>
          <w:rFonts w:hint="default" w:ascii="Times New Roman" w:hAnsi="Times New Roman" w:eastAsia="仿宋_GB2312" w:cs="Times New Roman"/>
          <w:color w:val="000000"/>
          <w:sz w:val="32"/>
          <w:szCs w:val="32"/>
          <w:lang w:val="en-US" w:eastAsia="zh-CN"/>
        </w:rPr>
        <w:t>类</w:t>
      </w:r>
      <w:r>
        <w:rPr>
          <w:rFonts w:hint="default" w:ascii="Times New Roman" w:hAnsi="Times New Roman" w:eastAsia="仿宋_GB2312" w:cs="Times New Roman"/>
          <w:color w:val="000000"/>
          <w:sz w:val="32"/>
          <w:szCs w:val="32"/>
          <w:lang w:eastAsia="zh-CN"/>
        </w:rPr>
        <w:t>项目</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lang w:val="en-US" w:eastAsia="zh-CN"/>
        </w:rPr>
        <w:t>将原实施的281项放射检查类项目规范整合为26项，</w:t>
      </w:r>
      <w:r>
        <w:rPr>
          <w:rFonts w:hint="default" w:ascii="Times New Roman" w:hAnsi="Times New Roman" w:eastAsia="仿宋_GB2312" w:cs="Times New Roman"/>
          <w:color w:val="auto"/>
          <w:sz w:val="32"/>
          <w:szCs w:val="32"/>
          <w:lang w:val="en-US" w:eastAsia="zh-CN"/>
        </w:rPr>
        <w:t>废止“数字影像服务”等281项医疗服务价格项目。</w:t>
      </w:r>
    </w:p>
    <w:p w14:paraId="0D3EDA33">
      <w:pPr>
        <w:pStyle w:val="3"/>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000000"/>
          <w:sz w:val="32"/>
          <w:szCs w:val="32"/>
          <w:lang w:eastAsia="zh-CN"/>
        </w:rPr>
        <w:t>规范整合部分中医类项目</w:t>
      </w:r>
      <w:r>
        <w:rPr>
          <w:rFonts w:hint="default" w:ascii="Times New Roman" w:hAnsi="Times New Roman" w:eastAsia="仿宋_GB2312" w:cs="Times New Roman"/>
          <w:color w:val="000000"/>
          <w:sz w:val="32"/>
          <w:szCs w:val="32"/>
          <w:lang w:val="en-US" w:eastAsia="zh-CN"/>
        </w:rPr>
        <w:t>，将原实施的灸法等44项规范整合为18项</w:t>
      </w:r>
      <w:r>
        <w:rPr>
          <w:rFonts w:hint="default" w:ascii="Times New Roman" w:hAnsi="Times New Roman" w:eastAsia="仿宋_GB2312" w:cs="Times New Roman"/>
          <w:sz w:val="32"/>
          <w:szCs w:val="32"/>
        </w:rPr>
        <w:t>中医类（灸法、拔罐、推拿）价格项目</w:t>
      </w:r>
      <w:r>
        <w:rPr>
          <w:rFonts w:hint="default" w:ascii="Times New Roman" w:hAnsi="Times New Roman" w:eastAsia="仿宋_GB2312" w:cs="Times New Roman"/>
          <w:color w:val="000000"/>
          <w:sz w:val="32"/>
          <w:szCs w:val="32"/>
          <w:lang w:val="en-US" w:eastAsia="zh-CN"/>
        </w:rPr>
        <w:t>，贴敷疗法等37项规范整合为</w:t>
      </w:r>
      <w:r>
        <w:rPr>
          <w:rFonts w:hint="default" w:ascii="Times New Roman" w:hAnsi="Times New Roman" w:eastAsia="仿宋_GB2312" w:cs="Times New Roman"/>
          <w:sz w:val="32"/>
          <w:szCs w:val="32"/>
        </w:rPr>
        <w:t>18</w:t>
      </w:r>
      <w:r>
        <w:rPr>
          <w:rFonts w:hint="default" w:ascii="Times New Roman" w:hAnsi="Times New Roman" w:eastAsia="仿宋_GB2312" w:cs="Times New Roman"/>
          <w:sz w:val="32"/>
          <w:szCs w:val="32"/>
          <w:lang w:eastAsia="zh-CN"/>
        </w:rPr>
        <w:t>项</w:t>
      </w:r>
      <w:r>
        <w:rPr>
          <w:rFonts w:hint="default" w:ascii="Times New Roman" w:hAnsi="Times New Roman" w:eastAsia="仿宋_GB2312" w:cs="Times New Roman"/>
          <w:sz w:val="32"/>
          <w:szCs w:val="32"/>
        </w:rPr>
        <w:t>中医外治类价格项目</w:t>
      </w:r>
      <w:r>
        <w:rPr>
          <w:rFonts w:hint="default" w:ascii="Times New Roman" w:hAnsi="Times New Roman" w:eastAsia="仿宋_GB2312" w:cs="Times New Roman"/>
          <w:sz w:val="32"/>
          <w:szCs w:val="32"/>
          <w:lang w:eastAsia="zh-CN"/>
        </w:rPr>
        <w:t>；同步</w:t>
      </w:r>
      <w:r>
        <w:rPr>
          <w:rFonts w:hint="default" w:ascii="Times New Roman" w:hAnsi="Times New Roman" w:eastAsia="仿宋_GB2312" w:cs="Times New Roman"/>
          <w:color w:val="000000"/>
          <w:sz w:val="32"/>
          <w:szCs w:val="32"/>
          <w:lang w:val="en-US" w:eastAsia="zh-CN"/>
        </w:rPr>
        <w:t>修订“红外线治疗”，删除项目内涵中“红外线真空拔罐治疗”，该治疗已映射至</w:t>
      </w:r>
      <w:r>
        <w:rPr>
          <w:rFonts w:hint="default" w:ascii="Times New Roman" w:hAnsi="Times New Roman" w:eastAsia="仿宋_GB2312" w:cs="Times New Roman"/>
          <w:b w:val="0"/>
          <w:i w:val="0"/>
          <w:snapToGrid/>
          <w:color w:val="000000"/>
          <w:sz w:val="32"/>
          <w:szCs w:val="32"/>
          <w:lang w:val="en-US" w:eastAsia="zh-CN"/>
        </w:rPr>
        <w:t>中医类（灸法、拔罐、推拿）立项指南拔罐价格项目</w:t>
      </w:r>
      <w:r>
        <w:rPr>
          <w:rFonts w:hint="default" w:ascii="Times New Roman" w:hAnsi="Times New Roman" w:eastAsia="仿宋_GB2312" w:cs="Times New Roman"/>
          <w:kern w:val="2"/>
          <w:sz w:val="32"/>
          <w:szCs w:val="32"/>
          <w:lang w:val="en-US" w:eastAsia="zh-CN" w:bidi="ar-SA"/>
        </w:rPr>
        <w:t>。</w:t>
      </w:r>
    </w:p>
    <w:p w14:paraId="05F192CF">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规范整合产科类项目，将原实施的50项产科类项目规范整合为30项。原“水中分娩”项目合并至“导乐分娩”项目，实行市场调节价。</w:t>
      </w:r>
    </w:p>
    <w:p w14:paraId="47EC58B4">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规范整合护理类项目，将原实施的50项护理类项目规范整合为22项。其中“免陪照护服务”价格项目已于2024年4月1日单独印发通知公布。</w:t>
      </w:r>
    </w:p>
    <w:p w14:paraId="5CD380FB">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将除基本物质资源消耗以外的，属于立项指南落地前执行的医疗服务价格项目除外内容的一次性使用耗材，整理为可收费一次性使用医用耗材清单，并在立项指南使用说明中明确按照实际采购价格零差率销售。</w:t>
      </w:r>
    </w:p>
    <w:p w14:paraId="383CAE50">
      <w:pPr>
        <w:pStyle w:val="13"/>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w:t>
      </w:r>
      <w:bookmarkStart w:id="0" w:name="OLE_LINK5"/>
      <w:r>
        <w:rPr>
          <w:rFonts w:hint="default" w:ascii="Times New Roman" w:hAnsi="Times New Roman" w:eastAsia="楷体_GB2312" w:cs="Times New Roman"/>
          <w:color w:val="auto"/>
          <w:sz w:val="32"/>
          <w:szCs w:val="32"/>
          <w:lang w:val="en-US" w:eastAsia="zh-CN"/>
        </w:rPr>
        <w:t>制定医疗服务项目</w:t>
      </w:r>
      <w:bookmarkEnd w:id="0"/>
      <w:r>
        <w:rPr>
          <w:rFonts w:hint="default" w:ascii="Times New Roman" w:hAnsi="Times New Roman" w:eastAsia="楷体_GB2312" w:cs="Times New Roman"/>
          <w:color w:val="auto"/>
          <w:sz w:val="32"/>
          <w:szCs w:val="32"/>
          <w:lang w:val="en-US" w:eastAsia="zh-CN"/>
        </w:rPr>
        <w:t>价格</w:t>
      </w:r>
    </w:p>
    <w:p w14:paraId="6787B63C">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仿宋_GB2312" w:cs="Times New Roman"/>
          <w:color w:val="auto"/>
          <w:sz w:val="32"/>
          <w:szCs w:val="32"/>
          <w:lang w:val="en-US" w:eastAsia="zh-CN"/>
        </w:rPr>
        <w:t>明确</w:t>
      </w:r>
      <w:r>
        <w:rPr>
          <w:rFonts w:hint="default" w:ascii="Times New Roman" w:hAnsi="Times New Roman" w:eastAsia="仿宋_GB2312" w:cs="Times New Roman"/>
          <w:color w:val="auto"/>
          <w:sz w:val="32"/>
          <w:szCs w:val="32"/>
        </w:rPr>
        <w:t>儿童加收项目的加收比例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制定</w:t>
      </w:r>
      <w:r>
        <w:rPr>
          <w:rFonts w:hint="default" w:ascii="Times New Roman" w:hAnsi="Times New Roman" w:eastAsia="仿宋_GB2312" w:cs="Times New Roman"/>
          <w:i w:val="0"/>
          <w:caps w:val="0"/>
          <w:color w:val="auto"/>
          <w:spacing w:val="0"/>
          <w:sz w:val="32"/>
          <w:szCs w:val="32"/>
          <w:shd w:val="clear" w:color="auto" w:fill="FFFFFF"/>
          <w:lang w:val="en-US" w:eastAsia="zh-CN"/>
        </w:rPr>
        <w:t>我市各等级公立医疗机构</w:t>
      </w:r>
      <w:r>
        <w:rPr>
          <w:rFonts w:hint="default" w:ascii="Times New Roman" w:hAnsi="Times New Roman" w:eastAsia="仿宋_GB2312" w:cs="Times New Roman"/>
          <w:color w:val="auto"/>
          <w:sz w:val="32"/>
          <w:szCs w:val="32"/>
          <w:lang w:eastAsia="zh-CN"/>
        </w:rPr>
        <w:t>放射检查类、</w:t>
      </w:r>
      <w:r>
        <w:rPr>
          <w:rFonts w:hint="default" w:ascii="Times New Roman" w:hAnsi="Times New Roman" w:eastAsia="仿宋_GB2312" w:cs="Times New Roman"/>
          <w:color w:val="auto"/>
          <w:sz w:val="32"/>
          <w:szCs w:val="32"/>
        </w:rPr>
        <w:t>中医类（灸法、拔罐、推拿）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中医外治类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产科类</w:t>
      </w:r>
      <w:r>
        <w:rPr>
          <w:rFonts w:hint="default" w:ascii="Times New Roman" w:hAnsi="Times New Roman" w:eastAsia="仿宋_GB2312" w:cs="Times New Roman"/>
          <w:color w:val="auto"/>
          <w:sz w:val="32"/>
          <w:szCs w:val="32"/>
          <w:lang w:eastAsia="zh-CN"/>
        </w:rPr>
        <w:t>和护理类</w:t>
      </w:r>
      <w:r>
        <w:rPr>
          <w:rFonts w:hint="default" w:ascii="Times New Roman" w:hAnsi="Times New Roman" w:eastAsia="仿宋_GB2312" w:cs="Times New Roman"/>
          <w:color w:val="auto"/>
          <w:sz w:val="32"/>
          <w:szCs w:val="32"/>
        </w:rPr>
        <w:t>医疗服务价格项目的</w:t>
      </w:r>
      <w:r>
        <w:rPr>
          <w:rFonts w:hint="default" w:ascii="Times New Roman" w:hAnsi="Times New Roman" w:eastAsia="仿宋_GB2312" w:cs="Times New Roman"/>
          <w:color w:val="auto"/>
          <w:sz w:val="32"/>
          <w:szCs w:val="32"/>
          <w:lang w:eastAsia="zh-CN"/>
        </w:rPr>
        <w:t>政府指导价</w:t>
      </w:r>
      <w:r>
        <w:rPr>
          <w:rFonts w:hint="default" w:ascii="Times New Roman" w:hAnsi="Times New Roman" w:eastAsia="仿宋_GB2312" w:cs="Times New Roman"/>
          <w:color w:val="000000"/>
          <w:sz w:val="32"/>
          <w:szCs w:val="32"/>
          <w:lang w:val="en-US" w:eastAsia="zh-CN"/>
        </w:rPr>
        <w:t>。</w:t>
      </w:r>
    </w:p>
    <w:p w14:paraId="0EE6555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lang w:eastAsia="zh-CN"/>
        </w:rPr>
        <w:t>定价</w:t>
      </w:r>
      <w:r>
        <w:rPr>
          <w:rFonts w:hint="default" w:ascii="Times New Roman" w:hAnsi="Times New Roman" w:eastAsia="黑体" w:cs="Times New Roman"/>
          <w:color w:val="auto"/>
          <w:sz w:val="32"/>
          <w:szCs w:val="32"/>
          <w:lang w:val="en-US" w:eastAsia="zh-CN"/>
        </w:rPr>
        <w:t>情况</w:t>
      </w:r>
    </w:p>
    <w:p w14:paraId="6597F58E">
      <w:pPr>
        <w:pStyle w:val="13"/>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color w:val="auto"/>
          <w:kern w:val="2"/>
          <w:sz w:val="32"/>
          <w:szCs w:val="32"/>
          <w:lang w:val="en-US" w:eastAsia="zh-CN" w:bidi="ar-SA"/>
        </w:rPr>
        <w:t>（一）价格调查。</w:t>
      </w:r>
      <w:r>
        <w:rPr>
          <w:rFonts w:hint="default" w:ascii="Times New Roman" w:hAnsi="Times New Roman" w:eastAsia="仿宋_GB2312" w:cs="Times New Roman"/>
          <w:color w:val="auto"/>
          <w:kern w:val="2"/>
          <w:sz w:val="32"/>
          <w:szCs w:val="32"/>
          <w:lang w:val="en-US" w:eastAsia="zh-CN" w:bidi="ar-SA"/>
        </w:rPr>
        <w:t>组织全市公立医疗机构开展</w:t>
      </w:r>
      <w:r>
        <w:rPr>
          <w:rFonts w:hint="default" w:ascii="Times New Roman" w:hAnsi="Times New Roman" w:eastAsia="仿宋_GB2312" w:cs="Times New Roman"/>
          <w:color w:val="auto"/>
          <w:sz w:val="32"/>
          <w:szCs w:val="32"/>
          <w:lang w:val="en-US" w:eastAsia="zh-CN"/>
        </w:rPr>
        <w:t>放射检查类、</w:t>
      </w:r>
      <w:r>
        <w:rPr>
          <w:rFonts w:hint="default" w:ascii="Times New Roman" w:hAnsi="Times New Roman" w:eastAsia="仿宋_GB2312" w:cs="Times New Roman"/>
          <w:color w:val="auto"/>
          <w:sz w:val="32"/>
          <w:szCs w:val="32"/>
        </w:rPr>
        <w:t>中医类（灸法、拔罐、推拿）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中医外治类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产科类</w:t>
      </w:r>
      <w:r>
        <w:rPr>
          <w:rFonts w:hint="default"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lang w:eastAsia="zh-CN"/>
        </w:rPr>
        <w:t>护理类</w:t>
      </w:r>
      <w:r>
        <w:rPr>
          <w:rFonts w:hint="default" w:ascii="Times New Roman" w:hAnsi="Times New Roman" w:eastAsia="仿宋_GB2312" w:cs="Times New Roman"/>
          <w:color w:val="auto"/>
          <w:kern w:val="2"/>
          <w:sz w:val="32"/>
          <w:szCs w:val="32"/>
          <w:lang w:val="en-US" w:eastAsia="zh-CN" w:bidi="ar-SA"/>
        </w:rPr>
        <w:t>医疗服务项目情况调查工作。</w:t>
      </w:r>
    </w:p>
    <w:p w14:paraId="78A56C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楷体_GB2312" w:cs="Times New Roman"/>
          <w:sz w:val="32"/>
          <w:szCs w:val="32"/>
          <w:lang w:val="en-US" w:eastAsia="zh-CN"/>
        </w:rPr>
        <w:t>（二）成本测算。</w:t>
      </w:r>
      <w:r>
        <w:rPr>
          <w:rFonts w:hint="default" w:ascii="Times New Roman" w:hAnsi="Times New Roman" w:eastAsia="仿宋_GB2312" w:cs="Times New Roman"/>
          <w:kern w:val="0"/>
          <w:sz w:val="32"/>
          <w:szCs w:val="32"/>
          <w:lang w:val="en-US" w:eastAsia="zh-CN" w:bidi="ar"/>
        </w:rPr>
        <w:t>共选取</w:t>
      </w:r>
      <w:r>
        <w:rPr>
          <w:rFonts w:hint="default" w:ascii="Times New Roman" w:hAnsi="Times New Roman" w:eastAsia="仿宋_GB2312" w:cs="Times New Roman"/>
          <w:sz w:val="32"/>
          <w:szCs w:val="32"/>
          <w:lang w:eastAsia="zh-CN"/>
        </w:rPr>
        <w:t>梅州市人民医院、梅州市中医医院、中山大学附属第三医院粤东医院、</w:t>
      </w:r>
      <w:r>
        <w:rPr>
          <w:rFonts w:hint="default" w:ascii="Times New Roman" w:hAnsi="Times New Roman" w:eastAsia="仿宋_GB2312" w:cs="Times New Roman"/>
          <w:sz w:val="32"/>
          <w:szCs w:val="32"/>
          <w:lang w:val="en-US" w:eastAsia="zh-CN"/>
        </w:rPr>
        <w:t>梅州市第三人民医院、</w:t>
      </w:r>
      <w:r>
        <w:rPr>
          <w:rFonts w:hint="default" w:ascii="Times New Roman" w:hAnsi="Times New Roman" w:eastAsia="仿宋_GB2312" w:cs="Times New Roman"/>
          <w:sz w:val="32"/>
          <w:szCs w:val="32"/>
          <w:lang w:eastAsia="zh-CN"/>
        </w:rPr>
        <w:t>梅州市妇幼保健院、梅州市第二中医医院、梅江区妇幼保健院、梅县区妇幼保健院、兴宁市</w:t>
      </w:r>
      <w:r>
        <w:rPr>
          <w:rFonts w:hint="default" w:ascii="Times New Roman" w:hAnsi="Times New Roman" w:eastAsia="仿宋_GB2312" w:cs="Times New Roman"/>
          <w:sz w:val="32"/>
          <w:szCs w:val="32"/>
          <w:lang w:val="en-US" w:eastAsia="zh-CN"/>
        </w:rPr>
        <w:t>人民</w:t>
      </w:r>
      <w:r>
        <w:rPr>
          <w:rFonts w:hint="default" w:ascii="Times New Roman" w:hAnsi="Times New Roman" w:eastAsia="仿宋_GB2312" w:cs="Times New Roman"/>
          <w:sz w:val="32"/>
          <w:szCs w:val="32"/>
          <w:lang w:eastAsia="zh-CN"/>
        </w:rPr>
        <w:t>医院、兴宁市中医医院、</w:t>
      </w:r>
      <w:r>
        <w:rPr>
          <w:rFonts w:hint="default" w:ascii="Times New Roman" w:hAnsi="Times New Roman" w:eastAsia="仿宋_GB2312" w:cs="Times New Roman"/>
          <w:sz w:val="32"/>
          <w:szCs w:val="32"/>
          <w:lang w:val="en-US" w:eastAsia="zh-CN"/>
        </w:rPr>
        <w:t>平远县人民医院、蕉岭县人民医院</w:t>
      </w:r>
      <w:r>
        <w:rPr>
          <w:rFonts w:hint="default"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sz w:val="32"/>
          <w:szCs w:val="32"/>
          <w:lang w:val="en-US" w:eastAsia="zh-CN"/>
        </w:rPr>
        <w:t>蕉岭县中医医院、丰顺县中医医院</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五华县人民医院15家样本医院对放射检查类、</w:t>
      </w:r>
      <w:r>
        <w:rPr>
          <w:rFonts w:hint="default" w:ascii="Times New Roman" w:hAnsi="Times New Roman" w:eastAsia="仿宋_GB2312" w:cs="Times New Roman"/>
          <w:color w:val="auto"/>
          <w:sz w:val="32"/>
          <w:szCs w:val="32"/>
        </w:rPr>
        <w:t>中医类（灸法、拔罐、推拿）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中医外治类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产科类和护理类</w:t>
      </w:r>
      <w:r>
        <w:rPr>
          <w:rFonts w:hint="default" w:ascii="Times New Roman" w:hAnsi="Times New Roman" w:eastAsia="仿宋_GB2312" w:cs="Times New Roman"/>
          <w:kern w:val="0"/>
          <w:sz w:val="32"/>
          <w:szCs w:val="32"/>
          <w:lang w:val="en-US" w:eastAsia="zh-CN" w:bidi="ar"/>
        </w:rPr>
        <w:t>医疗服务价格项目进行成本测算。</w:t>
      </w:r>
    </w:p>
    <w:p w14:paraId="5FFB3A9C">
      <w:pPr>
        <w:pStyle w:val="13"/>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（三）制定医疗服务价格项目价格</w:t>
      </w:r>
      <w:r>
        <w:rPr>
          <w:rStyle w:val="12"/>
          <w:rFonts w:hint="default" w:ascii="Times New Roman" w:hAnsi="Times New Roman" w:eastAsia="楷体" w:cs="Times New Roman"/>
          <w:b w:val="0"/>
          <w:bCs/>
          <w:i w:val="0"/>
          <w:caps w:val="0"/>
          <w:color w:val="auto"/>
          <w:spacing w:val="0"/>
          <w:kern w:val="2"/>
          <w:sz w:val="32"/>
          <w:szCs w:val="32"/>
          <w:shd w:val="clear" w:color="auto" w:fill="auto"/>
          <w:lang w:val="en-US" w:eastAsia="zh-CN" w:bidi="ar-SA"/>
        </w:rPr>
        <w:t>。</w:t>
      </w:r>
    </w:p>
    <w:p w14:paraId="4ACD9CC5">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基于我市公立医疗机构成本调查数据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综合考虑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我市经济社会发展水平、群众医疗服务需求、患者基本医疗费用总体负担、医保基金承受能力、地市间比价关系、医疗服务</w:t>
      </w:r>
      <w:r>
        <w:rPr>
          <w:rFonts w:hint="default" w:ascii="Times New Roman" w:hAnsi="Times New Roman" w:eastAsia="仿宋_GB2312" w:cs="Times New Roman"/>
          <w:sz w:val="32"/>
          <w:szCs w:val="32"/>
          <w:lang w:val="en-US" w:eastAsia="zh-CN"/>
        </w:rPr>
        <w:t>技术劳务价值</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等因素，</w:t>
      </w:r>
      <w:r>
        <w:rPr>
          <w:rFonts w:hint="default" w:ascii="Times New Roman" w:hAnsi="Times New Roman" w:eastAsia="仿宋_GB2312" w:cs="Times New Roman"/>
          <w:sz w:val="32"/>
          <w:szCs w:val="32"/>
          <w:highlight w:val="none"/>
          <w:lang w:val="en-US" w:eastAsia="zh-CN"/>
        </w:rPr>
        <w:t>拟</w:t>
      </w:r>
      <w:r>
        <w:rPr>
          <w:rFonts w:hint="default" w:ascii="Times New Roman" w:hAnsi="Times New Roman" w:eastAsia="仿宋_GB2312" w:cs="Times New Roman"/>
          <w:color w:val="auto"/>
          <w:sz w:val="32"/>
          <w:szCs w:val="32"/>
          <w:lang w:val="en-US" w:eastAsia="zh-CN"/>
        </w:rPr>
        <w:t>确定我市</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三级公立医疗机构</w:t>
      </w:r>
      <w:r>
        <w:rPr>
          <w:rFonts w:hint="default" w:ascii="Times New Roman" w:hAnsi="Times New Roman" w:eastAsia="仿宋_GB2312" w:cs="Times New Roman"/>
          <w:sz w:val="32"/>
          <w:szCs w:val="32"/>
          <w:lang w:val="en-US" w:eastAsia="zh-CN"/>
        </w:rPr>
        <w:t>放射检查类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z w:val="32"/>
          <w:szCs w:val="32"/>
        </w:rPr>
        <w:t>中医类（灸法、拔罐、推拿）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中医外治类</w:t>
      </w:r>
      <w:r>
        <w:rPr>
          <w:rFonts w:hint="eastAsia" w:ascii="Times New Roman" w:hAnsi="Times New Roman" w:eastAsia="仿宋_GB2312" w:cs="Times New Roman"/>
          <w:sz w:val="32"/>
          <w:szCs w:val="32"/>
          <w:lang w:val="en-US" w:eastAsia="zh-CN"/>
        </w:rPr>
        <w:t>、产科类</w:t>
      </w:r>
      <w:bookmarkStart w:id="1" w:name="_GoBack"/>
      <w:bookmarkEnd w:id="1"/>
      <w:r>
        <w:rPr>
          <w:rFonts w:hint="eastAsia" w:ascii="Times New Roman" w:hAnsi="Times New Roman" w:eastAsia="仿宋_GB2312" w:cs="Times New Roman"/>
          <w:sz w:val="32"/>
          <w:szCs w:val="32"/>
          <w:lang w:val="en-US" w:eastAsia="zh-CN"/>
        </w:rPr>
        <w:t>和护理类</w:t>
      </w:r>
      <w:r>
        <w:rPr>
          <w:rFonts w:hint="default" w:ascii="Times New Roman" w:hAnsi="Times New Roman" w:eastAsia="仿宋_GB2312" w:cs="Times New Roman"/>
          <w:sz w:val="32"/>
          <w:szCs w:val="32"/>
          <w:lang w:val="en-US" w:eastAsia="zh-CN"/>
        </w:rPr>
        <w:t>等医疗服务项目</w:t>
      </w:r>
      <w:r>
        <w:rPr>
          <w:rFonts w:hint="default" w:ascii="Times New Roman" w:hAnsi="Times New Roman" w:eastAsia="仿宋_GB2312" w:cs="Times New Roman"/>
          <w:color w:val="auto"/>
          <w:sz w:val="32"/>
          <w:szCs w:val="32"/>
          <w:lang w:val="en-US" w:eastAsia="zh-CN"/>
        </w:rPr>
        <w:t>价格</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按省最高限价下浮</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，二级、一级</w:t>
      </w:r>
      <w:r>
        <w:rPr>
          <w:rFonts w:hint="default" w:ascii="Times New Roman" w:hAnsi="Times New Roman" w:eastAsia="仿宋_GB2312" w:cs="Times New Roman"/>
          <w:color w:val="auto"/>
          <w:sz w:val="32"/>
          <w:szCs w:val="32"/>
          <w:lang w:val="en-US" w:eastAsia="zh-CN"/>
        </w:rPr>
        <w:t>公立医疗机构价格分别按三级公立医疗机构价格的8.2%</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w:t>
      </w:r>
      <w:r>
        <w:rPr>
          <w:rFonts w:hint="default" w:ascii="Times New Roman" w:hAnsi="Times New Roman" w:eastAsia="仿宋_GB2312" w:cs="Times New Roman"/>
          <w:color w:val="auto"/>
          <w:sz w:val="32"/>
          <w:szCs w:val="32"/>
          <w:lang w:val="en-US" w:eastAsia="zh-CN"/>
        </w:rPr>
        <w:t>16.2%下浮。儿童加收项目的加收比例按25%执行。</w:t>
      </w:r>
    </w:p>
    <w:p w14:paraId="4692F8C2">
      <w:pPr>
        <w:keepNext w:val="0"/>
        <w:keepLines w:val="0"/>
        <w:pageBreakBefore w:val="0"/>
        <w:kinsoku/>
        <w:wordWrap/>
        <w:overflowPunct/>
        <w:topLinePunct w:val="0"/>
        <w:bidi w:val="0"/>
        <w:adjustRightInd w:val="0"/>
        <w:snapToGrid w:val="0"/>
        <w:spacing w:line="560" w:lineRule="exact"/>
        <w:textAlignment w:val="auto"/>
        <w:rPr>
          <w:rFonts w:hint="default" w:ascii="Times New Roman" w:hAnsi="Times New Roman" w:eastAsia="仿宋_GB2312" w:cs="Times New Roman"/>
          <w:sz w:val="32"/>
          <w:szCs w:val="32"/>
          <w:lang w:val="en-US" w:eastAsia="zh-CN"/>
        </w:rPr>
      </w:pPr>
    </w:p>
    <w:p w14:paraId="4851E97B">
      <w:pPr>
        <w:keepNext w:val="0"/>
        <w:keepLines w:val="0"/>
        <w:pageBreakBefore w:val="0"/>
        <w:numPr>
          <w:ilvl w:val="0"/>
          <w:numId w:val="0"/>
        </w:numPr>
        <w:kinsoku/>
        <w:wordWrap/>
        <w:overflowPunct/>
        <w:topLinePunct w:val="0"/>
        <w:autoSpaceDE/>
        <w:autoSpaceDN/>
        <w:bidi w:val="0"/>
        <w:spacing w:line="560" w:lineRule="exact"/>
        <w:jc w:val="left"/>
        <w:textAlignment w:val="auto"/>
        <w:rPr>
          <w:rFonts w:hint="default" w:ascii="Times New Roman" w:hAnsi="Times New Roman" w:eastAsia="仿宋_GB2312" w:cs="Times New Roman"/>
          <w:color w:val="000000"/>
          <w:sz w:val="32"/>
          <w:szCs w:val="21"/>
          <w:lang w:val="en-US" w:eastAsia="zh-CN"/>
        </w:rPr>
      </w:pP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color w:val="000000"/>
          <w:sz w:val="32"/>
          <w:szCs w:val="21"/>
          <w:lang w:val="en-US" w:eastAsia="zh-CN"/>
        </w:rPr>
        <w:t xml:space="preserve">      </w:t>
      </w:r>
    </w:p>
    <w:sectPr>
      <w:footerReference r:id="rId4" w:type="first"/>
      <w:footerReference r:id="rId3" w:type="default"/>
      <w:pgSz w:w="11906" w:h="16838"/>
      <w:pgMar w:top="2098" w:right="1587" w:bottom="1984" w:left="1587" w:header="1701" w:footer="567" w:gutter="0"/>
      <w:pgNumType w:fmt="numberInDash"/>
      <w:cols w:space="0" w:num="1"/>
      <w:titlePg/>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76CA0">
    <w:pPr>
      <w:pStyle w:val="5"/>
    </w:pPr>
    <w:r>
      <mc:AlternateContent>
        <mc:Choice Requires="wps">
          <w:drawing>
            <wp:anchor distT="0" distB="0" distL="114300" distR="114300" simplePos="0" relativeHeight="251659264" behindDoc="0" locked="0" layoutInCell="1" allowOverlap="1">
              <wp:simplePos x="0" y="0"/>
              <wp:positionH relativeFrom="margin">
                <wp:posOffset>5098415</wp:posOffset>
              </wp:positionH>
              <wp:positionV relativeFrom="paragraph">
                <wp:posOffset>-77470</wp:posOffset>
              </wp:positionV>
              <wp:extent cx="446405" cy="248285"/>
              <wp:effectExtent l="0" t="0" r="0" b="0"/>
              <wp:wrapNone/>
              <wp:docPr id="6" name="Text Box 1025"/>
              <wp:cNvGraphicFramePr/>
              <a:graphic xmlns:a="http://schemas.openxmlformats.org/drawingml/2006/main">
                <a:graphicData uri="http://schemas.microsoft.com/office/word/2010/wordprocessingShape">
                  <wps:wsp>
                    <wps:cNvSpPr/>
                    <wps:spPr>
                      <a:xfrm>
                        <a:off x="0" y="0"/>
                        <a:ext cx="446405" cy="248285"/>
                      </a:xfrm>
                      <a:prstGeom prst="rect">
                        <a:avLst/>
                      </a:prstGeom>
                      <a:noFill/>
                      <a:ln w="9525">
                        <a:noFill/>
                      </a:ln>
                    </wps:spPr>
                    <wps:txbx>
                      <w:txbxContent>
                        <w:p w14:paraId="5E59C1F7">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p>
                      </w:txbxContent>
                    </wps:txbx>
                    <wps:bodyPr wrap="square" lIns="0" tIns="0" rIns="0" bIns="0" upright="1">
                      <a:noAutofit/>
                    </wps:bodyPr>
                  </wps:wsp>
                </a:graphicData>
              </a:graphic>
            </wp:anchor>
          </w:drawing>
        </mc:Choice>
        <mc:Fallback>
          <w:pict>
            <v:rect id="Text Box 1025" o:spid="_x0000_s1026" o:spt="1" style="position:absolute;left:0pt;margin-left:401.45pt;margin-top:-6.1pt;height:19.55pt;width:35.15pt;mso-position-horizontal-relative:margin;z-index:251659264;mso-width-relative:page;mso-height-relative:page;" filled="f" stroked="f" coordsize="21600,21600" o:gfxdata="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NylOE9oAAAAKAQAADwAAAAAAAAABACAAAAAiAAAAZHJzL2Rvd25y&#10;ZXYueG1sUEsBAhQAFAAAAAgAh07iQPBpKAjDAQAAmgMAAA4AAAAAAAAAAQAgAAAAKQEAAGRycy9l&#10;Mm9Eb2MueG1sUEsFBgAAAAAGAAYAWQEAAF4FAAAAAA==&#10;">
              <v:fill on="f" focussize="0,0"/>
              <v:stroke on="f"/>
              <v:imagedata o:title=""/>
              <o:lock v:ext="edit" aspectratio="f"/>
              <v:textbox inset="0mm,0mm,0mm,0mm">
                <w:txbxContent>
                  <w:p w14:paraId="5E59C1F7">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CF540">
    <w:pPr>
      <w:pStyle w:val="5"/>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21590</wp:posOffset>
              </wp:positionV>
              <wp:extent cx="1828800" cy="1828800"/>
              <wp:effectExtent l="0" t="0" r="0" b="0"/>
              <wp:wrapNone/>
              <wp:docPr id="4" name="文本框12"/>
              <wp:cNvGraphicFramePr/>
              <a:graphic xmlns:a="http://schemas.openxmlformats.org/drawingml/2006/main">
                <a:graphicData uri="http://schemas.microsoft.com/office/word/2010/wordprocessingShape">
                  <wps:wsp>
                    <wps:cNvSpPr/>
                    <wps:spPr>
                      <a:xfrm>
                        <a:off x="0" y="0"/>
                        <a:ext cx="1828800" cy="1828800"/>
                      </a:xfrm>
                      <a:prstGeom prst="rect">
                        <a:avLst/>
                      </a:prstGeom>
                      <a:noFill/>
                      <a:ln w="15875">
                        <a:noFill/>
                      </a:ln>
                    </wps:spPr>
                    <wps:txbx>
                      <w:txbxContent>
                        <w:p w14:paraId="2F7AA4EF">
                          <w:pPr>
                            <w:snapToGrid w:val="0"/>
                            <w:rPr>
                              <w:rFonts w:eastAsia="宋体"/>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rect id="文本框12" o:spid="_x0000_s1026" o:spt="1" style="position:absolute;left:0pt;margin-top:1.7pt;height:144pt;width:144pt;mso-position-horizontal:right;mso-position-horizontal-relative:margin;mso-wrap-style:none;z-index:251660288;mso-width-relative:page;mso-height-relative:page;" filled="f" stroked="f" coordsize="21600,21600" o:gfxdata="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xSaL3tQAAAAGAQAADwAAAAAAAAABACAAAAAiAAAAZHJzL2Rvd25yZXYu&#10;eG1sUEsBAhQAFAAAAAgAh07iQCktGJXGAQAAjQMAAA4AAAAAAAAAAQAgAAAAIwEAAGRycy9lMm9E&#10;b2MueG1sUEsFBgAAAAAGAAYAWQEAAFsFAAAAAA==&#10;">
              <v:fill on="f" focussize="0,0"/>
              <v:stroke on="f" weight="1.25pt"/>
              <v:imagedata o:title=""/>
              <o:lock v:ext="edit" aspectratio="f"/>
              <v:textbox inset="0mm,0mm,0mm,0mm" style="mso-fit-shape-to-text:t;">
                <w:txbxContent>
                  <w:p w14:paraId="2F7AA4EF">
                    <w:pPr>
                      <w:snapToGrid w:val="0"/>
                      <w:rPr>
                        <w:rFonts w:eastAsia="宋体"/>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pStyle w:val="2"/>
      <w:lvlText w:val="(%1)"/>
      <w:lvlJc w:val="left"/>
      <w:pPr>
        <w:ind w:left="845" w:hanging="420"/>
      </w:pPr>
      <w:rPr>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dit="readOnly"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kMTE3YjA2OGIxOGNhZWQxMTk5NTBlODk2NzBlYzgifQ=="/>
  </w:docVars>
  <w:rsids>
    <w:rsidRoot w:val="73524D52"/>
    <w:rsid w:val="00111A4B"/>
    <w:rsid w:val="0012417E"/>
    <w:rsid w:val="004846CF"/>
    <w:rsid w:val="005C27C9"/>
    <w:rsid w:val="006E13A9"/>
    <w:rsid w:val="00B223D6"/>
    <w:rsid w:val="00B26B3E"/>
    <w:rsid w:val="00B73F7C"/>
    <w:rsid w:val="00CF1751"/>
    <w:rsid w:val="00D6210E"/>
    <w:rsid w:val="010E09BE"/>
    <w:rsid w:val="01F61E85"/>
    <w:rsid w:val="01F73AF3"/>
    <w:rsid w:val="020B1C7D"/>
    <w:rsid w:val="02547E78"/>
    <w:rsid w:val="036A712A"/>
    <w:rsid w:val="03A45265"/>
    <w:rsid w:val="04065667"/>
    <w:rsid w:val="04167A26"/>
    <w:rsid w:val="053241E3"/>
    <w:rsid w:val="053425F8"/>
    <w:rsid w:val="05BE04E3"/>
    <w:rsid w:val="062278DE"/>
    <w:rsid w:val="069A46FA"/>
    <w:rsid w:val="06A84E2A"/>
    <w:rsid w:val="0732376F"/>
    <w:rsid w:val="077834E1"/>
    <w:rsid w:val="079C2807"/>
    <w:rsid w:val="07CE060F"/>
    <w:rsid w:val="08027465"/>
    <w:rsid w:val="08184262"/>
    <w:rsid w:val="08574378"/>
    <w:rsid w:val="087C0E70"/>
    <w:rsid w:val="09351792"/>
    <w:rsid w:val="09502DB2"/>
    <w:rsid w:val="09534F5C"/>
    <w:rsid w:val="096C10E7"/>
    <w:rsid w:val="096E6906"/>
    <w:rsid w:val="098E4775"/>
    <w:rsid w:val="09B54F1F"/>
    <w:rsid w:val="09F809DB"/>
    <w:rsid w:val="0A7B416A"/>
    <w:rsid w:val="0AC54116"/>
    <w:rsid w:val="0B5E77E0"/>
    <w:rsid w:val="0BC00D9F"/>
    <w:rsid w:val="0BDB231C"/>
    <w:rsid w:val="0BE81630"/>
    <w:rsid w:val="0C160336"/>
    <w:rsid w:val="0C6805B7"/>
    <w:rsid w:val="0CC94EEC"/>
    <w:rsid w:val="0D1148B9"/>
    <w:rsid w:val="0DB73378"/>
    <w:rsid w:val="0DC9299A"/>
    <w:rsid w:val="0E002C63"/>
    <w:rsid w:val="0FA54F12"/>
    <w:rsid w:val="0FB34607"/>
    <w:rsid w:val="101F3798"/>
    <w:rsid w:val="108230A5"/>
    <w:rsid w:val="10C711D1"/>
    <w:rsid w:val="11323B0C"/>
    <w:rsid w:val="113A677C"/>
    <w:rsid w:val="11903010"/>
    <w:rsid w:val="124F0DC9"/>
    <w:rsid w:val="129267B2"/>
    <w:rsid w:val="129D4E74"/>
    <w:rsid w:val="13272F7A"/>
    <w:rsid w:val="13C03A04"/>
    <w:rsid w:val="13CE5AEB"/>
    <w:rsid w:val="13FD3CDB"/>
    <w:rsid w:val="140164DF"/>
    <w:rsid w:val="14987A67"/>
    <w:rsid w:val="14E537DB"/>
    <w:rsid w:val="15F3690F"/>
    <w:rsid w:val="16316407"/>
    <w:rsid w:val="16FE52AB"/>
    <w:rsid w:val="17AB6E08"/>
    <w:rsid w:val="17C7673B"/>
    <w:rsid w:val="17CB3E55"/>
    <w:rsid w:val="18F35778"/>
    <w:rsid w:val="18FE2F81"/>
    <w:rsid w:val="191346FF"/>
    <w:rsid w:val="196900E3"/>
    <w:rsid w:val="1A644DE7"/>
    <w:rsid w:val="1AA126BD"/>
    <w:rsid w:val="1AF03F17"/>
    <w:rsid w:val="1AF43B53"/>
    <w:rsid w:val="1B103D73"/>
    <w:rsid w:val="1B3B49EA"/>
    <w:rsid w:val="1B5C3795"/>
    <w:rsid w:val="1B754BF6"/>
    <w:rsid w:val="1B8D49C2"/>
    <w:rsid w:val="1BE93A56"/>
    <w:rsid w:val="1BEC6B0F"/>
    <w:rsid w:val="1C46252C"/>
    <w:rsid w:val="1C5E338A"/>
    <w:rsid w:val="1CBD3F2A"/>
    <w:rsid w:val="1D5B654D"/>
    <w:rsid w:val="1E0A5D64"/>
    <w:rsid w:val="1EEF3743"/>
    <w:rsid w:val="1F6E6BB5"/>
    <w:rsid w:val="1F830D3F"/>
    <w:rsid w:val="201D6D3F"/>
    <w:rsid w:val="203552DC"/>
    <w:rsid w:val="20916BF5"/>
    <w:rsid w:val="20A336B4"/>
    <w:rsid w:val="20A82385"/>
    <w:rsid w:val="2125250F"/>
    <w:rsid w:val="2154376E"/>
    <w:rsid w:val="215E7F52"/>
    <w:rsid w:val="21981533"/>
    <w:rsid w:val="22677FC7"/>
    <w:rsid w:val="22C862F3"/>
    <w:rsid w:val="234E282A"/>
    <w:rsid w:val="241F551F"/>
    <w:rsid w:val="25861247"/>
    <w:rsid w:val="264B4D6F"/>
    <w:rsid w:val="266768F0"/>
    <w:rsid w:val="26B56DAA"/>
    <w:rsid w:val="275D2BE9"/>
    <w:rsid w:val="276A0AEA"/>
    <w:rsid w:val="27C4633B"/>
    <w:rsid w:val="28061D38"/>
    <w:rsid w:val="280C499B"/>
    <w:rsid w:val="282D2DD3"/>
    <w:rsid w:val="286972FA"/>
    <w:rsid w:val="28B271CE"/>
    <w:rsid w:val="28C013D7"/>
    <w:rsid w:val="28EA3630"/>
    <w:rsid w:val="29847868"/>
    <w:rsid w:val="299F7304"/>
    <w:rsid w:val="2A1E51F4"/>
    <w:rsid w:val="2AEB5A10"/>
    <w:rsid w:val="2B0C3640"/>
    <w:rsid w:val="2B287F72"/>
    <w:rsid w:val="2B5003A6"/>
    <w:rsid w:val="2BC96298"/>
    <w:rsid w:val="2C0D1AB0"/>
    <w:rsid w:val="2C2A4AA2"/>
    <w:rsid w:val="2CAF4D8A"/>
    <w:rsid w:val="2CC43EBC"/>
    <w:rsid w:val="2D937208"/>
    <w:rsid w:val="2DA56A34"/>
    <w:rsid w:val="2DD70A10"/>
    <w:rsid w:val="2F0E2F5C"/>
    <w:rsid w:val="2F2E4B1A"/>
    <w:rsid w:val="2FA1283A"/>
    <w:rsid w:val="2FB655E4"/>
    <w:rsid w:val="3055103A"/>
    <w:rsid w:val="30690E01"/>
    <w:rsid w:val="306F6904"/>
    <w:rsid w:val="307A120E"/>
    <w:rsid w:val="30F04EFB"/>
    <w:rsid w:val="30F2726E"/>
    <w:rsid w:val="319D5D53"/>
    <w:rsid w:val="31BA7AEA"/>
    <w:rsid w:val="320B22D4"/>
    <w:rsid w:val="3229531A"/>
    <w:rsid w:val="322F0DE9"/>
    <w:rsid w:val="32797FDE"/>
    <w:rsid w:val="32B227A8"/>
    <w:rsid w:val="32E31DDC"/>
    <w:rsid w:val="344276F6"/>
    <w:rsid w:val="344B2F73"/>
    <w:rsid w:val="344F6F06"/>
    <w:rsid w:val="346A6D70"/>
    <w:rsid w:val="34C56651"/>
    <w:rsid w:val="34EB4393"/>
    <w:rsid w:val="35587EA2"/>
    <w:rsid w:val="355C65FE"/>
    <w:rsid w:val="35965989"/>
    <w:rsid w:val="35DD70CF"/>
    <w:rsid w:val="360716D0"/>
    <w:rsid w:val="36235A1D"/>
    <w:rsid w:val="370538C7"/>
    <w:rsid w:val="3711102F"/>
    <w:rsid w:val="37925B2D"/>
    <w:rsid w:val="37A837DB"/>
    <w:rsid w:val="38035D96"/>
    <w:rsid w:val="381A4DAB"/>
    <w:rsid w:val="388A4874"/>
    <w:rsid w:val="3A731C29"/>
    <w:rsid w:val="3A8C7FE6"/>
    <w:rsid w:val="3B766582"/>
    <w:rsid w:val="3BCC614D"/>
    <w:rsid w:val="3BD6339A"/>
    <w:rsid w:val="3C4C4A01"/>
    <w:rsid w:val="3C6C06D7"/>
    <w:rsid w:val="3D137F9C"/>
    <w:rsid w:val="3D7A215F"/>
    <w:rsid w:val="3D9753C3"/>
    <w:rsid w:val="3DE013A8"/>
    <w:rsid w:val="3DFE1AD1"/>
    <w:rsid w:val="3E2C741E"/>
    <w:rsid w:val="3E4312DA"/>
    <w:rsid w:val="3EC53852"/>
    <w:rsid w:val="3EE86FC3"/>
    <w:rsid w:val="3F5C36FF"/>
    <w:rsid w:val="3FF8394C"/>
    <w:rsid w:val="400931C8"/>
    <w:rsid w:val="40926F4B"/>
    <w:rsid w:val="40AD519C"/>
    <w:rsid w:val="40ED244C"/>
    <w:rsid w:val="410E305F"/>
    <w:rsid w:val="413800EF"/>
    <w:rsid w:val="416F7D32"/>
    <w:rsid w:val="42CA2079"/>
    <w:rsid w:val="42CE5B17"/>
    <w:rsid w:val="43530806"/>
    <w:rsid w:val="43833DB6"/>
    <w:rsid w:val="43B07129"/>
    <w:rsid w:val="43B648EC"/>
    <w:rsid w:val="43FD65A5"/>
    <w:rsid w:val="44ED2674"/>
    <w:rsid w:val="44F95A69"/>
    <w:rsid w:val="45A31D12"/>
    <w:rsid w:val="45E77C69"/>
    <w:rsid w:val="465E0297"/>
    <w:rsid w:val="46633417"/>
    <w:rsid w:val="46DD4C00"/>
    <w:rsid w:val="48084969"/>
    <w:rsid w:val="48B671E7"/>
    <w:rsid w:val="48D11B48"/>
    <w:rsid w:val="496A4F8C"/>
    <w:rsid w:val="4A0D0C5C"/>
    <w:rsid w:val="4A337558"/>
    <w:rsid w:val="4AB70D90"/>
    <w:rsid w:val="4B6317B1"/>
    <w:rsid w:val="4C370189"/>
    <w:rsid w:val="4D92460B"/>
    <w:rsid w:val="4DE56730"/>
    <w:rsid w:val="4E2F31D3"/>
    <w:rsid w:val="4E8E0877"/>
    <w:rsid w:val="4E911993"/>
    <w:rsid w:val="4EB22587"/>
    <w:rsid w:val="4EC82191"/>
    <w:rsid w:val="4F0678E4"/>
    <w:rsid w:val="4F8110C6"/>
    <w:rsid w:val="4F932A9A"/>
    <w:rsid w:val="4FFE4D21"/>
    <w:rsid w:val="50060363"/>
    <w:rsid w:val="506856A8"/>
    <w:rsid w:val="50963287"/>
    <w:rsid w:val="50C904A1"/>
    <w:rsid w:val="50F63AD1"/>
    <w:rsid w:val="51896F3E"/>
    <w:rsid w:val="52B43FF6"/>
    <w:rsid w:val="52B72F28"/>
    <w:rsid w:val="52D3214C"/>
    <w:rsid w:val="532A37A3"/>
    <w:rsid w:val="542B6C60"/>
    <w:rsid w:val="545C2156"/>
    <w:rsid w:val="54DB5397"/>
    <w:rsid w:val="54E20674"/>
    <w:rsid w:val="551036CB"/>
    <w:rsid w:val="55653F28"/>
    <w:rsid w:val="567E2235"/>
    <w:rsid w:val="568F48A2"/>
    <w:rsid w:val="5778319D"/>
    <w:rsid w:val="578861DD"/>
    <w:rsid w:val="584B636E"/>
    <w:rsid w:val="58B63E7C"/>
    <w:rsid w:val="5952032D"/>
    <w:rsid w:val="59765BD5"/>
    <w:rsid w:val="5A5963E2"/>
    <w:rsid w:val="5AB60511"/>
    <w:rsid w:val="5AE57234"/>
    <w:rsid w:val="5B206EED"/>
    <w:rsid w:val="5B456093"/>
    <w:rsid w:val="5B4568D2"/>
    <w:rsid w:val="5BE26A56"/>
    <w:rsid w:val="5BE80AF1"/>
    <w:rsid w:val="5BFBDC51"/>
    <w:rsid w:val="5C59122E"/>
    <w:rsid w:val="5C83281D"/>
    <w:rsid w:val="5CFB5C87"/>
    <w:rsid w:val="5D144A17"/>
    <w:rsid w:val="5D5F01EA"/>
    <w:rsid w:val="5DA43497"/>
    <w:rsid w:val="5DEA51A3"/>
    <w:rsid w:val="5DFF2E21"/>
    <w:rsid w:val="5E284309"/>
    <w:rsid w:val="5E850D87"/>
    <w:rsid w:val="5E9031B9"/>
    <w:rsid w:val="5EBF5D4A"/>
    <w:rsid w:val="607645E2"/>
    <w:rsid w:val="61460DB2"/>
    <w:rsid w:val="61655BCE"/>
    <w:rsid w:val="616F0E6F"/>
    <w:rsid w:val="617125D8"/>
    <w:rsid w:val="61B21CD6"/>
    <w:rsid w:val="61D23B37"/>
    <w:rsid w:val="62141564"/>
    <w:rsid w:val="631E29A8"/>
    <w:rsid w:val="6414115C"/>
    <w:rsid w:val="644E7CE1"/>
    <w:rsid w:val="64F91C3F"/>
    <w:rsid w:val="650C68FC"/>
    <w:rsid w:val="65214173"/>
    <w:rsid w:val="65344A43"/>
    <w:rsid w:val="660C3543"/>
    <w:rsid w:val="66485118"/>
    <w:rsid w:val="66654A09"/>
    <w:rsid w:val="66670C93"/>
    <w:rsid w:val="66DD32CB"/>
    <w:rsid w:val="67F85348"/>
    <w:rsid w:val="687C0E18"/>
    <w:rsid w:val="68AF0715"/>
    <w:rsid w:val="69251138"/>
    <w:rsid w:val="694803F7"/>
    <w:rsid w:val="696A7177"/>
    <w:rsid w:val="698B76BE"/>
    <w:rsid w:val="69F63438"/>
    <w:rsid w:val="69F8733B"/>
    <w:rsid w:val="6AC61D44"/>
    <w:rsid w:val="6B3428E3"/>
    <w:rsid w:val="6BA47F15"/>
    <w:rsid w:val="6BB6151D"/>
    <w:rsid w:val="6BFF3389"/>
    <w:rsid w:val="6C367B94"/>
    <w:rsid w:val="6C7275B9"/>
    <w:rsid w:val="6DB94528"/>
    <w:rsid w:val="6DFD310C"/>
    <w:rsid w:val="6E1C36E7"/>
    <w:rsid w:val="6E9B7A22"/>
    <w:rsid w:val="6EE675AE"/>
    <w:rsid w:val="701702B4"/>
    <w:rsid w:val="70200323"/>
    <w:rsid w:val="708F37B3"/>
    <w:rsid w:val="70C301B0"/>
    <w:rsid w:val="70D455FA"/>
    <w:rsid w:val="70E20E03"/>
    <w:rsid w:val="70F532B9"/>
    <w:rsid w:val="70F66267"/>
    <w:rsid w:val="719C5A56"/>
    <w:rsid w:val="72177BE3"/>
    <w:rsid w:val="72203B73"/>
    <w:rsid w:val="7273091E"/>
    <w:rsid w:val="72F262D6"/>
    <w:rsid w:val="72F57B0C"/>
    <w:rsid w:val="73524D52"/>
    <w:rsid w:val="73FE075C"/>
    <w:rsid w:val="74022A1D"/>
    <w:rsid w:val="740E16FA"/>
    <w:rsid w:val="7473523A"/>
    <w:rsid w:val="749B22D1"/>
    <w:rsid w:val="749E08ED"/>
    <w:rsid w:val="74A15A8E"/>
    <w:rsid w:val="74C777AC"/>
    <w:rsid w:val="75EE17C1"/>
    <w:rsid w:val="764D5C4F"/>
    <w:rsid w:val="76E22A7B"/>
    <w:rsid w:val="76F9599D"/>
    <w:rsid w:val="77B66EA7"/>
    <w:rsid w:val="786D349E"/>
    <w:rsid w:val="78F5637E"/>
    <w:rsid w:val="79104A98"/>
    <w:rsid w:val="794144F3"/>
    <w:rsid w:val="79AF32DE"/>
    <w:rsid w:val="79E367C1"/>
    <w:rsid w:val="79F5D942"/>
    <w:rsid w:val="7ABD67AB"/>
    <w:rsid w:val="7AEF6DC1"/>
    <w:rsid w:val="7AF95CC7"/>
    <w:rsid w:val="7B49300B"/>
    <w:rsid w:val="7B6D0642"/>
    <w:rsid w:val="7BB43943"/>
    <w:rsid w:val="7C5467B1"/>
    <w:rsid w:val="7C8C4FFD"/>
    <w:rsid w:val="7D359E14"/>
    <w:rsid w:val="7D440EBB"/>
    <w:rsid w:val="7D8F07AD"/>
    <w:rsid w:val="7DDB016B"/>
    <w:rsid w:val="7E0418EC"/>
    <w:rsid w:val="7E196511"/>
    <w:rsid w:val="7E4B20AF"/>
    <w:rsid w:val="7F6F296B"/>
    <w:rsid w:val="7F985794"/>
    <w:rsid w:val="BBF7405A"/>
    <w:rsid w:val="BBFEFE15"/>
    <w:rsid w:val="E3FD0D51"/>
    <w:rsid w:val="FBDF1595"/>
    <w:rsid w:val="FDFD2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numPr>
        <w:ilvl w:val="0"/>
        <w:numId w:val="1"/>
      </w:numPr>
      <w:spacing w:before="260" w:after="260" w:line="416" w:lineRule="auto"/>
      <w:ind w:right="100" w:rightChars="100"/>
      <w:outlineLvl w:val="2"/>
    </w:pPr>
    <w:rPr>
      <w:rFonts w:ascii="Calibri" w:hAnsi="Calibri" w:eastAsia="宋体" w:cs="Times New Roman"/>
      <w:b/>
      <w:bCs/>
      <w:sz w:val="24"/>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r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0"/>
    <w:rPr>
      <w:rFonts w:hint="default"/>
      <w:sz w:val="21"/>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14">
    <w:name w:val="正文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5">
    <w:name w:val="正文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6">
    <w:name w:val="普通(网站)1"/>
    <w:basedOn w:val="1"/>
    <w:qFormat/>
    <w:uiPriority w:val="0"/>
    <w:rPr>
      <w:sz w:val="24"/>
    </w:rPr>
  </w:style>
  <w:style w:type="character" w:customStyle="1" w:styleId="17">
    <w:name w:val="页眉 字符"/>
    <w:basedOn w:val="11"/>
    <w:link w:val="6"/>
    <w:qFormat/>
    <w:uiPriority w:val="0"/>
    <w:rPr>
      <w:kern w:val="2"/>
      <w:sz w:val="18"/>
      <w:szCs w:val="18"/>
    </w:rPr>
  </w:style>
  <w:style w:type="character" w:customStyle="1" w:styleId="18">
    <w:name w:val="批注框文本 字符"/>
    <w:basedOn w:val="11"/>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市社会保险基金管理局</Company>
  <Pages>4</Pages>
  <Words>968</Words>
  <Characters>1026</Characters>
  <Lines>83</Lines>
  <Paragraphs>23</Paragraphs>
  <TotalTime>1</TotalTime>
  <ScaleCrop>false</ScaleCrop>
  <LinksUpToDate>false</LinksUpToDate>
  <CharactersWithSpaces>1071</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2020-06-24T10:05:00Z</dcterms:created>
  <dc:creator>廖翥</dc:creator>
  <cp:lastModifiedBy>医药价格和采购管理科03</cp:lastModifiedBy>
  <cp:lastPrinted>2025-02-27T09:28:00Z</cp:lastPrinted>
  <dcterms:modified xsi:type="dcterms:W3CDTF">2025-04-15T07:47:45Z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149158BCC01745308E75914FFF131615</vt:lpwstr>
  </property>
</Properties>
</file>