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eastAsia="宋体" w:cs="Times New Roman"/>
          <w:iCs/>
          <w:color w:val="000000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                                               </w:t>
      </w:r>
      <w:r>
        <w:rPr>
          <w:rFonts w:hint="eastAsia" w:ascii="Times New Roman" w:hAnsi="Times New Roman" w:eastAsia="宋体" w:cs="Times New Roman"/>
          <w:iCs/>
          <w:color w:val="000000"/>
          <w:sz w:val="24"/>
        </w:rPr>
        <w:t>DBY-22-JLYP-00</w:t>
      </w:r>
      <w:r>
        <w:rPr>
          <w:rFonts w:ascii="Times New Roman" w:hAnsi="Times New Roman" w:eastAsia="宋体" w:cs="Times New Roman"/>
          <w:iCs/>
          <w:color w:val="000000"/>
          <w:sz w:val="24"/>
        </w:rPr>
        <w:t>1</w:t>
      </w:r>
      <w:r>
        <w:rPr>
          <w:rFonts w:hint="eastAsia" w:ascii="Times New Roman" w:hAnsi="Times New Roman" w:eastAsia="宋体" w:cs="Times New Roman"/>
          <w:iCs/>
          <w:color w:val="000000"/>
          <w:sz w:val="24"/>
        </w:rPr>
        <w:t>-202</w:t>
      </w:r>
      <w:r>
        <w:rPr>
          <w:rFonts w:ascii="Times New Roman" w:hAnsi="Times New Roman" w:eastAsia="宋体" w:cs="Times New Roman"/>
          <w:iCs/>
          <w:color w:val="000000"/>
          <w:sz w:val="24"/>
        </w:rPr>
        <w:t>5</w:t>
      </w:r>
    </w:p>
    <w:p>
      <w:pPr>
        <w:pStyle w:val="5"/>
        <w:adjustRightInd w:val="0"/>
        <w:snapToGrid w:val="0"/>
        <w:spacing w:before="0" w:beforeAutospacing="0" w:after="0" w:afterAutospacing="0" w:line="288" w:lineRule="auto"/>
        <w:jc w:val="center"/>
        <w:rPr>
          <w:rFonts w:hint="eastAsia" w:eastAsia="黑体"/>
          <w:sz w:val="28"/>
          <w:szCs w:val="28"/>
        </w:rPr>
      </w:pPr>
      <w:bookmarkStart w:id="4" w:name="_GoBack"/>
      <w:bookmarkEnd w:id="4"/>
      <w:r>
        <w:rPr>
          <w:rFonts w:hint="eastAsia" w:eastAsia="黑体"/>
          <w:sz w:val="36"/>
          <w:szCs w:val="36"/>
        </w:rPr>
        <w:t>生晒参（林下山参）</w:t>
      </w:r>
    </w:p>
    <w:p>
      <w:pPr>
        <w:pStyle w:val="5"/>
        <w:adjustRightInd w:val="0"/>
        <w:snapToGrid w:val="0"/>
        <w:spacing w:before="0" w:beforeAutospacing="0" w:after="0" w:afterAutospacing="0" w:line="288" w:lineRule="auto"/>
        <w:jc w:val="center"/>
        <w:rPr>
          <w:rFonts w:hint="eastAsia" w:cs="Times New Roman"/>
        </w:rPr>
      </w:pPr>
      <w:r>
        <w:rPr>
          <w:rFonts w:cs="Times New Roman"/>
        </w:rPr>
        <w:t>Shen</w:t>
      </w:r>
      <w:r>
        <w:rPr>
          <w:rFonts w:hint="eastAsia" w:cs="Times New Roman"/>
        </w:rPr>
        <w:t>ɡ</w:t>
      </w:r>
      <w:r>
        <w:rPr>
          <w:rFonts w:cs="Times New Roman"/>
        </w:rPr>
        <w:t>shɑishen</w:t>
      </w:r>
      <w:r>
        <w:rPr>
          <w:rFonts w:hint="eastAsia" w:cs="Times New Roman"/>
        </w:rPr>
        <w:t>（</w:t>
      </w:r>
      <w:r>
        <w:rPr>
          <w:rFonts w:cs="Times New Roman"/>
        </w:rPr>
        <w:t>linxiɑshɑnshen</w:t>
      </w:r>
      <w:r>
        <w:rPr>
          <w:rFonts w:hint="eastAsia" w:cs="Times New Roman"/>
        </w:rPr>
        <w:t>）</w:t>
      </w:r>
    </w:p>
    <w:p>
      <w:pPr>
        <w:pStyle w:val="5"/>
        <w:adjustRightInd w:val="0"/>
        <w:snapToGrid w:val="0"/>
        <w:spacing w:before="0" w:beforeAutospacing="0" w:after="0" w:afterAutospacing="0" w:line="288" w:lineRule="auto"/>
        <w:jc w:val="center"/>
        <w:rPr>
          <w:rFonts w:hint="eastAsia" w:cs="Times New Roman"/>
        </w:rPr>
      </w:pPr>
    </w:p>
    <w:p>
      <w:pPr>
        <w:spacing w:line="288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本品为五加科植物人参</w:t>
      </w:r>
      <w:r>
        <w:rPr>
          <w:i/>
          <w:color w:val="000000"/>
          <w:sz w:val="24"/>
        </w:rPr>
        <w:t>Panax ginseng</w:t>
      </w:r>
      <w:r>
        <w:rPr>
          <w:color w:val="000000"/>
          <w:sz w:val="24"/>
        </w:rPr>
        <w:t xml:space="preserve"> C.A.Mey.</w:t>
      </w:r>
      <w:r>
        <w:rPr>
          <w:rFonts w:hint="eastAsia" w:ascii="宋体" w:hAnsi="宋体"/>
          <w:color w:val="000000"/>
          <w:sz w:val="24"/>
        </w:rPr>
        <w:t>中林下山参的干燥根和根茎的加工炮制品。</w:t>
      </w:r>
    </w:p>
    <w:p>
      <w:pPr>
        <w:spacing w:line="288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黑体" w:hAnsi="黑体" w:eastAsia="黑体"/>
          <w:sz w:val="24"/>
        </w:rPr>
        <w:t>【炮制</w:t>
      </w:r>
      <w:r>
        <w:rPr>
          <w:rFonts w:hint="eastAsia" w:ascii="黑体" w:hAnsi="黑体" w:eastAsia="黑体"/>
          <w:sz w:val="24"/>
        </w:rPr>
        <w:t xml:space="preserve">】 </w:t>
      </w:r>
      <w:r>
        <w:rPr>
          <w:rFonts w:ascii="宋体" w:hAnsi="宋体"/>
          <w:sz w:val="24"/>
        </w:rPr>
        <w:t>取</w:t>
      </w:r>
      <w:r>
        <w:rPr>
          <w:rFonts w:hint="eastAsia" w:ascii="宋体" w:hAnsi="宋体"/>
          <w:sz w:val="24"/>
        </w:rPr>
        <w:t>林下山参药材</w:t>
      </w:r>
      <w:r>
        <w:rPr>
          <w:rFonts w:hint="eastAsia" w:ascii="宋体" w:hAnsi="宋体"/>
          <w:kern w:val="0"/>
          <w:sz w:val="24"/>
        </w:rPr>
        <w:t>，除去杂质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hint="eastAsia" w:ascii="宋体" w:hAnsi="宋体"/>
          <w:kern w:val="0"/>
          <w:sz w:val="24"/>
        </w:rPr>
        <w:t>用时粉碎或捣碎。</w:t>
      </w:r>
    </w:p>
    <w:p>
      <w:pPr>
        <w:spacing w:line="288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黑体" w:hAnsi="黑体" w:eastAsia="黑体"/>
          <w:sz w:val="24"/>
        </w:rPr>
        <w:t>【性状】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/>
          <w:sz w:val="24"/>
        </w:rPr>
        <w:t>本品主根多与根茎近等长或较短，呈圆柱形、菱角形或人字形，长1～6cm。表面灰黄色，具纵皱纹，上部或中下部有环纹。支根多为2～3条，须根少而细长，清晰不乱，有较明显的疣状突起。根茎细长，少数粗短，中上部具稀疏或密集而深陷的茎痕。不定根较细，多下垂。香气特异，味微苦、甘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ascii="黑体" w:hAnsi="黑体" w:eastAsia="黑体"/>
          <w:sz w:val="24"/>
        </w:rPr>
        <w:t>【</w:t>
      </w:r>
      <w:r>
        <w:rPr>
          <w:rFonts w:hint="eastAsia" w:ascii="黑体" w:hAnsi="黑体" w:eastAsia="黑体"/>
          <w:sz w:val="24"/>
        </w:rPr>
        <w:t>鉴别</w:t>
      </w:r>
      <w:r>
        <w:rPr>
          <w:rFonts w:ascii="黑体" w:hAnsi="黑体" w:eastAsia="黑体"/>
          <w:sz w:val="24"/>
        </w:rPr>
        <w:t>】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hint="eastAsia"/>
          <w:sz w:val="24"/>
        </w:rPr>
        <w:t>（1）本品横切面：木栓层为数列细胞。栓内层窄。韧皮部外侧有裂隙，内侧薄壁细胞排列较紧密，有树脂道散在，内含黄色分泌物。形成层成环。木质部射线宽广，导管单个散在或数个相聚，断续排列成放射状，导管旁偶有非木化的纤维。薄壁细胞含草酸钙簇晶。</w:t>
      </w:r>
    </w:p>
    <w:p>
      <w:pPr>
        <w:spacing w:line="288" w:lineRule="auto"/>
        <w:ind w:firstLine="480" w:firstLineChars="200"/>
        <w:rPr>
          <w:sz w:val="24"/>
        </w:rPr>
      </w:pPr>
      <w:r>
        <w:rPr>
          <w:sz w:val="24"/>
        </w:rPr>
        <w:t>粉末淡黄白色。树脂道碎片易见，含黄色块状分泌物。草酸钙簇晶直径20～68μm，棱角锐尖。木栓细胞表面观类方形或多角形，壁细波状弯曲。网纹导管和梯纹导管直径10～56μm。淀粉粒甚多，单粒类球形、半圆形或不规则多角形，直径4～20μm，脐点点状或裂缝状；复粒由2</w:t>
      </w:r>
      <w:bookmarkStart w:id="0" w:name="OLE_LINK3"/>
      <w:r>
        <w:rPr>
          <w:sz w:val="24"/>
        </w:rPr>
        <w:t>～</w:t>
      </w:r>
      <w:bookmarkEnd w:id="0"/>
      <w:r>
        <w:rPr>
          <w:sz w:val="24"/>
        </w:rPr>
        <w:t>6分粒组成。</w:t>
      </w:r>
    </w:p>
    <w:p>
      <w:pPr>
        <w:spacing w:line="288" w:lineRule="auto"/>
        <w:ind w:firstLine="480" w:firstLineChars="200"/>
        <w:jc w:val="left"/>
        <w:rPr>
          <w:rFonts w:hint="eastAsia"/>
          <w:sz w:val="24"/>
        </w:rPr>
      </w:pPr>
      <w:r>
        <w:rPr>
          <w:sz w:val="24"/>
        </w:rPr>
        <w:t>（2）取本品粉末1g，加三氯甲烷40ml，加热回流1小时，弃去三氯甲烷液，药渣挥干溶剂，加水0</w:t>
      </w:r>
      <w:r>
        <w:rPr>
          <w:rFonts w:ascii="宋体" w:hAnsi="宋体"/>
          <w:sz w:val="24"/>
        </w:rPr>
        <w:t>.</w:t>
      </w:r>
      <w:r>
        <w:rPr>
          <w:sz w:val="24"/>
        </w:rPr>
        <w:t>5ml搅拌湿润，加水饱和正丁醇10ml，超声处理30分钟，吸取上清液加3倍量氨试液，摇匀，放置分层，取上层液蒸干，残渣加甲醇1ml使溶解，作为供试品溶液。另取人参对照药材1g，同法制成对照药材溶液。再取人参皂苷Rb</w:t>
      </w:r>
      <w:r>
        <w:rPr>
          <w:sz w:val="24"/>
          <w:vertAlign w:val="subscript"/>
        </w:rPr>
        <w:t>1</w:t>
      </w:r>
      <w:r>
        <w:rPr>
          <w:sz w:val="24"/>
        </w:rPr>
        <w:t>对照品、人参皂苷Re对照品、人参皂苷Rf对照品及人参皂苷Rg</w:t>
      </w:r>
      <w:r>
        <w:rPr>
          <w:sz w:val="24"/>
          <w:vertAlign w:val="subscript"/>
        </w:rPr>
        <w:t>1</w:t>
      </w:r>
      <w:r>
        <w:rPr>
          <w:sz w:val="24"/>
        </w:rPr>
        <w:t>对照品，加甲醇制成每1ml各含2mg的混合溶液，作为对照品溶液。照薄层色谱法（</w:t>
      </w:r>
      <w:r>
        <w:rPr>
          <w:rFonts w:hint="eastAsia"/>
          <w:sz w:val="24"/>
        </w:rPr>
        <w:t>《中国药典》2020年版四部</w:t>
      </w:r>
      <w:r>
        <w:rPr>
          <w:sz w:val="24"/>
        </w:rPr>
        <w:t>通则0502）试验，吸取上述三种溶液各1～2μl，分别点于同一硅胶G薄层板上，以三氯甲烷</w:t>
      </w:r>
      <w:bookmarkStart w:id="1" w:name="OLE_LINK1"/>
      <w:r>
        <w:rPr>
          <w:rFonts w:hint="eastAsia" w:ascii="宋体" w:hAnsi="宋体" w:cs="宋体"/>
          <w:sz w:val="24"/>
        </w:rPr>
        <w:t>-</w:t>
      </w:r>
      <w:bookmarkEnd w:id="1"/>
      <w:r>
        <w:rPr>
          <w:sz w:val="24"/>
        </w:rPr>
        <w:t>乙酸乙酯</w:t>
      </w:r>
      <w:r>
        <w:rPr>
          <w:rFonts w:hint="eastAsia" w:ascii="宋体" w:hAnsi="宋体" w:cs="宋体"/>
          <w:sz w:val="24"/>
        </w:rPr>
        <w:t>-</w:t>
      </w:r>
      <w:r>
        <w:rPr>
          <w:sz w:val="24"/>
        </w:rPr>
        <w:t>甲醇</w:t>
      </w:r>
      <w:r>
        <w:rPr>
          <w:rFonts w:hint="eastAsia" w:ascii="宋体" w:hAnsi="宋体" w:cs="宋体"/>
          <w:sz w:val="24"/>
        </w:rPr>
        <w:t>-</w:t>
      </w:r>
      <w:r>
        <w:rPr>
          <w:sz w:val="24"/>
        </w:rPr>
        <w:t>水（15</w:t>
      </w:r>
      <w:r>
        <w:rPr>
          <w:rFonts w:ascii="宋体" w:hAnsi="宋体"/>
          <w:sz w:val="24"/>
        </w:rPr>
        <w:t>:</w:t>
      </w:r>
      <w:r>
        <w:rPr>
          <w:sz w:val="24"/>
        </w:rPr>
        <w:t>40</w:t>
      </w:r>
      <w:r>
        <w:rPr>
          <w:rFonts w:ascii="宋体" w:hAnsi="宋体"/>
          <w:sz w:val="24"/>
        </w:rPr>
        <w:t>:</w:t>
      </w:r>
      <w:r>
        <w:rPr>
          <w:sz w:val="24"/>
        </w:rPr>
        <w:t>22</w:t>
      </w:r>
      <w:r>
        <w:rPr>
          <w:rFonts w:ascii="宋体" w:hAnsi="宋体"/>
          <w:sz w:val="24"/>
        </w:rPr>
        <w:t>:</w:t>
      </w:r>
      <w:r>
        <w:rPr>
          <w:sz w:val="24"/>
        </w:rPr>
        <w:t>10）10</w:t>
      </w:r>
      <w:r>
        <w:rPr>
          <w:rFonts w:hint="eastAsia" w:ascii="宋体" w:hAnsi="宋体" w:cs="宋体"/>
          <w:sz w:val="24"/>
          <w:lang w:val="en-GB"/>
        </w:rPr>
        <w:t>℃</w:t>
      </w:r>
      <w:r>
        <w:rPr>
          <w:sz w:val="24"/>
        </w:rPr>
        <w:t>以下放置的下层溶液为展开剂，展开，取出，晾干，喷以10%硫酸乙醇溶液，在105</w:t>
      </w:r>
      <w:r>
        <w:rPr>
          <w:rFonts w:hint="eastAsia" w:ascii="宋体" w:hAnsi="宋体" w:cs="宋体"/>
          <w:sz w:val="24"/>
          <w:lang w:val="en-GB"/>
        </w:rPr>
        <w:t>℃</w:t>
      </w:r>
      <w:r>
        <w:rPr>
          <w:sz w:val="24"/>
        </w:rPr>
        <w:t>加热至斑点显色清晰，分别置日光和紫外光灯（365nm）下检视。供试品色谱中，在与对照药材色谱和对照品色谱相应位置上，分别显相同颜色的斑点或荧光斑点。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【检查】 水分  </w:t>
      </w:r>
      <w:r>
        <w:rPr>
          <w:rFonts w:hint="eastAsia"/>
          <w:sz w:val="24"/>
        </w:rPr>
        <w:t>不得过12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0%（《中国药典》2020年版 四部 通则 0832 第二法）。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总灰分  </w:t>
      </w:r>
      <w:r>
        <w:rPr>
          <w:rFonts w:hint="eastAsia"/>
          <w:sz w:val="24"/>
        </w:rPr>
        <w:t>不得过5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0%（《中国药典》2020年版 四部 通则 2302）。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重金属及有害元素　 </w:t>
      </w:r>
      <w:r>
        <w:rPr>
          <w:rFonts w:hint="eastAsia"/>
          <w:sz w:val="24"/>
        </w:rPr>
        <w:t>照铅、镉、砷、汞、铜测定法（《中国药典》2020年版 四部 通则 2321 原子吸收分光光度法或电感耦合等离子体质谱法）测定，铅不得过5mg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kg；镉不得过lmg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kg；砷不得过2mg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kg；汞不得过0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2mg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kg；铜不得过20mg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kg。</w:t>
      </w:r>
    </w:p>
    <w:p>
      <w:pPr>
        <w:spacing w:line="288" w:lineRule="auto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其他有机氯类农药残留量　 </w:t>
      </w:r>
      <w:r>
        <w:rPr>
          <w:rFonts w:hint="eastAsia"/>
          <w:sz w:val="24"/>
        </w:rPr>
        <w:t>照气相色谱法（《中国药典》2020年版 四部 通则 0521）测定。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>色谱条件与系统适用性试验</w:t>
      </w:r>
      <w:r>
        <w:rPr>
          <w:rFonts w:hint="eastAsia"/>
          <w:sz w:val="24"/>
        </w:rPr>
        <w:t>　 分析柱：以键合交联14%氰丙基苯基二甲基硅氧烷为固定液（DM1701或同类型）的毛细管柱（30m×0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32mm×0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25</w:t>
      </w:r>
      <w:r>
        <w:rPr>
          <w:sz w:val="24"/>
        </w:rPr>
        <w:t>μm</w:t>
      </w:r>
      <w:r>
        <w:rPr>
          <w:rFonts w:hint="eastAsia"/>
          <w:sz w:val="24"/>
        </w:rPr>
        <w:t>），验证柱：以键合交联5%苯基甲基硅氧烷为固定液（DB5或同类型）的毛细管柱（30m×0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32mm×0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25</w:t>
      </w:r>
      <w:r>
        <w:rPr>
          <w:sz w:val="24"/>
        </w:rPr>
        <w:t>μm</w:t>
      </w:r>
      <w:r>
        <w:rPr>
          <w:rFonts w:hint="eastAsia"/>
          <w:sz w:val="24"/>
        </w:rPr>
        <w:t>）；</w:t>
      </w:r>
      <w:r>
        <w:rPr>
          <w:rFonts w:hint="eastAsia"/>
          <w:sz w:val="24"/>
          <w:vertAlign w:val="superscript"/>
        </w:rPr>
        <w:t>63</w:t>
      </w:r>
      <w:r>
        <w:rPr>
          <w:rFonts w:hint="eastAsia"/>
          <w:sz w:val="24"/>
        </w:rPr>
        <w:t>Ni</w:t>
      </w:r>
      <w:r>
        <w:rPr>
          <w:rFonts w:hint="eastAsia" w:ascii="宋体" w:hAnsi="宋体" w:cs="宋体"/>
          <w:sz w:val="24"/>
        </w:rPr>
        <w:t>-</w:t>
      </w:r>
      <w:r>
        <w:rPr>
          <w:rFonts w:hint="eastAsia"/>
          <w:sz w:val="24"/>
        </w:rPr>
        <w:t>ECD电子捕获检测器；进样口温度230℃，检测器温度300℃，不分流进样。程序升温：初始温度60℃，保持0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3分钟，以每分钟60℃升至170℃，再以每分钟10℃升至220℃，保持10分钟，再以每分钟1℃升至240℃，再以每分钟15℃升至280℃，保持5分钟。理论板数按五氯硝基苯峰计算应不低于1×10</w:t>
      </w:r>
      <w:r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，两个相邻色谱峰的分离度应大于1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5。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混合对照品储备液的制备 </w:t>
      </w:r>
      <w:r>
        <w:rPr>
          <w:rFonts w:hint="eastAsia"/>
          <w:sz w:val="24"/>
        </w:rPr>
        <w:t>　分别精密称取五氯硝基苯、六氯苯、七氯（七氯、环氧七氯）、氯丹（顺式氯丹、反式氯丹、氧化氯丹）农药对照品适量，用正己烷溶解分别制成每1ml约含100</w:t>
      </w:r>
      <w:bookmarkStart w:id="2" w:name="OLE_LINK2"/>
      <w:r>
        <w:rPr>
          <w:sz w:val="24"/>
        </w:rPr>
        <w:t>μg</w:t>
      </w:r>
      <w:bookmarkEnd w:id="2"/>
      <w:r>
        <w:rPr>
          <w:rFonts w:hint="eastAsia"/>
          <w:sz w:val="24"/>
        </w:rPr>
        <w:t>的溶液。精密量取上述对照品溶液各1ml，置同一100ml量瓶中，加正己烷至刻度，摇匀；或精密量取有机氯农药混合对照品溶液1ml，置10ml量瓶中，加正己烷至刻度，摇匀，即得（每1ml含各农药对照品l</w:t>
      </w:r>
      <w:r>
        <w:rPr>
          <w:sz w:val="24"/>
        </w:rPr>
        <w:t>μg</w:t>
      </w:r>
      <w:r>
        <w:rPr>
          <w:rFonts w:hint="eastAsia"/>
          <w:sz w:val="24"/>
        </w:rPr>
        <w:t>）。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>混合对照品溶液的制备</w:t>
      </w:r>
      <w:r>
        <w:rPr>
          <w:rFonts w:hint="eastAsia"/>
          <w:sz w:val="24"/>
        </w:rPr>
        <w:t>　 精密量取上述混合对照品储备液，用正己烷制成每1ml分别含lng、2ng、5ng、10ng、20ng、50ng、100ng的溶液，即得。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供试品溶液的制备 </w:t>
      </w:r>
      <w:r>
        <w:rPr>
          <w:rFonts w:hint="eastAsia"/>
          <w:sz w:val="24"/>
        </w:rPr>
        <w:t>　取本品粉末（过二号筛），取约5g，精密称定，置具塞锥形瓶中，加水30ml，振摇10分钟，精密加丙酮50ml，称定重量，超声处理（功率300W，频率40kHz）30分钟，放冷，再称定重量，用丙酮补足减失的重量，再加氯化钠约8g，精密加二氯甲烷25ml，称定重量，超声处理（功率300W，频率40kHz）15分钟，再称定重量，用二氯甲烷补足减失的重量，振摇使氯化钠充分溶解，静置，转移至离心管中，离心（每分钟3000转）3分钟，使完全分层，将有机相转移至装有适量无水硫酸钠的具塞锥形瓶中，放置30分钟。精密量取15ml，置40℃水浴中减压浓缩至约1ml，加正己烷约5ml，减压浓缩至近干，用正己烷溶解并转移至5ml量瓶中，并稀释至刻度，摇匀，转移至离心管中，缓缓加入硫酸溶液（9→10）lml，振摇1分钟，离心（每分钟3000转）10分钟，分取上清液，加水1ml，振摇，取上清液，即得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测定法 </w:t>
      </w:r>
      <w:r>
        <w:rPr>
          <w:rFonts w:hint="eastAsia"/>
          <w:sz w:val="24"/>
        </w:rPr>
        <w:t>　分别精密吸取供试品溶液和与之相应浓度的混合对照品溶液各1</w:t>
      </w:r>
      <w:r>
        <w:rPr>
          <w:sz w:val="24"/>
        </w:rPr>
        <w:t>μl</w:t>
      </w:r>
      <w:r>
        <w:rPr>
          <w:rFonts w:hint="eastAsia"/>
          <w:sz w:val="24"/>
        </w:rPr>
        <w:t>，注入气相色谱仪，分别连续进样3次，取3次平均值，按外标法计算，即得。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本品中含五氯硝基苯不得过0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lmg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kg；六氯苯不得过0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1mg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kg；七氯（七氯、环氧七氯之和）不得过0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05mg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kg；氯丹（顺式氯丹、反式氯丹、氧化氯丹之和）不得过0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1mg</w:t>
      </w:r>
      <w:r>
        <w:rPr>
          <w:rFonts w:hint="eastAsia" w:ascii="宋体" w:hAnsi="宋体"/>
          <w:sz w:val="24"/>
        </w:rPr>
        <w:t>/</w:t>
      </w:r>
      <w:r>
        <w:rPr>
          <w:rFonts w:hint="eastAsia"/>
          <w:sz w:val="24"/>
        </w:rPr>
        <w:t>kg。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【含量测定】 </w:t>
      </w:r>
      <w:r>
        <w:rPr>
          <w:rFonts w:hint="eastAsia"/>
          <w:sz w:val="24"/>
        </w:rPr>
        <w:t>照高效液相色谱法（《中国药典》2020年版 四部 通则 0512）测定。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>色谱条件与系统适用性试验</w:t>
      </w:r>
      <w:r>
        <w:rPr>
          <w:rFonts w:hint="eastAsia"/>
          <w:sz w:val="24"/>
        </w:rPr>
        <w:t>　 以十八烷基硅烷键合硅胶为填充剂；以乙腈为流动相A，以水为流动相B，按下表中的规定进行梯度洗脱；检测波长为203nm。理论板数按人参皂苷Rg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峰计算应不低于6000。</w:t>
      </w:r>
    </w:p>
    <w:tbl>
      <w:tblPr>
        <w:tblStyle w:val="6"/>
        <w:tblW w:w="4747" w:type="pct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409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pct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时间（分钟）</w:t>
            </w:r>
          </w:p>
        </w:tc>
        <w:tc>
          <w:tcPr>
            <w:tcW w:w="1756" w:type="pct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流动相A(%)</w:t>
            </w:r>
          </w:p>
        </w:tc>
        <w:tc>
          <w:tcPr>
            <w:tcW w:w="1489" w:type="pct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流动相B(%)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pct"/>
            <w:tcBorders>
              <w:top w:val="single" w:color="auto" w:sz="4" w:space="0"/>
            </w:tcBorders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0</w:t>
            </w:r>
            <w:bookmarkStart w:id="3" w:name="OLE_LINK4"/>
            <w:r>
              <w:rPr>
                <w:szCs w:val="21"/>
              </w:rPr>
              <w:t>～</w:t>
            </w:r>
            <w:bookmarkEnd w:id="3"/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756" w:type="pct"/>
            <w:tcBorders>
              <w:top w:val="single" w:color="auto" w:sz="4" w:space="0"/>
            </w:tcBorders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89" w:type="pct"/>
            <w:tcBorders>
              <w:top w:val="single" w:color="auto" w:sz="4" w:space="0"/>
            </w:tcBorders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56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19→29</w:t>
            </w:r>
          </w:p>
        </w:tc>
        <w:tc>
          <w:tcPr>
            <w:tcW w:w="1489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81→71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755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756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489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70</w:t>
            </w:r>
            <w:r>
              <w:rPr>
                <w:szCs w:val="21"/>
              </w:rPr>
              <w:t>～</w:t>
            </w: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756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29→40</w:t>
            </w:r>
          </w:p>
        </w:tc>
        <w:tc>
          <w:tcPr>
            <w:tcW w:w="1489" w:type="pct"/>
          </w:tcPr>
          <w:p>
            <w:pPr>
              <w:spacing w:line="288" w:lineRule="auto"/>
              <w:ind w:right="105" w:rightChars="50"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71→60</w:t>
            </w:r>
          </w:p>
        </w:tc>
      </w:tr>
    </w:tbl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对照品溶液的制备 </w:t>
      </w:r>
      <w:r>
        <w:rPr>
          <w:rFonts w:hint="eastAsia"/>
          <w:sz w:val="24"/>
        </w:rPr>
        <w:t>　精密称取人参皂苷Rg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对照品、人参皂苷Re对照品及人参皂苷Rb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对照品，加甲醇制成每1ml各含0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2mg的混合溶液，摇匀，即得。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>供试品溶液的制备 　</w:t>
      </w:r>
      <w:r>
        <w:rPr>
          <w:rFonts w:hint="eastAsia"/>
          <w:sz w:val="24"/>
        </w:rPr>
        <w:t>取本品粉末（过四号筛）约1g，精密称定，置索氏提取器中，加三氯甲烷加热回流3小时，弃去三氯甲烷液，药渣挥干溶剂，连同滤纸筒移入100ml锥形瓶中，精密加水饱和正丁醇50ml，密塞，放置过夜，超声处理（功率250W，频率50kHz）30分钟，滤过，弃去初滤液，精密量取续滤液25ml，置蒸发皿中蒸干，残渣加甲醇溶解并转移至5ml量瓶中，加甲醇稀释至刻度，摇匀，滤过，取续滤液，即得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测定法　 </w:t>
      </w:r>
      <w:r>
        <w:rPr>
          <w:rFonts w:hint="eastAsia"/>
          <w:sz w:val="24"/>
        </w:rPr>
        <w:t>分别精密吸取对照品溶液10</w:t>
      </w:r>
      <w:r>
        <w:rPr>
          <w:sz w:val="24"/>
        </w:rPr>
        <w:t>μl</w:t>
      </w:r>
      <w:r>
        <w:rPr>
          <w:rFonts w:hint="eastAsia"/>
          <w:sz w:val="24"/>
        </w:rPr>
        <w:t>与供试品溶液10～20</w:t>
      </w:r>
      <w:r>
        <w:rPr>
          <w:sz w:val="24"/>
        </w:rPr>
        <w:t>μl</w:t>
      </w:r>
      <w:r>
        <w:rPr>
          <w:rFonts w:hint="eastAsia"/>
          <w:sz w:val="24"/>
        </w:rPr>
        <w:t>，注入液相色谱仪，测定，即得。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本品按干燥品计算，含人参皂苷Rg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（C</w:t>
      </w:r>
      <w:r>
        <w:rPr>
          <w:rFonts w:hint="eastAsia"/>
          <w:sz w:val="24"/>
          <w:vertAlign w:val="subscript"/>
        </w:rPr>
        <w:t>42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72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14</w:t>
      </w:r>
      <w:r>
        <w:rPr>
          <w:rFonts w:hint="eastAsia"/>
          <w:sz w:val="24"/>
        </w:rPr>
        <w:t>）和人参皂苷Re（C</w:t>
      </w:r>
      <w:r>
        <w:rPr>
          <w:rFonts w:hint="eastAsia"/>
          <w:sz w:val="24"/>
          <w:vertAlign w:val="subscript"/>
        </w:rPr>
        <w:t>48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82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18</w:t>
      </w:r>
      <w:r>
        <w:rPr>
          <w:rFonts w:hint="eastAsia"/>
          <w:sz w:val="24"/>
        </w:rPr>
        <w:t>）的总量不得少于0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33%，人参皂苷Rb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（C</w:t>
      </w:r>
      <w:r>
        <w:rPr>
          <w:rFonts w:hint="eastAsia"/>
          <w:sz w:val="24"/>
          <w:vertAlign w:val="subscript"/>
        </w:rPr>
        <w:t>54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92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23</w:t>
      </w:r>
      <w:r>
        <w:rPr>
          <w:rFonts w:hint="eastAsia"/>
          <w:sz w:val="24"/>
        </w:rPr>
        <w:t>）不得少于0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22%。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【性味与归经】 </w:t>
      </w:r>
      <w:r>
        <w:rPr>
          <w:rFonts w:hint="eastAsia"/>
          <w:sz w:val="24"/>
        </w:rPr>
        <w:t>甘、微苦，微温。归脾、肺、心、肾经。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【功能与主治】 </w:t>
      </w:r>
      <w:r>
        <w:rPr>
          <w:rFonts w:hint="eastAsia"/>
          <w:sz w:val="24"/>
        </w:rPr>
        <w:t>大补元气，复脉固脱，补脾益肺，生津养血，安神益智。用于体虚欲脱，肢冷脉微，脾虚食少，肺虚喘咳，津伤口渴，内热消渴，气血亏虚，久病虚羸，惊悸失眠，阳痿宫冷。</w:t>
      </w:r>
    </w:p>
    <w:p>
      <w:pPr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【用法与用量】 </w:t>
      </w:r>
      <w:r>
        <w:rPr>
          <w:rFonts w:hint="eastAsia"/>
          <w:sz w:val="24"/>
        </w:rPr>
        <w:t>3～9g，另煎兑服；也可研粉吞服，一次2g，一日2次。</w:t>
      </w:r>
    </w:p>
    <w:p>
      <w:pPr>
        <w:tabs>
          <w:tab w:val="right" w:pos="8306"/>
        </w:tabs>
        <w:spacing w:line="288" w:lineRule="auto"/>
        <w:ind w:firstLine="480" w:firstLineChars="200"/>
        <w:rPr>
          <w:rFonts w:hint="eastAsia"/>
          <w:sz w:val="24"/>
        </w:rPr>
      </w:pPr>
      <w:r>
        <w:rPr>
          <w:rFonts w:hint="eastAsia" w:ascii="黑体" w:hAnsi="黑体" w:eastAsia="黑体"/>
          <w:sz w:val="24"/>
        </w:rPr>
        <w:t xml:space="preserve">【注意】 </w:t>
      </w:r>
      <w:r>
        <w:rPr>
          <w:rFonts w:hint="eastAsia"/>
          <w:sz w:val="24"/>
        </w:rPr>
        <w:t>不宜与藜芦、五灵脂同用。</w:t>
      </w:r>
    </w:p>
    <w:p>
      <w:pPr>
        <w:spacing w:line="288" w:lineRule="auto"/>
        <w:ind w:firstLine="480" w:firstLineChars="200"/>
        <w:rPr>
          <w:rFonts w:hint="eastAsia"/>
          <w:szCs w:val="21"/>
        </w:rPr>
      </w:pPr>
      <w:r>
        <w:rPr>
          <w:rFonts w:hint="eastAsia" w:ascii="黑体" w:hAnsi="黑体" w:eastAsia="黑体"/>
          <w:sz w:val="24"/>
        </w:rPr>
        <w:t xml:space="preserve">【贮藏】 </w:t>
      </w:r>
      <w:r>
        <w:rPr>
          <w:rFonts w:hint="eastAsia"/>
          <w:sz w:val="24"/>
        </w:rPr>
        <w:t>置阴凉干燥处，密闭保存，防蛀。</w:t>
      </w:r>
    </w:p>
    <w:p>
      <w:pPr>
        <w:spacing w:line="288" w:lineRule="auto"/>
        <w:ind w:firstLine="480" w:firstLineChars="200"/>
        <w:rPr>
          <w:rFonts w:ascii="宋体" w:hAnsi="宋体" w:eastAsia="宋体"/>
          <w:sz w:val="24"/>
        </w:rPr>
      </w:pP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snapToGrid w:val="0"/>
      <w:spacing w:before="0" w:beforeAutospacing="0" w:after="0" w:afterAutospacing="0" w:line="288" w:lineRule="auto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snapToGrid w:val="0"/>
      <w:spacing w:before="0" w:beforeAutospacing="0" w:after="0" w:afterAutospacing="0" w:line="288" w:lineRule="auto"/>
      <w:jc w:val="both"/>
    </w:pPr>
    <w:r>
      <w:rPr>
        <w:rFonts w:hint="eastAsia" w:ascii="仿宋" w:hAnsi="仿宋" w:eastAsia="仿宋" w:cs="华文仿宋"/>
        <w:b/>
        <w:bCs/>
        <w:sz w:val="44"/>
        <w:szCs w:val="44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NGIwMDEwOTA0MTA2MDU3MDYwYzlhZjFhMDYwMGEifQ=="/>
  </w:docVars>
  <w:rsids>
    <w:rsidRoot w:val="00762F84"/>
    <w:rsid w:val="00000970"/>
    <w:rsid w:val="00004099"/>
    <w:rsid w:val="00076F77"/>
    <w:rsid w:val="000B3834"/>
    <w:rsid w:val="00103CEE"/>
    <w:rsid w:val="001D1E32"/>
    <w:rsid w:val="00261D69"/>
    <w:rsid w:val="00330EAA"/>
    <w:rsid w:val="0039416A"/>
    <w:rsid w:val="004D21FE"/>
    <w:rsid w:val="005A3A44"/>
    <w:rsid w:val="00672ACB"/>
    <w:rsid w:val="00692B94"/>
    <w:rsid w:val="00762F84"/>
    <w:rsid w:val="008A2AC6"/>
    <w:rsid w:val="008E5125"/>
    <w:rsid w:val="00910CE1"/>
    <w:rsid w:val="00970232"/>
    <w:rsid w:val="00A35BF0"/>
    <w:rsid w:val="00B05348"/>
    <w:rsid w:val="00B567F1"/>
    <w:rsid w:val="00B76146"/>
    <w:rsid w:val="00BE6F41"/>
    <w:rsid w:val="00C94EF5"/>
    <w:rsid w:val="00CB5D06"/>
    <w:rsid w:val="00D40D92"/>
    <w:rsid w:val="00D8080A"/>
    <w:rsid w:val="00E15750"/>
    <w:rsid w:val="00E3526F"/>
    <w:rsid w:val="00EB7748"/>
    <w:rsid w:val="00F46BB4"/>
    <w:rsid w:val="00F60AD0"/>
    <w:rsid w:val="01F80A87"/>
    <w:rsid w:val="0204567E"/>
    <w:rsid w:val="06854EC5"/>
    <w:rsid w:val="08F2332E"/>
    <w:rsid w:val="15B8610B"/>
    <w:rsid w:val="15D66403"/>
    <w:rsid w:val="1D721AFA"/>
    <w:rsid w:val="21D83E2B"/>
    <w:rsid w:val="226B64A0"/>
    <w:rsid w:val="24E005C8"/>
    <w:rsid w:val="285C7BF9"/>
    <w:rsid w:val="2D8252D4"/>
    <w:rsid w:val="308D46BE"/>
    <w:rsid w:val="310D77FB"/>
    <w:rsid w:val="35B24557"/>
    <w:rsid w:val="38CC7F9C"/>
    <w:rsid w:val="38F042B6"/>
    <w:rsid w:val="40C559FD"/>
    <w:rsid w:val="42253C1A"/>
    <w:rsid w:val="466522FC"/>
    <w:rsid w:val="48013092"/>
    <w:rsid w:val="48533851"/>
    <w:rsid w:val="49AD1724"/>
    <w:rsid w:val="4D08596F"/>
    <w:rsid w:val="4F8B6063"/>
    <w:rsid w:val="5F3D1ABB"/>
    <w:rsid w:val="61063C94"/>
    <w:rsid w:val="63C72336"/>
    <w:rsid w:val="65312DB1"/>
    <w:rsid w:val="67025EC8"/>
    <w:rsid w:val="67B3509A"/>
    <w:rsid w:val="69762E0E"/>
    <w:rsid w:val="6A666A24"/>
    <w:rsid w:val="6ABF2476"/>
    <w:rsid w:val="6AF56F46"/>
    <w:rsid w:val="6B770981"/>
    <w:rsid w:val="6DF474B9"/>
    <w:rsid w:val="70DC1942"/>
    <w:rsid w:val="731D0A0B"/>
    <w:rsid w:val="74082F2F"/>
    <w:rsid w:val="74235FBB"/>
    <w:rsid w:val="74A82EB6"/>
    <w:rsid w:val="75A57E04"/>
    <w:rsid w:val="77D6C6C7"/>
    <w:rsid w:val="7D5BDDFC"/>
    <w:rsid w:val="F3EFB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2778</Characters>
  <Lines>23</Lines>
  <Paragraphs>6</Paragraphs>
  <TotalTime>2</TotalTime>
  <ScaleCrop>false</ScaleCrop>
  <LinksUpToDate>false</LinksUpToDate>
  <CharactersWithSpaces>3259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2023-12-08T11:30:00Z</dcterms:created>
  <dc:creator>AA</dc:creator>
  <cp:lastModifiedBy>user</cp:lastModifiedBy>
  <dcterms:modified xsi:type="dcterms:W3CDTF">2025-03-20T11:00:48Z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F1006FBB04E845CAA49DC152CD25875A_13</vt:lpwstr>
  </property>
</Properties>
</file>