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目录</w:t>
      </w:r>
    </w:p>
    <w:tbl>
      <w:tblPr>
        <w:tblStyle w:val="7"/>
        <w:tblW w:w="15892" w:type="dxa"/>
        <w:jc w:val="center"/>
        <w:tblInd w:w="-1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16"/>
        <w:gridCol w:w="1260"/>
        <w:gridCol w:w="2010"/>
        <w:gridCol w:w="1455"/>
        <w:gridCol w:w="1290"/>
        <w:gridCol w:w="5370"/>
        <w:gridCol w:w="1095"/>
        <w:gridCol w:w="1253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工艺规程</w:t>
            </w:r>
          </w:p>
        </w:tc>
        <w:tc>
          <w:tcPr>
            <w:tcW w:w="53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检验方法/检验设备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对照品/对照药材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2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求本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龙血树叶粉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净选，洗净，干燥，粉碎。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《云南省食品药品监督管理局标准》云YPBZ-0196-2013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取药材，洗净，干燥，粉碎，即得。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龙血树叶粉工艺规程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性状；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鉴别：显微鉴别、薄层鉴别。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检查：水分《中国药典》四部通则0832第二法；总灰分《中国药典》四部通则2302； 酸不溶性灰分《中国药典》四部通则2302；粒度：《中国药典》四部通则0982；浸出物 《中国药典》四部通则2201;微生物限度：照微生物限度检查法（中国药典通则1105、1106和1107）检查。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检验设备：显微镜、电热鼓风干燥箱、箱式电阻炉、电子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天平。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对照药材：龙血树叶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农残，重金属送检，其余检测项目自检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藏木香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净选，洗润，切制，干燥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《西藏自治区药品监督管理局地方药材（饮片）质量标准》XZ-BC-0049-        2006-2023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取药材，净选，洗润，切制，干燥，即得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藏木香工艺规程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性状；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鉴别：薄层鉴别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检查：水分《中国药典》四部通则0832第二法；总灰分《中国药典》四部通则2302； 酸不溶性灰分《中国药典》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四部通则2302；浸出物 《中国药典》四部通则2201;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检验设备：电热鼓风干燥箱、箱式电阻炉、电子天平。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对照药材：藏木香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农残送检，其余检查项自检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lang w:val="en-US" w:eastAsia="zh-CN"/>
        </w:rPr>
        <w:t>1、“饮片名称”请填写国家药品标准和地方中药饮片炮制规范收录的饮片名称。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由委托检验项目请在备注栏填写检验项目和委托检验单位，无委托检验项目的品种请填写全项自检。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3、申请核减品种仅需填写表格中前四个项目内容，并在备注栏里写明核减。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5F68"/>
    <w:multiLevelType w:val="singleLevel"/>
    <w:tmpl w:val="FDFF5F68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3750"/>
    <w:rsid w:val="39E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2025-03-25T09:35:00Z</dcterms:created>
  <dc:creator>Administrator</dc:creator>
  <cp:lastModifiedBy>Administrator</cp:lastModifiedBy>
  <dcterms:modified xsi:type="dcterms:W3CDTF">2025-03-25T09:35:41Z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