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西藏自治区</w:t>
      </w:r>
      <w:r>
        <w:rPr>
          <w:rFonts w:hint="eastAsia" w:ascii="方正小标宋简体" w:hAnsi="方正小标宋简体" w:eastAsia="方正小标宋简体" w:cs="方正小标宋简体"/>
          <w:color w:val="auto"/>
          <w:sz w:val="44"/>
          <w:szCs w:val="44"/>
          <w:highlight w:val="none"/>
        </w:rPr>
        <w:t>医疗器械不良事件风险信号</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监测</w:t>
      </w:r>
      <w:r>
        <w:rPr>
          <w:rFonts w:hint="eastAsia" w:ascii="方正小标宋简体" w:hAnsi="方正小标宋简体" w:eastAsia="方正小标宋简体" w:cs="方正小标宋简体"/>
          <w:color w:val="auto"/>
          <w:sz w:val="44"/>
          <w:szCs w:val="44"/>
          <w:highlight w:val="none"/>
        </w:rPr>
        <w:t>工作程序</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spacing w:line="576" w:lineRule="exact"/>
        <w:ind w:left="0" w:leftChars="0" w:right="0" w:rightChars="0"/>
        <w:jc w:val="both"/>
        <w:textAlignment w:val="auto"/>
        <w:rPr>
          <w:rFonts w:hint="eastAsia" w:ascii="黑体" w:hAnsi="黑体" w:eastAsia="黑体" w:cs="黑体"/>
          <w:color w:val="auto"/>
          <w:sz w:val="32"/>
          <w:szCs w:val="32"/>
          <w:highlight w:val="none"/>
        </w:rPr>
      </w:pP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 xml:space="preserve">一、目的 </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w:t>
      </w:r>
      <w:r>
        <w:rPr>
          <w:rFonts w:hint="eastAsia" w:ascii="仿宋_GB2312" w:hAnsi="仿宋_GB2312" w:eastAsia="仿宋_GB2312" w:cs="仿宋_GB2312"/>
          <w:color w:val="auto"/>
          <w:sz w:val="32"/>
          <w:szCs w:val="32"/>
          <w:highlight w:val="none"/>
          <w:lang w:eastAsia="zh-CN"/>
        </w:rPr>
        <w:t>《医疗器械监督管理条例》</w:t>
      </w:r>
      <w:r>
        <w:rPr>
          <w:rFonts w:hint="eastAsia" w:ascii="仿宋_GB2312" w:hAnsi="仿宋_GB2312" w:eastAsia="仿宋_GB2312" w:cs="仿宋_GB2312"/>
          <w:color w:val="auto"/>
          <w:sz w:val="32"/>
          <w:szCs w:val="32"/>
          <w:highlight w:val="none"/>
        </w:rPr>
        <w:t>《医疗器械不良事件监测和再评价管理办法》</w:t>
      </w:r>
      <w:r>
        <w:rPr>
          <w:rFonts w:hint="eastAsia" w:ascii="仿宋_GB2312" w:hAnsi="仿宋_GB2312" w:eastAsia="仿宋_GB2312" w:cs="仿宋_GB2312"/>
          <w:color w:val="auto"/>
          <w:sz w:val="32"/>
          <w:szCs w:val="32"/>
          <w:highlight w:val="none"/>
          <w:lang w:eastAsia="zh-CN"/>
        </w:rPr>
        <w:t>等有关规定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进一步</w:t>
      </w:r>
      <w:r>
        <w:rPr>
          <w:rFonts w:hint="eastAsia" w:ascii="仿宋_GB2312" w:hAnsi="仿宋_GB2312" w:eastAsia="仿宋_GB2312" w:cs="仿宋_GB2312"/>
          <w:color w:val="auto"/>
          <w:sz w:val="32"/>
          <w:szCs w:val="32"/>
          <w:highlight w:val="none"/>
        </w:rPr>
        <w:t>规范医疗器械不良事件风险信号监测流程，及时发现、处置医疗器械不良事件风险信号，</w:t>
      </w:r>
      <w:r>
        <w:rPr>
          <w:rFonts w:hint="eastAsia" w:ascii="仿宋_GB2312" w:hAnsi="仿宋_GB2312" w:eastAsia="仿宋_GB2312" w:cs="仿宋_GB2312"/>
          <w:color w:val="auto"/>
          <w:sz w:val="32"/>
          <w:szCs w:val="32"/>
          <w:highlight w:val="none"/>
          <w:lang w:eastAsia="zh-CN"/>
        </w:rPr>
        <w:t>结合我区实际，</w:t>
      </w:r>
      <w:r>
        <w:rPr>
          <w:rFonts w:hint="eastAsia" w:ascii="仿宋_GB2312" w:hAnsi="仿宋_GB2312" w:eastAsia="仿宋_GB2312" w:cs="仿宋_GB2312"/>
          <w:color w:val="auto"/>
          <w:sz w:val="32"/>
          <w:szCs w:val="32"/>
          <w:highlight w:val="none"/>
        </w:rPr>
        <w:t>制定本工作程序。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left="0" w:leftChars="0" w:right="0" w:rightChars="0"/>
        <w:jc w:val="both"/>
        <w:textAlignment w:val="auto"/>
        <w:outlineLvl w:val="9"/>
        <w:rPr>
          <w:color w:val="auto"/>
          <w:highlight w:val="none"/>
        </w:rPr>
      </w:pP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二、适用范围</w:t>
      </w:r>
      <w:r>
        <w:rPr>
          <w:rFonts w:hint="eastAsia" w:ascii="仿宋_GB2312" w:hAnsi="仿宋_GB2312" w:eastAsia="仿宋_GB2312" w:cs="仿宋_GB2312"/>
          <w:b/>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w w:val="100"/>
          <w:sz w:val="32"/>
          <w:szCs w:val="32"/>
          <w:highlight w:val="none"/>
        </w:rPr>
        <w:t>本程序适用于</w:t>
      </w:r>
      <w:r>
        <w:rPr>
          <w:rFonts w:hint="eastAsia" w:ascii="仿宋_GB2312" w:hAnsi="仿宋_GB2312" w:eastAsia="仿宋_GB2312" w:cs="仿宋_GB2312"/>
          <w:color w:val="auto"/>
          <w:w w:val="100"/>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w w:val="97"/>
          <w:sz w:val="32"/>
          <w:szCs w:val="32"/>
          <w:highlight w:val="none"/>
          <w:lang w:eastAsia="zh-CN"/>
        </w:rPr>
        <w:t>各地（市）药品不良反应监测机构</w:t>
      </w:r>
      <w:r>
        <w:rPr>
          <w:rFonts w:hint="eastAsia" w:ascii="仿宋_GB2312" w:hAnsi="仿宋_GB2312" w:eastAsia="仿宋_GB2312" w:cs="仿宋_GB2312"/>
          <w:color w:val="auto"/>
          <w:sz w:val="32"/>
          <w:szCs w:val="32"/>
          <w:highlight w:val="none"/>
          <w:lang w:eastAsia="zh-CN"/>
        </w:rPr>
        <w:t>，医疗器械经营企业和</w:t>
      </w:r>
      <w:r>
        <w:rPr>
          <w:rFonts w:hint="eastAsia" w:ascii="仿宋_GB2312" w:hAnsi="仿宋_GB2312" w:eastAsia="仿宋_GB2312" w:cs="仿宋_GB2312"/>
          <w:color w:val="auto"/>
          <w:sz w:val="32"/>
          <w:szCs w:val="32"/>
          <w:highlight w:val="none"/>
        </w:rPr>
        <w:t>使用单位发现的医疗器械不良事件风险信号的调查及处置。</w:t>
      </w:r>
      <w:r>
        <w:rPr>
          <w:rFonts w:hint="eastAsia" w:ascii="仿宋_GB2312" w:hAnsi="仿宋_GB2312" w:eastAsia="仿宋_GB2312" w:cs="仿宋_GB2312"/>
          <w:color w:val="auto"/>
          <w:sz w:val="32"/>
          <w:szCs w:val="32"/>
          <w:highlight w:val="none"/>
          <w:lang w:eastAsia="zh-CN"/>
        </w:rPr>
        <w:t>医疗器械</w:t>
      </w:r>
      <w:r>
        <w:rPr>
          <w:rFonts w:hint="eastAsia" w:ascii="仿宋_GB2312" w:hAnsi="仿宋_GB2312" w:eastAsia="仿宋_GB2312" w:cs="仿宋_GB2312"/>
          <w:color w:val="auto"/>
          <w:sz w:val="32"/>
          <w:szCs w:val="32"/>
          <w:highlight w:val="none"/>
        </w:rPr>
        <w:t>注册人</w:t>
      </w:r>
      <w:r>
        <w:rPr>
          <w:rFonts w:hint="eastAsia" w:ascii="仿宋_GB2312" w:hAnsi="仿宋_GB2312" w:eastAsia="仿宋_GB2312" w:cs="仿宋_GB2312"/>
          <w:color w:val="auto"/>
          <w:sz w:val="32"/>
          <w:szCs w:val="32"/>
          <w:highlight w:val="none"/>
          <w:lang w:eastAsia="zh-CN"/>
        </w:rPr>
        <w:t>、备案人</w:t>
      </w:r>
      <w:r>
        <w:rPr>
          <w:rFonts w:hint="eastAsia" w:ascii="仿宋_GB2312" w:hAnsi="仿宋_GB2312" w:eastAsia="仿宋_GB2312" w:cs="仿宋_GB2312"/>
          <w:color w:val="auto"/>
          <w:sz w:val="32"/>
          <w:szCs w:val="32"/>
          <w:highlight w:val="none"/>
        </w:rPr>
        <w:t>在监测工作中发现所持有产品可能存在</w:t>
      </w:r>
      <w:r>
        <w:rPr>
          <w:rFonts w:hint="eastAsia" w:ascii="仿宋_GB2312" w:hAnsi="仿宋_GB2312" w:eastAsia="仿宋_GB2312" w:cs="仿宋_GB2312"/>
          <w:color w:val="auto"/>
          <w:sz w:val="32"/>
          <w:szCs w:val="32"/>
          <w:highlight w:val="none"/>
          <w:lang w:eastAsia="zh-CN"/>
        </w:rPr>
        <w:t>不合理</w:t>
      </w:r>
      <w:r>
        <w:rPr>
          <w:rFonts w:hint="eastAsia" w:ascii="仿宋_GB2312" w:hAnsi="仿宋_GB2312" w:eastAsia="仿宋_GB2312" w:cs="仿宋_GB2312"/>
          <w:color w:val="auto"/>
          <w:sz w:val="32"/>
          <w:szCs w:val="32"/>
          <w:highlight w:val="none"/>
        </w:rPr>
        <w:t>风险</w:t>
      </w:r>
      <w:r>
        <w:rPr>
          <w:rFonts w:hint="eastAsia" w:ascii="仿宋_GB2312" w:hAnsi="仿宋_GB2312" w:eastAsia="仿宋_GB2312" w:cs="仿宋_GB2312"/>
          <w:color w:val="auto"/>
          <w:sz w:val="32"/>
          <w:szCs w:val="32"/>
          <w:highlight w:val="none"/>
          <w:lang w:eastAsia="zh-CN"/>
        </w:rPr>
        <w:t>信号时</w:t>
      </w:r>
      <w:r>
        <w:rPr>
          <w:rFonts w:hint="eastAsia" w:ascii="仿宋_GB2312" w:hAnsi="仿宋_GB2312" w:eastAsia="仿宋_GB2312" w:cs="仿宋_GB2312"/>
          <w:color w:val="auto"/>
          <w:sz w:val="32"/>
          <w:szCs w:val="32"/>
          <w:highlight w:val="none"/>
        </w:rPr>
        <w:t>，应按照</w:t>
      </w:r>
      <w:r>
        <w:rPr>
          <w:rFonts w:hint="eastAsia" w:ascii="仿宋_GB2312" w:hAnsi="仿宋_GB2312" w:eastAsia="仿宋_GB2312" w:cs="仿宋_GB2312"/>
          <w:color w:val="auto"/>
          <w:sz w:val="32"/>
          <w:szCs w:val="32"/>
          <w:highlight w:val="none"/>
          <w:lang w:eastAsia="zh-CN"/>
        </w:rPr>
        <w:t>国家药监局发布的《</w:t>
      </w:r>
      <w:r>
        <w:rPr>
          <w:rFonts w:hint="eastAsia" w:ascii="仿宋_GB2312" w:hAnsi="仿宋_GB2312" w:eastAsia="仿宋_GB2312" w:cs="仿宋_GB2312"/>
          <w:color w:val="auto"/>
          <w:sz w:val="32"/>
          <w:szCs w:val="32"/>
          <w:highlight w:val="none"/>
        </w:rPr>
        <w:t>医疗器械注册人开展产品不良事件风险评价指导原则</w:t>
      </w:r>
      <w:r>
        <w:rPr>
          <w:rFonts w:hint="eastAsia" w:ascii="仿宋_GB2312" w:hAnsi="仿宋_GB2312" w:eastAsia="仿宋_GB2312" w:cs="仿宋_GB2312"/>
          <w:color w:val="auto"/>
          <w:sz w:val="32"/>
          <w:szCs w:val="32"/>
          <w:highlight w:val="none"/>
          <w:lang w:eastAsia="zh-CN"/>
        </w:rPr>
        <w:t>》（以下简称《指导原则》）</w:t>
      </w:r>
      <w:r>
        <w:rPr>
          <w:rFonts w:hint="eastAsia" w:ascii="仿宋_GB2312" w:hAnsi="仿宋_GB2312" w:eastAsia="仿宋_GB2312" w:cs="仿宋_GB2312"/>
          <w:color w:val="auto"/>
          <w:sz w:val="32"/>
          <w:szCs w:val="32"/>
          <w:highlight w:val="none"/>
        </w:rPr>
        <w:t>开展调查及产品风险评价。</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76" w:lineRule="exact"/>
        <w:ind w:left="0" w:leftChars="0" w:right="0" w:rightChars="0" w:firstLine="64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术语和定义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left="0" w:leftChars="0" w:right="0" w:right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（一）</w:t>
      </w:r>
      <w:r>
        <w:rPr>
          <w:rFonts w:hint="eastAsia" w:ascii="仿宋_GB2312" w:hAnsi="仿宋_GB2312" w:eastAsia="仿宋_GB2312" w:cs="仿宋_GB2312"/>
          <w:color w:val="auto"/>
          <w:sz w:val="32"/>
          <w:szCs w:val="32"/>
          <w:highlight w:val="none"/>
        </w:rPr>
        <w:t>医疗器械不良事件风险信号</w:t>
      </w:r>
      <w:r>
        <w:rPr>
          <w:rFonts w:hint="eastAsia" w:ascii="仿宋_GB2312" w:hAnsi="仿宋_GB2312" w:eastAsia="仿宋_GB2312" w:cs="仿宋_GB2312"/>
          <w:color w:val="auto"/>
          <w:sz w:val="32"/>
          <w:szCs w:val="32"/>
          <w:highlight w:val="none"/>
          <w:lang w:eastAsia="zh-CN"/>
        </w:rPr>
        <w:t>是指</w:t>
      </w:r>
      <w:r>
        <w:rPr>
          <w:rFonts w:hint="eastAsia" w:ascii="仿宋_GB2312" w:hAnsi="仿宋_GB2312" w:eastAsia="仿宋_GB2312" w:cs="仿宋_GB2312"/>
          <w:color w:val="auto"/>
          <w:sz w:val="32"/>
          <w:szCs w:val="32"/>
          <w:highlight w:val="none"/>
        </w:rPr>
        <w:t>：在医疗器械不良事件监测中，发现疑似医疗器械产品存在技术缺陷、质量缺陷、集中出现导致或可能导致不合理伤害等风险的事件。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（二）严重伤害，是指有下列</w:t>
      </w:r>
      <w:r>
        <w:rPr>
          <w:rFonts w:hint="eastAsia" w:ascii="仿宋_GB2312" w:hAnsi="仿宋_GB2312" w:eastAsia="仿宋_GB2312" w:cs="仿宋_GB2312"/>
          <w:color w:val="auto"/>
          <w:sz w:val="32"/>
          <w:szCs w:val="32"/>
          <w:highlight w:val="none"/>
          <w:lang w:eastAsia="zh-CN"/>
        </w:rPr>
        <w:t>情形</w:t>
      </w:r>
      <w:r>
        <w:rPr>
          <w:rFonts w:hint="eastAsia" w:ascii="仿宋_GB2312" w:hAnsi="仿宋_GB2312" w:eastAsia="仿宋_GB2312" w:cs="仿宋_GB2312"/>
          <w:color w:val="auto"/>
          <w:sz w:val="32"/>
          <w:szCs w:val="32"/>
          <w:highlight w:val="none"/>
        </w:rPr>
        <w:t>之一</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1.危及生命；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2.导致机体功能的永久性伤害或者机体结构的永久性损伤；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3.必须采取医疗措施才能避免上述永久性伤害或者损伤</w:t>
      </w:r>
      <w:r>
        <w:rPr>
          <w:rFonts w:hint="eastAsia" w:ascii="仿宋_GB2312" w:hAnsi="仿宋_GB2312" w:eastAsia="仿宋_GB2312" w:cs="仿宋_GB2312"/>
          <w:color w:val="auto"/>
          <w:sz w:val="32"/>
          <w:szCs w:val="32"/>
          <w:highlight w:val="none"/>
          <w:lang w:eastAsia="zh-CN"/>
        </w:rPr>
        <w:t>。</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56" w:lineRule="exact"/>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群体医疗器械不良事件，是指同一医疗器械在使用过程中，在相对集中的时间、区域内发生，对一定数量人群的身体健康或者生命安全造成损害或者威胁的事件。</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医疗器械注册人、备案人（以下简称注册人），是指取得医疗器械注册证或者办理医疗器械备案的企业或者研制机构。本程序所称注册人、备案人与《医疗器械不良事件监测和再评价管理办法》中所称医疗器械上市许可持有人内涵相同。</w:t>
      </w:r>
    </w:p>
    <w:p>
      <w:pPr>
        <w:keepNext w:val="0"/>
        <w:keepLines w:val="0"/>
        <w:pageBreakBefore w:val="0"/>
        <w:kinsoku/>
        <w:wordWrap/>
        <w:overflowPunct/>
        <w:topLinePunct w:val="0"/>
        <w:autoSpaceDE/>
        <w:autoSpaceDN/>
        <w:bidi w:val="0"/>
        <w:adjustRightInd/>
        <w:snapToGrid/>
        <w:spacing w:line="556" w:lineRule="exact"/>
        <w:ind w:right="0" w:rightChars="0" w:firstLine="64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四、纳入标准</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56"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根据《医疗器械不良事件监测和再评价管理办法》要求，</w:t>
      </w:r>
      <w:r>
        <w:rPr>
          <w:rFonts w:hint="eastAsia" w:ascii="仿宋_GB2312" w:hAnsi="仿宋_GB2312" w:eastAsia="仿宋_GB2312" w:cs="仿宋_GB2312"/>
          <w:color w:val="auto"/>
          <w:sz w:val="32"/>
          <w:szCs w:val="32"/>
          <w:highlight w:val="none"/>
          <w:lang w:eastAsia="zh-CN"/>
        </w:rPr>
        <w:t>本程序所指的</w:t>
      </w:r>
      <w:r>
        <w:rPr>
          <w:rFonts w:hint="eastAsia" w:ascii="仿宋_GB2312" w:hAnsi="仿宋_GB2312" w:eastAsia="仿宋_GB2312" w:cs="仿宋_GB2312"/>
          <w:color w:val="auto"/>
          <w:sz w:val="32"/>
          <w:szCs w:val="32"/>
          <w:highlight w:val="none"/>
        </w:rPr>
        <w:t>医疗器械不良事件风险信号</w:t>
      </w:r>
      <w:r>
        <w:rPr>
          <w:rFonts w:hint="eastAsia" w:ascii="仿宋_GB2312" w:hAnsi="仿宋_GB2312" w:eastAsia="仿宋_GB2312" w:cs="仿宋_GB2312"/>
          <w:color w:val="auto"/>
          <w:sz w:val="32"/>
          <w:szCs w:val="32"/>
          <w:highlight w:val="none"/>
          <w:lang w:eastAsia="zh-CN"/>
        </w:rPr>
        <w:t>主要包括以下情形：</w:t>
      </w:r>
    </w:p>
    <w:p>
      <w:pPr>
        <w:keepNext w:val="0"/>
        <w:keepLines w:val="0"/>
        <w:pageBreakBefore w:val="0"/>
        <w:widowControl w:val="0"/>
        <w:kinsoku/>
        <w:wordWrap/>
        <w:overflowPunct/>
        <w:topLinePunct w:val="0"/>
        <w:autoSpaceDE/>
        <w:autoSpaceDN/>
        <w:bidi w:val="0"/>
        <w:adjustRightInd/>
        <w:snapToGrid/>
        <w:spacing w:beforeLines="0" w:afterLines="0" w:line="556"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导致</w:t>
      </w:r>
      <w:r>
        <w:rPr>
          <w:rFonts w:hint="eastAsia" w:ascii="仿宋_GB2312" w:hAnsi="仿宋_GB2312" w:eastAsia="仿宋_GB2312" w:cs="仿宋_GB2312"/>
          <w:color w:val="auto"/>
          <w:sz w:val="32"/>
          <w:szCs w:val="32"/>
          <w:highlight w:val="none"/>
          <w:lang w:val="en-US" w:eastAsia="zh-CN"/>
        </w:rPr>
        <w:t>1例及以上</w:t>
      </w:r>
      <w:r>
        <w:rPr>
          <w:rFonts w:hint="eastAsia" w:ascii="仿宋_GB2312" w:hAnsi="仿宋_GB2312" w:eastAsia="仿宋_GB2312" w:cs="仿宋_GB2312"/>
          <w:color w:val="auto"/>
          <w:sz w:val="32"/>
          <w:szCs w:val="32"/>
          <w:highlight w:val="none"/>
        </w:rPr>
        <w:t>死亡的</w:t>
      </w:r>
      <w:r>
        <w:rPr>
          <w:rFonts w:hint="eastAsia" w:ascii="仿宋_GB2312" w:hAnsi="仿宋_GB2312" w:eastAsia="仿宋_GB2312" w:cs="仿宋_GB2312"/>
          <w:color w:val="auto"/>
          <w:sz w:val="32"/>
          <w:szCs w:val="32"/>
          <w:highlight w:val="none"/>
          <w:lang w:eastAsia="zh-CN"/>
        </w:rPr>
        <w:t>医疗器械</w:t>
      </w:r>
      <w:r>
        <w:rPr>
          <w:rFonts w:hint="eastAsia" w:ascii="仿宋_GB2312" w:hAnsi="仿宋_GB2312" w:eastAsia="仿宋_GB2312" w:cs="仿宋_GB2312"/>
          <w:color w:val="auto"/>
          <w:sz w:val="32"/>
          <w:szCs w:val="32"/>
          <w:highlight w:val="none"/>
        </w:rPr>
        <w:t>不良事件报告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56"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（二）群体医疗器械不良事件</w:t>
      </w:r>
      <w:r>
        <w:rPr>
          <w:rFonts w:hint="eastAsia"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56"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（三）通过国家医疗器械不良事件监测系统预警分析管理模块产生的风险信号；</w:t>
      </w:r>
    </w:p>
    <w:p>
      <w:pPr>
        <w:keepNext w:val="0"/>
        <w:keepLines w:val="0"/>
        <w:pageBreakBefore w:val="0"/>
        <w:kinsoku/>
        <w:wordWrap/>
        <w:overflowPunct/>
        <w:topLinePunct w:val="0"/>
        <w:autoSpaceDE/>
        <w:autoSpaceDN/>
        <w:bidi w:val="0"/>
        <w:adjustRightInd/>
        <w:snapToGrid/>
        <w:spacing w:beforeLines="0" w:afterLines="0" w:line="55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使用单位</w:t>
      </w:r>
      <w:r>
        <w:rPr>
          <w:rFonts w:hint="eastAsia" w:ascii="仿宋_GB2312" w:hAnsi="仿宋_GB2312" w:eastAsia="仿宋_GB2312" w:cs="仿宋_GB2312"/>
          <w:color w:val="auto"/>
          <w:sz w:val="32"/>
          <w:szCs w:val="32"/>
          <w:highlight w:val="none"/>
          <w:lang w:eastAsia="zh-CN"/>
        </w:rPr>
        <w:t>发现或者获知的可疑医疗器械不良事件，</w:t>
      </w:r>
      <w:r>
        <w:rPr>
          <w:rFonts w:hint="eastAsia" w:ascii="仿宋_GB2312" w:hAnsi="仿宋_GB2312" w:eastAsia="仿宋_GB2312" w:cs="仿宋_GB2312"/>
          <w:color w:val="auto"/>
          <w:sz w:val="32"/>
          <w:szCs w:val="32"/>
          <w:highlight w:val="none"/>
        </w:rPr>
        <w:t>怀疑医疗器械存在安全性风险的事件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5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上级交办需要调查处置的风险信号</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0"/>
        <w:jc w:val="both"/>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五、工作职责</w:t>
      </w:r>
    </w:p>
    <w:p>
      <w:pPr>
        <w:keepNext w:val="0"/>
        <w:keepLines w:val="0"/>
        <w:pageBreakBefore w:val="0"/>
        <w:numPr>
          <w:ilvl w:val="0"/>
          <w:numId w:val="0"/>
        </w:numPr>
        <w:kinsoku/>
        <w:wordWrap/>
        <w:overflowPunct/>
        <w:topLinePunct w:val="0"/>
        <w:autoSpaceDE/>
        <w:autoSpaceDN/>
        <w:bidi w:val="0"/>
        <w:adjustRightInd/>
        <w:snapToGrid/>
        <w:spacing w:line="556" w:lineRule="exact"/>
        <w:ind w:left="640" w:leftChars="0" w:right="0" w:rightChars="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（一）自治区药品不良反应监测机构</w:t>
      </w:r>
    </w:p>
    <w:p>
      <w:pPr>
        <w:keepNext w:val="0"/>
        <w:keepLines w:val="0"/>
        <w:pageBreakBefore w:val="0"/>
        <w:numPr>
          <w:ilvl w:val="0"/>
          <w:numId w:val="0"/>
        </w:numPr>
        <w:kinsoku/>
        <w:wordWrap/>
        <w:overflowPunct/>
        <w:topLinePunct w:val="0"/>
        <w:autoSpaceDE/>
        <w:autoSpaceDN/>
        <w:bidi w:val="0"/>
        <w:adjustRightInd/>
        <w:snapToGrid/>
        <w:spacing w:line="556" w:lineRule="exact"/>
        <w:ind w:right="0" w:rightChars="0" w:firstLine="642"/>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1.对</w:t>
      </w:r>
      <w:r>
        <w:rPr>
          <w:rFonts w:hint="eastAsia" w:ascii="仿宋_GB2312" w:hAnsi="仿宋_GB2312" w:eastAsia="仿宋_GB2312" w:cs="仿宋_GB2312"/>
          <w:color w:val="auto"/>
          <w:sz w:val="32"/>
          <w:szCs w:val="32"/>
          <w:highlight w:val="none"/>
          <w:lang w:eastAsia="zh-CN"/>
        </w:rPr>
        <w:t>监测到的</w:t>
      </w:r>
      <w:r>
        <w:rPr>
          <w:rFonts w:hint="eastAsia" w:ascii="仿宋_GB2312" w:hAnsi="仿宋_GB2312" w:eastAsia="仿宋_GB2312" w:cs="仿宋_GB2312"/>
          <w:color w:val="auto"/>
          <w:sz w:val="32"/>
          <w:szCs w:val="32"/>
          <w:highlight w:val="none"/>
        </w:rPr>
        <w:t>风险信号，</w:t>
      </w:r>
      <w:r>
        <w:rPr>
          <w:rFonts w:hint="eastAsia" w:ascii="仿宋_GB2312" w:hAnsi="仿宋_GB2312" w:eastAsia="仿宋_GB2312" w:cs="仿宋_GB2312"/>
          <w:color w:val="auto"/>
          <w:sz w:val="32"/>
          <w:szCs w:val="32"/>
          <w:highlight w:val="none"/>
          <w:lang w:eastAsia="zh-CN"/>
        </w:rPr>
        <w:t>及时</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自治区</w:t>
      </w:r>
      <w:r>
        <w:rPr>
          <w:rFonts w:hint="eastAsia" w:ascii="仿宋_GB2312" w:hAnsi="仿宋_GB2312" w:eastAsia="仿宋_GB2312" w:cs="仿宋_GB2312"/>
          <w:color w:val="auto"/>
          <w:sz w:val="32"/>
          <w:szCs w:val="32"/>
          <w:highlight w:val="none"/>
        </w:rPr>
        <w:t>药品监督管理</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和国家</w:t>
      </w:r>
      <w:r>
        <w:rPr>
          <w:rFonts w:hint="eastAsia" w:ascii="仿宋_GB2312" w:hAnsi="仿宋_GB2312" w:eastAsia="仿宋_GB2312" w:cs="仿宋_GB2312"/>
          <w:color w:val="auto"/>
          <w:sz w:val="32"/>
          <w:szCs w:val="32"/>
          <w:highlight w:val="none"/>
          <w:lang w:eastAsia="zh-CN"/>
        </w:rPr>
        <w:t>药品不良反应监测中心</w:t>
      </w:r>
      <w:r>
        <w:rPr>
          <w:rFonts w:hint="eastAsia"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提出风险控制建议。</w:t>
      </w:r>
    </w:p>
    <w:p>
      <w:pPr>
        <w:keepNext w:val="0"/>
        <w:keepLines w:val="0"/>
        <w:pageBreakBefore w:val="0"/>
        <w:numPr>
          <w:ilvl w:val="0"/>
          <w:numId w:val="0"/>
        </w:numPr>
        <w:kinsoku/>
        <w:wordWrap/>
        <w:overflowPunct/>
        <w:topLinePunct w:val="0"/>
        <w:autoSpaceDE/>
        <w:autoSpaceDN/>
        <w:bidi w:val="0"/>
        <w:adjustRightInd/>
        <w:snapToGrid/>
        <w:spacing w:line="556" w:lineRule="exact"/>
        <w:ind w:right="0" w:rightChars="0" w:firstLine="642"/>
        <w:jc w:val="both"/>
        <w:textAlignment w:val="auto"/>
        <w:rPr>
          <w:rFonts w:hint="eastAsia" w:ascii="仿宋_GB2312" w:hAnsi="仿宋_GB2312" w:eastAsia="仿宋_GB2312" w:cs="仿宋_GB2312"/>
          <w:b w:val="0"/>
          <w:bCs w:val="0"/>
          <w:color w:val="auto"/>
          <w:w w:val="98"/>
          <w:sz w:val="32"/>
          <w:szCs w:val="32"/>
          <w:highlight w:val="none"/>
          <w:lang w:val="en-US" w:eastAsia="zh-CN"/>
        </w:rPr>
      </w:pPr>
      <w:r>
        <w:rPr>
          <w:rFonts w:hint="eastAsia" w:ascii="仿宋_GB2312" w:hAnsi="仿宋_GB2312" w:eastAsia="仿宋_GB2312" w:cs="仿宋_GB2312"/>
          <w:b w:val="0"/>
          <w:bCs w:val="0"/>
          <w:color w:val="auto"/>
          <w:w w:val="98"/>
          <w:sz w:val="32"/>
          <w:szCs w:val="32"/>
          <w:highlight w:val="none"/>
          <w:lang w:val="en-US" w:eastAsia="zh-CN"/>
        </w:rPr>
        <w:t>2.对区内发生的群体医疗器械不良事件进行调查和评价</w:t>
      </w:r>
      <w:r>
        <w:rPr>
          <w:rFonts w:hint="eastAsia" w:ascii="仿宋_GB2312" w:hAnsi="仿宋_GB2312" w:eastAsia="仿宋_GB2312" w:cs="仿宋_GB2312"/>
          <w:b w:val="0"/>
          <w:bCs w:val="0"/>
          <w:color w:val="auto"/>
          <w:w w:val="98"/>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指导</w:t>
      </w:r>
      <w:r>
        <w:rPr>
          <w:rFonts w:hint="eastAsia" w:ascii="仿宋_GB2312" w:hAnsi="仿宋_GB2312" w:eastAsia="仿宋_GB2312" w:cs="仿宋_GB2312"/>
          <w:color w:val="auto"/>
          <w:w w:val="97"/>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对辖区内的风险信号开展调查和处置工作。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督促指导辖区内注册人开展风险信号调查、评价，并审核注册人的产品风险评价报告。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统筹协调事发地为我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的风险信号</w:t>
      </w:r>
      <w:r>
        <w:rPr>
          <w:rFonts w:hint="eastAsia" w:ascii="仿宋_GB2312" w:hAnsi="仿宋_GB2312" w:eastAsia="仿宋_GB2312" w:cs="仿宋_GB2312"/>
          <w:color w:val="auto"/>
          <w:sz w:val="32"/>
          <w:szCs w:val="32"/>
          <w:highlight w:val="none"/>
          <w:lang w:eastAsia="zh-CN"/>
        </w:rPr>
        <w:t>、涉及</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持有人风险信号的调查处置工作。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w:t>
      </w:r>
      <w:r>
        <w:rPr>
          <w:rFonts w:hint="eastAsia" w:ascii="楷体_GB2312" w:hAnsi="楷体_GB2312" w:eastAsia="楷体_GB2312" w:cs="楷体_GB2312"/>
          <w:color w:val="auto"/>
          <w:w w:val="97"/>
          <w:sz w:val="32"/>
          <w:szCs w:val="32"/>
          <w:highlight w:val="none"/>
          <w:lang w:eastAsia="zh-CN"/>
        </w:rPr>
        <w:t>地（市）药品不良反应监测机构</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发现辖区内的风险信号，及时赴</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或经营企业</w:t>
      </w:r>
      <w:r>
        <w:rPr>
          <w:rFonts w:hint="eastAsia" w:ascii="仿宋_GB2312" w:hAnsi="仿宋_GB2312" w:eastAsia="仿宋_GB2312" w:cs="仿宋_GB2312"/>
          <w:color w:val="auto"/>
          <w:sz w:val="32"/>
          <w:szCs w:val="32"/>
          <w:highlight w:val="none"/>
        </w:rPr>
        <w:t>开展现场调查，</w:t>
      </w:r>
      <w:r>
        <w:rPr>
          <w:rFonts w:hint="eastAsia" w:ascii="仿宋_GB2312" w:hAnsi="仿宋_GB2312" w:eastAsia="仿宋_GB2312" w:cs="仿宋_GB2312"/>
          <w:color w:val="auto"/>
          <w:sz w:val="32"/>
          <w:szCs w:val="32"/>
          <w:highlight w:val="none"/>
          <w:lang w:eastAsia="zh-CN"/>
        </w:rPr>
        <w:t>撰写调查报告，</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b w:val="0"/>
          <w:bCs w:val="0"/>
          <w:color w:val="auto"/>
          <w:sz w:val="32"/>
          <w:szCs w:val="32"/>
          <w:highlight w:val="none"/>
          <w:lang w:eastAsia="zh-CN"/>
        </w:rPr>
        <w:t>同级药品监督管理部门</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报告。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注册人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1.按照</w:t>
      </w:r>
      <w:r>
        <w:rPr>
          <w:rFonts w:hint="eastAsia" w:ascii="仿宋_GB2312" w:hAnsi="仿宋_GB2312" w:eastAsia="仿宋_GB2312" w:cs="仿宋_GB2312"/>
          <w:color w:val="auto"/>
          <w:sz w:val="32"/>
          <w:szCs w:val="32"/>
          <w:highlight w:val="none"/>
        </w:rPr>
        <w:t>《指导原则》开展风险信号所</w:t>
      </w:r>
      <w:r>
        <w:rPr>
          <w:rFonts w:hint="eastAsia" w:ascii="仿宋_GB2312" w:hAnsi="仿宋_GB2312" w:eastAsia="仿宋_GB2312" w:cs="仿宋_GB2312"/>
          <w:color w:val="auto"/>
          <w:sz w:val="32"/>
          <w:szCs w:val="32"/>
          <w:highlight w:val="none"/>
          <w:lang w:eastAsia="zh-CN"/>
        </w:rPr>
        <w:t>涉及</w:t>
      </w:r>
      <w:r>
        <w:rPr>
          <w:rFonts w:hint="eastAsia" w:ascii="仿宋_GB2312" w:hAnsi="仿宋_GB2312" w:eastAsia="仿宋_GB2312" w:cs="仿宋_GB2312"/>
          <w:color w:val="auto"/>
          <w:sz w:val="32"/>
          <w:szCs w:val="32"/>
          <w:highlight w:val="none"/>
        </w:rPr>
        <w:t>产品的不良事件情况调查</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风险评价</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根据风险信号调查评价结果及时采取相适应的风险控制措施</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配合</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部门开展风险信号的调查和处置</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（四）经营企业和使用单位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按照《医疗器械不良事件监测和再评价管理办法》要求报告，</w:t>
      </w:r>
      <w:r>
        <w:rPr>
          <w:rFonts w:hint="eastAsia" w:ascii="仿宋_GB2312" w:hAnsi="仿宋_GB2312" w:eastAsia="仿宋_GB2312" w:cs="仿宋_GB2312"/>
          <w:color w:val="auto"/>
          <w:sz w:val="32"/>
          <w:szCs w:val="32"/>
          <w:highlight w:val="none"/>
          <w:lang w:val="en-US" w:eastAsia="zh-CN"/>
        </w:rPr>
        <w:t>开展调查，分析原因，并采取有效控制措施。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配合</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部门开展风险信号的调查和处置</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黑体" w:hAnsi="黑体" w:eastAsia="黑体" w:cs="黑体"/>
          <w:color w:val="auto"/>
          <w:sz w:val="32"/>
          <w:szCs w:val="32"/>
          <w:highlight w:val="none"/>
        </w:rPr>
      </w:pPr>
      <w:bookmarkStart w:id="0" w:name="_Toc3324"/>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六、工作程序</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（一）调查程序</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1.事发地为我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的风险信号，</w:t>
      </w:r>
      <w:r>
        <w:rPr>
          <w:rFonts w:hint="eastAsia" w:ascii="仿宋_GB2312" w:hAnsi="仿宋_GB2312" w:eastAsia="仿宋_GB2312" w:cs="仿宋_GB2312"/>
          <w:color w:val="auto"/>
          <w:sz w:val="32"/>
          <w:szCs w:val="32"/>
          <w:highlight w:val="none"/>
          <w:lang w:eastAsia="zh-CN"/>
        </w:rPr>
        <w:t>事发地</w:t>
      </w:r>
      <w:r>
        <w:rPr>
          <w:rFonts w:hint="eastAsia" w:ascii="仿宋_GB2312" w:hAnsi="仿宋_GB2312" w:eastAsia="仿宋_GB2312" w:cs="仿宋_GB2312"/>
          <w:color w:val="auto"/>
          <w:w w:val="97"/>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应立即向</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rPr>
        <w:t>单位核实事件真实性，并及时赴</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或经营企业</w:t>
      </w:r>
      <w:r>
        <w:rPr>
          <w:rFonts w:hint="eastAsia" w:ascii="仿宋_GB2312" w:hAnsi="仿宋_GB2312" w:eastAsia="仿宋_GB2312" w:cs="仿宋_GB2312"/>
          <w:color w:val="auto"/>
          <w:sz w:val="32"/>
          <w:szCs w:val="32"/>
          <w:highlight w:val="none"/>
        </w:rPr>
        <w:t>开展现场调查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w w:val="97"/>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可视情况邀请</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、临床专家、产品技术专家参与调查。</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w w:val="97"/>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开展现场调查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重点了解以下信息：（1）不良事件发生情况：包括不良事件发生时间、伤害/故障表现、不良事件后果、已采取的风险控制措施等；（2）患者诊治情况：不良事件涉及患者伤害的，应当调查核实患者的诊治信息，主要包括年龄、性别、原患疾病、用药史、相关体征及各种检查数据、救治措施、转归情况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（3）医疗器械使用情况（包括产品基本信息、产品采购及使用情况、产品储存/维护保养情况、合并用药/械情况、使用人员资质等。</w:t>
      </w:r>
    </w:p>
    <w:p>
      <w:pPr>
        <w:keepNext w:val="0"/>
        <w:keepLines w:val="0"/>
        <w:pageBreakBefore w:val="0"/>
        <w:kinsoku/>
        <w:wordWrap/>
        <w:overflowPunct/>
        <w:topLinePunct w:val="0"/>
        <w:autoSpaceDE/>
        <w:autoSpaceDN/>
        <w:bidi w:val="0"/>
        <w:spacing w:line="556"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3.调查完成后，</w:t>
      </w:r>
      <w:r>
        <w:rPr>
          <w:rFonts w:hint="eastAsia" w:ascii="仿宋_GB2312" w:hAnsi="仿宋_GB2312" w:eastAsia="仿宋_GB2312" w:cs="仿宋_GB2312"/>
          <w:color w:val="auto"/>
          <w:w w:val="97"/>
          <w:sz w:val="32"/>
          <w:szCs w:val="32"/>
          <w:highlight w:val="none"/>
          <w:lang w:eastAsia="zh-CN"/>
        </w:rPr>
        <w:t>地（市）药品不良反应监测机构应填写《医疗器械不良事件监测风险信号调查表》，并形成初步调查报告报自治区药品不良反应监测机构，自治区药品不良反应监测机构</w:t>
      </w:r>
      <w:r>
        <w:rPr>
          <w:rFonts w:hint="eastAsia" w:ascii="仿宋_GB2312" w:hAnsi="仿宋_GB2312" w:eastAsia="仿宋_GB2312" w:cs="仿宋_GB2312"/>
          <w:color w:val="auto"/>
          <w:sz w:val="32"/>
          <w:szCs w:val="32"/>
          <w:highlight w:val="none"/>
          <w:lang w:eastAsia="zh-CN"/>
        </w:rPr>
        <w:t>应结合</w:t>
      </w:r>
      <w:r>
        <w:rPr>
          <w:rFonts w:hint="eastAsia" w:ascii="仿宋_GB2312" w:hAnsi="仿宋_GB2312" w:eastAsia="仿宋_GB2312" w:cs="仿宋_GB2312"/>
          <w:color w:val="auto"/>
          <w:w w:val="97"/>
          <w:sz w:val="32"/>
          <w:szCs w:val="32"/>
          <w:highlight w:val="none"/>
          <w:lang w:eastAsia="zh-CN"/>
        </w:rPr>
        <w:t>地（市）药品不良反应监测机构的</w:t>
      </w:r>
      <w:r>
        <w:rPr>
          <w:rFonts w:hint="eastAsia" w:ascii="仿宋_GB2312" w:hAnsi="仿宋_GB2312" w:eastAsia="仿宋_GB2312" w:cs="仿宋_GB2312"/>
          <w:b w:val="0"/>
          <w:bCs w:val="0"/>
          <w:color w:val="auto"/>
          <w:sz w:val="32"/>
          <w:szCs w:val="32"/>
          <w:highlight w:val="none"/>
        </w:rPr>
        <w:t>调查</w:t>
      </w:r>
      <w:r>
        <w:rPr>
          <w:rFonts w:hint="eastAsia" w:ascii="仿宋_GB2312" w:hAnsi="仿宋_GB2312" w:eastAsia="仿宋_GB2312" w:cs="仿宋_GB2312"/>
          <w:b w:val="0"/>
          <w:bCs w:val="0"/>
          <w:color w:val="auto"/>
          <w:sz w:val="32"/>
          <w:szCs w:val="32"/>
          <w:highlight w:val="none"/>
          <w:lang w:eastAsia="zh-CN"/>
        </w:rPr>
        <w:t>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不良事件监测数据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文献资料等对风险信号进行初步分析研判，必要时可组织风险信号专家讨论会，邀请相关专业的临床专家、产品技术专家共同研判</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56" w:lineRule="exact"/>
        <w:ind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初步判断事件与医疗器械可能无关的，</w:t>
      </w:r>
      <w:r>
        <w:rPr>
          <w:rFonts w:hint="eastAsia" w:ascii="仿宋_GB2312" w:hAnsi="仿宋_GB2312" w:eastAsia="仿宋_GB2312" w:cs="仿宋_GB2312"/>
          <w:b w:val="0"/>
          <w:bCs w:val="0"/>
          <w:color w:val="auto"/>
          <w:sz w:val="32"/>
          <w:szCs w:val="32"/>
          <w:highlight w:val="none"/>
          <w:lang w:eastAsia="zh-CN"/>
        </w:rPr>
        <w:t>自治区药品不良反应</w:t>
      </w:r>
      <w:r>
        <w:rPr>
          <w:rFonts w:hint="eastAsia" w:ascii="仿宋_GB2312" w:hAnsi="仿宋_GB2312" w:eastAsia="仿宋_GB2312" w:cs="仿宋_GB2312"/>
          <w:b w:val="0"/>
          <w:bCs w:val="0"/>
          <w:color w:val="auto"/>
          <w:sz w:val="32"/>
          <w:szCs w:val="32"/>
          <w:highlight w:val="none"/>
        </w:rPr>
        <w:t>监测机构应将具体原因分析告知</w:t>
      </w:r>
      <w:r>
        <w:rPr>
          <w:rFonts w:hint="eastAsia" w:ascii="仿宋_GB2312" w:hAnsi="仿宋_GB2312" w:eastAsia="仿宋_GB2312" w:cs="仿宋_GB2312"/>
          <w:b w:val="0"/>
          <w:bCs w:val="0"/>
          <w:color w:val="auto"/>
          <w:w w:val="97"/>
          <w:sz w:val="32"/>
          <w:szCs w:val="32"/>
          <w:highlight w:val="none"/>
          <w:lang w:eastAsia="zh-CN"/>
        </w:rPr>
        <w:t>地（市）药品不良反应监测机构和</w:t>
      </w:r>
      <w:r>
        <w:rPr>
          <w:rFonts w:hint="eastAsia" w:ascii="仿宋_GB2312" w:hAnsi="仿宋_GB2312" w:eastAsia="仿宋_GB2312" w:cs="仿宋_GB2312"/>
          <w:b w:val="0"/>
          <w:bCs w:val="0"/>
          <w:color w:val="auto"/>
          <w:sz w:val="32"/>
          <w:szCs w:val="32"/>
          <w:highlight w:val="none"/>
        </w:rPr>
        <w:t>报告单位，不需撰写书面调查报告。</w:t>
      </w:r>
    </w:p>
    <w:p>
      <w:pPr>
        <w:keepNext w:val="0"/>
        <w:keepLines w:val="0"/>
        <w:pageBreakBefore w:val="0"/>
        <w:kinsoku/>
        <w:wordWrap/>
        <w:overflowPunct/>
        <w:topLinePunct w:val="0"/>
        <w:autoSpaceDE/>
        <w:autoSpaceDN/>
        <w:bidi w:val="0"/>
        <w:spacing w:line="556" w:lineRule="exact"/>
        <w:ind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初步判断事件与医疗器械可能有关的，</w:t>
      </w:r>
      <w:r>
        <w:rPr>
          <w:rFonts w:hint="eastAsia" w:ascii="仿宋_GB2312" w:hAnsi="仿宋_GB2312" w:eastAsia="仿宋_GB2312" w:cs="仿宋_GB2312"/>
          <w:b w:val="0"/>
          <w:bCs w:val="0"/>
          <w:color w:val="auto"/>
          <w:sz w:val="32"/>
          <w:szCs w:val="32"/>
          <w:highlight w:val="none"/>
          <w:lang w:eastAsia="zh-CN"/>
        </w:rPr>
        <w:t>自治区药品不良反应</w:t>
      </w:r>
      <w:r>
        <w:rPr>
          <w:rFonts w:hint="eastAsia" w:ascii="仿宋_GB2312" w:hAnsi="仿宋_GB2312" w:eastAsia="仿宋_GB2312" w:cs="仿宋_GB2312"/>
          <w:b w:val="0"/>
          <w:bCs w:val="0"/>
          <w:color w:val="auto"/>
          <w:sz w:val="32"/>
          <w:szCs w:val="32"/>
          <w:highlight w:val="none"/>
        </w:rPr>
        <w:t>监测机构应撰写书面调查报告报</w:t>
      </w:r>
      <w:r>
        <w:rPr>
          <w:rFonts w:hint="eastAsia" w:ascii="仿宋_GB2312" w:hAnsi="仿宋_GB2312" w:eastAsia="仿宋_GB2312" w:cs="仿宋_GB2312"/>
          <w:b w:val="0"/>
          <w:bCs w:val="0"/>
          <w:color w:val="auto"/>
          <w:sz w:val="32"/>
          <w:szCs w:val="32"/>
          <w:highlight w:val="none"/>
          <w:lang w:eastAsia="zh-CN"/>
        </w:rPr>
        <w:t>自治区</w:t>
      </w:r>
      <w:r>
        <w:rPr>
          <w:rFonts w:hint="eastAsia" w:ascii="仿宋_GB2312" w:hAnsi="仿宋_GB2312" w:eastAsia="仿宋_GB2312" w:cs="仿宋_GB2312"/>
          <w:b w:val="0"/>
          <w:bCs w:val="0"/>
          <w:color w:val="auto"/>
          <w:sz w:val="32"/>
          <w:szCs w:val="32"/>
          <w:highlight w:val="none"/>
        </w:rPr>
        <w:t>药品监督管理</w:t>
      </w:r>
      <w:r>
        <w:rPr>
          <w:rFonts w:hint="eastAsia" w:ascii="仿宋_GB2312" w:hAnsi="仿宋_GB2312" w:eastAsia="仿宋_GB2312" w:cs="仿宋_GB2312"/>
          <w:b w:val="0"/>
          <w:bCs w:val="0"/>
          <w:color w:val="auto"/>
          <w:sz w:val="32"/>
          <w:szCs w:val="32"/>
          <w:highlight w:val="none"/>
          <w:lang w:eastAsia="zh-CN"/>
        </w:rPr>
        <w:t>部门</w:t>
      </w:r>
      <w:r>
        <w:rPr>
          <w:rFonts w:hint="eastAsia" w:ascii="仿宋_GB2312" w:hAnsi="仿宋_GB2312" w:eastAsia="仿宋_GB2312" w:cs="仿宋_GB2312"/>
          <w:b w:val="0"/>
          <w:bCs w:val="0"/>
          <w:color w:val="auto"/>
          <w:w w:val="98"/>
          <w:sz w:val="32"/>
          <w:szCs w:val="32"/>
          <w:highlight w:val="none"/>
          <w:lang w:eastAsia="zh-CN"/>
        </w:rPr>
        <w:t>和国家药品不良反应监测中心。</w:t>
      </w:r>
    </w:p>
    <w:p>
      <w:pPr>
        <w:keepNext w:val="0"/>
        <w:keepLines w:val="0"/>
        <w:pageBreakBefore w:val="0"/>
        <w:kinsoku/>
        <w:wordWrap/>
        <w:overflowPunct/>
        <w:topLinePunct w:val="0"/>
        <w:autoSpaceDE/>
        <w:autoSpaceDN/>
        <w:bidi w:val="0"/>
        <w:spacing w:line="556" w:lineRule="exact"/>
        <w:ind w:right="0" w:rightChars="0" w:firstLine="640" w:firstLineChars="200"/>
        <w:textAlignment w:val="auto"/>
        <w:rPr>
          <w:rFonts w:hint="eastAsia" w:ascii="仿宋_GB2312" w:hAnsi="仿宋_GB2312" w:eastAsia="仿宋_GB2312" w:cs="仿宋_GB2312"/>
          <w:b w:val="0"/>
          <w:bCs w:val="0"/>
          <w:color w:val="auto"/>
          <w:w w:val="98"/>
          <w:sz w:val="32"/>
          <w:szCs w:val="32"/>
          <w:highlight w:val="none"/>
        </w:rPr>
      </w:pPr>
      <w:r>
        <w:rPr>
          <w:rFonts w:hint="eastAsia" w:ascii="仿宋_GB2312" w:hAnsi="仿宋_GB2312" w:eastAsia="仿宋_GB2312" w:cs="仿宋_GB2312"/>
          <w:b w:val="0"/>
          <w:bCs w:val="0"/>
          <w:color w:val="auto"/>
          <w:sz w:val="32"/>
          <w:szCs w:val="32"/>
          <w:highlight w:val="none"/>
        </w:rPr>
        <w:t>死亡病例报告调查后均需撰写书面调查报告。</w:t>
      </w:r>
    </w:p>
    <w:p>
      <w:pPr>
        <w:keepNext w:val="0"/>
        <w:keepLines w:val="0"/>
        <w:pageBreakBefore w:val="0"/>
        <w:kinsoku/>
        <w:wordWrap/>
        <w:overflowPunct/>
        <w:topLinePunct w:val="0"/>
        <w:autoSpaceDE/>
        <w:autoSpaceDN/>
        <w:bidi w:val="0"/>
        <w:adjustRightInd/>
        <w:snapToGrid/>
        <w:spacing w:line="556" w:lineRule="exact"/>
        <w:ind w:right="0" w:righ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另外，</w:t>
      </w:r>
      <w:r>
        <w:rPr>
          <w:rFonts w:hint="eastAsia" w:ascii="仿宋_GB2312" w:hAnsi="仿宋_GB2312" w:eastAsia="仿宋_GB2312" w:cs="仿宋_GB2312"/>
          <w:color w:val="auto"/>
          <w:sz w:val="32"/>
          <w:szCs w:val="32"/>
          <w:highlight w:val="none"/>
          <w:lang w:eastAsia="zh-CN"/>
        </w:rPr>
        <w:t>如怀疑</w:t>
      </w:r>
      <w:r>
        <w:rPr>
          <w:rFonts w:hint="eastAsia" w:ascii="仿宋_GB2312" w:hAnsi="仿宋_GB2312" w:eastAsia="仿宋_GB2312" w:cs="仿宋_GB2312"/>
          <w:color w:val="auto"/>
          <w:sz w:val="32"/>
          <w:szCs w:val="32"/>
          <w:highlight w:val="none"/>
        </w:rPr>
        <w:t>事件可能与医疗器械质量有关，</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还应向同级监管部门报告</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建议对相关批次产品进行抽样</w:t>
      </w:r>
      <w:r>
        <w:rPr>
          <w:rFonts w:hint="eastAsia" w:ascii="仿宋_GB2312" w:hAnsi="仿宋_GB2312" w:eastAsia="仿宋_GB2312" w:cs="仿宋_GB2312"/>
          <w:color w:val="auto"/>
          <w:sz w:val="32"/>
          <w:szCs w:val="32"/>
          <w:highlight w:val="none"/>
          <w:lang w:eastAsia="zh-CN"/>
        </w:rPr>
        <w:t>检验</w:t>
      </w:r>
      <w:r>
        <w:rPr>
          <w:rFonts w:hint="eastAsia" w:ascii="仿宋_GB2312" w:hAnsi="仿宋_GB2312" w:eastAsia="仿宋_GB2312" w:cs="仿宋_GB2312"/>
          <w:color w:val="auto"/>
          <w:sz w:val="32"/>
          <w:szCs w:val="32"/>
          <w:highlight w:val="none"/>
        </w:rPr>
        <w:t>，并实时追踪</w:t>
      </w:r>
      <w:r>
        <w:rPr>
          <w:rFonts w:hint="eastAsia" w:ascii="仿宋_GB2312" w:hAnsi="仿宋_GB2312" w:eastAsia="仿宋_GB2312" w:cs="仿宋_GB2312"/>
          <w:color w:val="auto"/>
          <w:sz w:val="32"/>
          <w:szCs w:val="32"/>
          <w:highlight w:val="none"/>
          <w:lang w:eastAsia="zh-CN"/>
        </w:rPr>
        <w:t>检验</w:t>
      </w:r>
      <w:r>
        <w:rPr>
          <w:rFonts w:hint="eastAsia" w:ascii="仿宋_GB2312" w:hAnsi="仿宋_GB2312" w:eastAsia="仿宋_GB2312" w:cs="仿宋_GB2312"/>
          <w:color w:val="auto"/>
          <w:sz w:val="32"/>
          <w:szCs w:val="32"/>
          <w:highlight w:val="none"/>
        </w:rPr>
        <w:t>进展情况。</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及时通报信息，并向</w:t>
      </w:r>
      <w:r>
        <w:rPr>
          <w:rFonts w:hint="eastAsia" w:ascii="仿宋_GB2312" w:hAnsi="仿宋_GB2312" w:eastAsia="仿宋_GB2312" w:cs="仿宋_GB2312"/>
          <w:color w:val="auto"/>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提供技术</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指导</w:t>
      </w:r>
      <w:r>
        <w:rPr>
          <w:rFonts w:hint="eastAsia" w:ascii="仿宋_GB2312" w:hAnsi="仿宋_GB2312" w:eastAsia="仿宋_GB2312" w:cs="仿宋_GB2312"/>
          <w:color w:val="auto"/>
          <w:w w:val="97"/>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调查工作。</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（二）处置程序</w:t>
      </w:r>
    </w:p>
    <w:p>
      <w:pPr>
        <w:keepNext w:val="0"/>
        <w:keepLines w:val="0"/>
        <w:pageBreakBefore w:val="0"/>
        <w:kinsoku/>
        <w:wordWrap/>
        <w:overflowPunct/>
        <w:topLinePunct w:val="0"/>
        <w:autoSpaceDE/>
        <w:autoSpaceDN/>
        <w:bidi w:val="0"/>
        <w:spacing w:line="556" w:lineRule="exact"/>
        <w:ind w:right="0" w:righ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自治区药品不良反应监测机构监测到</w:t>
      </w:r>
      <w:r>
        <w:rPr>
          <w:rFonts w:hint="eastAsia" w:ascii="仿宋_GB2312" w:hAnsi="仿宋_GB2312" w:eastAsia="仿宋_GB2312" w:cs="仿宋_GB2312"/>
          <w:color w:val="auto"/>
          <w:sz w:val="32"/>
          <w:szCs w:val="32"/>
          <w:highlight w:val="none"/>
        </w:rPr>
        <w:t>风险信号</w:t>
      </w:r>
      <w:r>
        <w:rPr>
          <w:rFonts w:hint="eastAsia" w:ascii="仿宋_GB2312" w:hAnsi="仿宋_GB2312" w:eastAsia="仿宋_GB2312" w:cs="仿宋_GB2312"/>
          <w:color w:val="auto"/>
          <w:sz w:val="32"/>
          <w:szCs w:val="32"/>
          <w:highlight w:val="none"/>
          <w:lang w:eastAsia="zh-CN"/>
        </w:rPr>
        <w:t>填写《</w:t>
      </w:r>
      <w:r>
        <w:rPr>
          <w:rFonts w:hint="eastAsia" w:ascii="仿宋_GB2312" w:hAnsi="仿宋_GB2312" w:eastAsia="仿宋_GB2312" w:cs="仿宋_GB2312"/>
          <w:b w:val="0"/>
          <w:bCs w:val="0"/>
          <w:color w:val="auto"/>
          <w:sz w:val="32"/>
          <w:szCs w:val="32"/>
          <w:highlight w:val="none"/>
        </w:rPr>
        <w:t>医疗器械风险信号记录表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涉及</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注册人的风险信号，</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督促指导注册人根据《指导原则》开展调查、产品风险评价及处置；</w:t>
      </w:r>
      <w:r>
        <w:rPr>
          <w:rFonts w:hint="eastAsia" w:ascii="仿宋_GB2312" w:hAnsi="仿宋_GB2312" w:eastAsia="仿宋_GB2312" w:cs="仿宋_GB2312"/>
          <w:color w:val="auto"/>
          <w:sz w:val="32"/>
          <w:szCs w:val="32"/>
          <w:highlight w:val="none"/>
          <w:lang w:eastAsia="zh-CN"/>
        </w:rPr>
        <w:t>涉及</w:t>
      </w:r>
      <w:r>
        <w:rPr>
          <w:rFonts w:hint="eastAsia" w:ascii="仿宋_GB2312" w:hAnsi="仿宋_GB2312" w:eastAsia="仿宋_GB2312" w:cs="仿宋_GB2312"/>
          <w:color w:val="auto"/>
          <w:sz w:val="32"/>
          <w:szCs w:val="32"/>
          <w:highlight w:val="none"/>
        </w:rPr>
        <w:t>外省注册人的风险信号，</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风险信号</w:t>
      </w:r>
      <w:r>
        <w:rPr>
          <w:rFonts w:hint="eastAsia" w:ascii="仿宋_GB2312" w:hAnsi="仿宋_GB2312" w:eastAsia="仿宋_GB2312" w:cs="仿宋_GB2312"/>
          <w:color w:val="auto"/>
          <w:sz w:val="32"/>
          <w:szCs w:val="32"/>
          <w:highlight w:val="none"/>
          <w:lang w:eastAsia="zh-CN"/>
        </w:rPr>
        <w:t>告知</w:t>
      </w:r>
      <w:r>
        <w:rPr>
          <w:rFonts w:hint="eastAsia" w:ascii="仿宋_GB2312" w:hAnsi="仿宋_GB2312" w:eastAsia="仿宋_GB2312" w:cs="仿宋_GB2312"/>
          <w:color w:val="auto"/>
          <w:sz w:val="32"/>
          <w:szCs w:val="32"/>
          <w:highlight w:val="none"/>
        </w:rPr>
        <w:t>注册人所在地省级监测</w:t>
      </w:r>
      <w:r>
        <w:rPr>
          <w:rFonts w:hint="eastAsia" w:ascii="仿宋_GB2312" w:hAnsi="仿宋_GB2312" w:eastAsia="仿宋_GB2312" w:cs="仿宋_GB2312"/>
          <w:color w:val="auto"/>
          <w:sz w:val="32"/>
          <w:szCs w:val="32"/>
          <w:highlight w:val="none"/>
          <w:lang w:eastAsia="zh-CN"/>
        </w:rPr>
        <w:t>中心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color w:val="auto"/>
          <w:sz w:val="32"/>
          <w:szCs w:val="32"/>
          <w:highlight w:val="none"/>
        </w:rPr>
        <w:t>注册人所在地省级</w:t>
      </w:r>
      <w:r>
        <w:rPr>
          <w:rFonts w:hint="eastAsia" w:ascii="仿宋_GB2312" w:hAnsi="仿宋_GB2312" w:eastAsia="仿宋_GB2312" w:cs="仿宋_GB2312"/>
          <w:color w:val="auto"/>
          <w:sz w:val="32"/>
          <w:szCs w:val="32"/>
          <w:highlight w:val="none"/>
          <w:lang w:eastAsia="zh-CN"/>
        </w:rPr>
        <w:t>监测中心</w:t>
      </w:r>
      <w:r>
        <w:rPr>
          <w:rFonts w:hint="eastAsia" w:ascii="仿宋_GB2312" w:hAnsi="仿宋_GB2312" w:eastAsia="仿宋_GB2312" w:cs="仿宋_GB2312"/>
          <w:color w:val="auto"/>
          <w:sz w:val="32"/>
          <w:szCs w:val="32"/>
          <w:highlight w:val="none"/>
        </w:rPr>
        <w:t>督促注册人开展调查、评价和处置。</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2.我</w:t>
      </w:r>
      <w:r>
        <w:rPr>
          <w:rFonts w:hint="eastAsia"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rPr>
        <w:t>注册人收到风险信号告知后，应立即按照《指导原则》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开展调查及产品风险评价，并于收到告知后的</w:t>
      </w: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b w:val="0"/>
          <w:bCs w:val="0"/>
          <w:color w:val="auto"/>
          <w:sz w:val="32"/>
          <w:szCs w:val="32"/>
          <w:highlight w:val="none"/>
        </w:rPr>
        <w:t>个月内完成产品风险评价报告，报</w:t>
      </w:r>
      <w:r>
        <w:rPr>
          <w:rFonts w:hint="eastAsia" w:ascii="仿宋_GB2312" w:hAnsi="仿宋_GB2312" w:eastAsia="仿宋_GB2312" w:cs="仿宋_GB2312"/>
          <w:b w:val="0"/>
          <w:bCs w:val="0"/>
          <w:color w:val="auto"/>
          <w:sz w:val="32"/>
          <w:szCs w:val="32"/>
          <w:highlight w:val="none"/>
          <w:lang w:eastAsia="zh-CN"/>
        </w:rPr>
        <w:t>自治区药品不良反应监测机构</w:t>
      </w:r>
      <w:r>
        <w:rPr>
          <w:rFonts w:hint="eastAsia" w:ascii="仿宋_GB2312" w:hAnsi="仿宋_GB2312" w:eastAsia="仿宋_GB2312" w:cs="仿宋_GB2312"/>
          <w:b w:val="0"/>
          <w:bCs w:val="0"/>
          <w:color w:val="auto"/>
          <w:sz w:val="32"/>
          <w:szCs w:val="32"/>
          <w:highlight w:val="none"/>
        </w:rPr>
        <w:t>审核。</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eastAsia="zh-CN"/>
        </w:rPr>
        <w:t>自治区药品不良反应监测机构</w:t>
      </w:r>
      <w:r>
        <w:rPr>
          <w:rFonts w:hint="eastAsia" w:ascii="仿宋_GB2312" w:hAnsi="仿宋_GB2312" w:eastAsia="仿宋_GB2312" w:cs="仿宋_GB2312"/>
          <w:b w:val="0"/>
          <w:bCs w:val="0"/>
          <w:color w:val="auto"/>
          <w:sz w:val="32"/>
          <w:szCs w:val="32"/>
          <w:highlight w:val="none"/>
        </w:rPr>
        <w:t>应在注册人初步完成调查及产品风</w:t>
      </w:r>
      <w:r>
        <w:rPr>
          <w:rFonts w:hint="eastAsia" w:ascii="仿宋_GB2312" w:hAnsi="仿宋_GB2312" w:eastAsia="仿宋_GB2312" w:cs="仿宋_GB2312"/>
          <w:color w:val="auto"/>
          <w:sz w:val="32"/>
          <w:szCs w:val="32"/>
          <w:highlight w:val="none"/>
        </w:rPr>
        <w:t>险评价后赴企业开展现场督促指导，重点沟通本次风险信号所涉产品的可疑风险点、注册人所采取的风险控制措施能否降低或控制风险及产品风险评价报告撰写是否符合要求。</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每季度汇总本季度风险信号的分析处置情况并向</w:t>
      </w:r>
      <w:r>
        <w:rPr>
          <w:rFonts w:hint="eastAsia" w:ascii="仿宋_GB2312" w:hAnsi="仿宋_GB2312" w:eastAsia="仿宋_GB2312" w:cs="仿宋_GB2312"/>
          <w:color w:val="auto"/>
          <w:sz w:val="32"/>
          <w:szCs w:val="32"/>
          <w:highlight w:val="none"/>
          <w:lang w:eastAsia="zh-CN"/>
        </w:rPr>
        <w:t>自治区</w:t>
      </w:r>
      <w:r>
        <w:rPr>
          <w:rFonts w:hint="eastAsia" w:ascii="仿宋_GB2312" w:hAnsi="仿宋_GB2312" w:eastAsia="仿宋_GB2312" w:cs="仿宋_GB2312"/>
          <w:color w:val="auto"/>
          <w:sz w:val="32"/>
          <w:szCs w:val="32"/>
          <w:highlight w:val="none"/>
        </w:rPr>
        <w:t>药品监督管理部门和国家</w:t>
      </w:r>
      <w:r>
        <w:rPr>
          <w:rFonts w:hint="eastAsia" w:ascii="仿宋_GB2312" w:hAnsi="仿宋_GB2312" w:eastAsia="仿宋_GB2312" w:cs="仿宋_GB2312"/>
          <w:color w:val="auto"/>
          <w:sz w:val="32"/>
          <w:szCs w:val="32"/>
          <w:highlight w:val="none"/>
          <w:lang w:eastAsia="zh-CN"/>
        </w:rPr>
        <w:t>药品不良反应监测中心</w:t>
      </w:r>
      <w:r>
        <w:rPr>
          <w:rFonts w:hint="eastAsia" w:ascii="仿宋_GB2312" w:hAnsi="仿宋_GB2312" w:eastAsia="仿宋_GB2312" w:cs="仿宋_GB2312"/>
          <w:color w:val="auto"/>
          <w:sz w:val="32"/>
          <w:szCs w:val="32"/>
          <w:highlight w:val="none"/>
        </w:rPr>
        <w:t>报告。</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0"/>
        <w:rPr>
          <w:rFonts w:hint="eastAsia" w:ascii="黑体" w:hAnsi="黑体" w:eastAsia="黑体" w:cs="黑体"/>
          <w:color w:val="auto"/>
          <w:sz w:val="32"/>
          <w:szCs w:val="32"/>
          <w:highlight w:val="none"/>
        </w:rPr>
      </w:pPr>
      <w:bookmarkStart w:id="1" w:name="_Toc19663"/>
      <w:r>
        <w:rPr>
          <w:rFonts w:hint="eastAsia" w:ascii="黑体" w:hAnsi="黑体" w:eastAsia="黑体" w:cs="黑体"/>
          <w:color w:val="auto"/>
          <w:sz w:val="32"/>
          <w:szCs w:val="32"/>
          <w:highlight w:val="none"/>
        </w:rPr>
        <w:t>七、相关说明</w:t>
      </w:r>
      <w:bookmarkEnd w:id="1"/>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医疗器械不良事件报告和监测信息需依法对外发布，任何单位和个人均不得擅自对外公开。</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（二）</w:t>
      </w:r>
      <w:r>
        <w:rPr>
          <w:rFonts w:hint="eastAsia" w:ascii="仿宋_GB2312" w:hAnsi="仿宋_GB2312" w:eastAsia="仿宋_GB2312" w:cs="仿宋_GB2312"/>
          <w:b w:val="0"/>
          <w:bCs w:val="0"/>
          <w:color w:val="auto"/>
          <w:sz w:val="32"/>
          <w:szCs w:val="32"/>
          <w:highlight w:val="none"/>
        </w:rPr>
        <w:t>本工作程序与国家以后颁布的风险信号调查处置指导文件有冲突，</w:t>
      </w:r>
      <w:r>
        <w:rPr>
          <w:rFonts w:hint="eastAsia" w:ascii="仿宋_GB2312" w:hAnsi="仿宋_GB2312" w:eastAsia="仿宋_GB2312" w:cs="仿宋_GB2312"/>
          <w:b w:val="0"/>
          <w:bCs w:val="0"/>
          <w:color w:val="auto"/>
          <w:sz w:val="32"/>
          <w:szCs w:val="32"/>
          <w:highlight w:val="none"/>
          <w:lang w:eastAsia="zh-CN"/>
        </w:rPr>
        <w:t>按国家有关规定执行</w:t>
      </w:r>
      <w:r>
        <w:rPr>
          <w:rFonts w:hint="eastAsia" w:ascii="仿宋_GB2312" w:hAnsi="仿宋_GB2312" w:eastAsia="仿宋_GB2312" w:cs="仿宋_GB2312"/>
          <w:b w:val="0"/>
          <w:bCs w:val="0"/>
          <w:color w:val="auto"/>
          <w:sz w:val="32"/>
          <w:szCs w:val="32"/>
          <w:highlight w:val="none"/>
        </w:rPr>
        <w:t>。</w:t>
      </w:r>
      <w:bookmarkStart w:id="2" w:name="_Toc21842"/>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（三）本</w:t>
      </w:r>
      <w:r>
        <w:rPr>
          <w:rFonts w:hint="eastAsia" w:ascii="仿宋_GB2312" w:hAnsi="仿宋_GB2312" w:eastAsia="仿宋_GB2312" w:cs="仿宋_GB2312"/>
          <w:b w:val="0"/>
          <w:bCs w:val="0"/>
          <w:color w:val="auto"/>
          <w:sz w:val="32"/>
          <w:szCs w:val="32"/>
          <w:highlight w:val="none"/>
        </w:rPr>
        <w:t>工作程序</w:t>
      </w:r>
      <w:r>
        <w:rPr>
          <w:rFonts w:hint="eastAsia" w:ascii="仿宋_GB2312" w:hAnsi="仿宋_GB2312" w:eastAsia="仿宋_GB2312" w:cs="仿宋_GB2312"/>
          <w:b w:val="0"/>
          <w:bCs w:val="0"/>
          <w:color w:val="auto"/>
          <w:sz w:val="32"/>
          <w:szCs w:val="32"/>
          <w:highlight w:val="none"/>
          <w:lang w:val="en-US" w:eastAsia="zh-CN"/>
        </w:rPr>
        <w:t>由西藏</w:t>
      </w:r>
      <w:r>
        <w:rPr>
          <w:rFonts w:hint="eastAsia" w:ascii="仿宋_GB2312" w:hAnsi="仿宋_GB2312" w:eastAsia="仿宋_GB2312" w:cs="仿宋_GB2312"/>
          <w:b w:val="0"/>
          <w:bCs w:val="0"/>
          <w:color w:val="auto"/>
          <w:sz w:val="32"/>
          <w:szCs w:val="32"/>
          <w:highlight w:val="none"/>
          <w:lang w:eastAsia="zh-CN"/>
        </w:rPr>
        <w:t>自治区药品监督管理局</w:t>
      </w:r>
      <w:r>
        <w:rPr>
          <w:rFonts w:hint="eastAsia" w:ascii="仿宋_GB2312" w:hAnsi="仿宋_GB2312" w:eastAsia="仿宋_GB2312" w:cs="仿宋_GB2312"/>
          <w:b w:val="0"/>
          <w:bCs w:val="0"/>
          <w:color w:val="auto"/>
          <w:sz w:val="32"/>
          <w:szCs w:val="32"/>
          <w:highlight w:val="none"/>
          <w:lang w:val="en-US" w:eastAsia="zh-CN"/>
        </w:rPr>
        <w:t>负责解释。</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（四）本</w:t>
      </w:r>
      <w:r>
        <w:rPr>
          <w:rFonts w:hint="eastAsia" w:ascii="仿宋_GB2312" w:hAnsi="仿宋_GB2312" w:eastAsia="仿宋_GB2312" w:cs="仿宋_GB2312"/>
          <w:b w:val="0"/>
          <w:bCs w:val="0"/>
          <w:color w:val="auto"/>
          <w:sz w:val="32"/>
          <w:szCs w:val="32"/>
          <w:highlight w:val="none"/>
        </w:rPr>
        <w:t>工作程序</w:t>
      </w:r>
      <w:r>
        <w:rPr>
          <w:rFonts w:hint="eastAsia" w:ascii="仿宋_GB2312" w:hAnsi="仿宋_GB2312" w:eastAsia="仿宋_GB2312" w:cs="仿宋_GB2312"/>
          <w:b w:val="0"/>
          <w:bCs w:val="0"/>
          <w:color w:val="auto"/>
          <w:sz w:val="32"/>
          <w:szCs w:val="32"/>
          <w:highlight w:val="none"/>
          <w:lang w:val="en-US" w:eastAsia="zh-CN"/>
        </w:rPr>
        <w:t>自发布之日起施行，原《西藏自治区医疗器械不良事件风险信号监测工作程序（试行）》同时废止。</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医疗器械不良事件监测风险信号调查表</w:t>
      </w:r>
    </w:p>
    <w:p>
      <w:pPr>
        <w:keepNext w:val="0"/>
        <w:keepLines w:val="0"/>
        <w:pageBreakBefore w:val="0"/>
        <w:widowControl w:val="0"/>
        <w:kinsoku/>
        <w:wordWrap/>
        <w:overflowPunct/>
        <w:topLinePunct w:val="0"/>
        <w:autoSpaceDE/>
        <w:autoSpaceDN/>
        <w:bidi w:val="0"/>
        <w:spacing w:line="556" w:lineRule="exact"/>
        <w:ind w:left="0" w:leftChars="0" w:right="0" w:rightChars="0" w:firstLine="0" w:firstLineChars="0"/>
        <w:jc w:val="left"/>
        <w:textAlignment w:val="auto"/>
        <w:rPr>
          <w:rFonts w:hint="eastAsia" w:ascii="仿宋_GB2312" w:hAnsi="仿宋_GB2312" w:eastAsia="仿宋_GB2312" w:cs="仿宋_GB2312"/>
          <w:color w:val="auto"/>
          <w:spacing w:val="-2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pacing w:val="-20"/>
          <w:sz w:val="32"/>
          <w:szCs w:val="32"/>
          <w:highlight w:val="none"/>
          <w:lang w:val="en-US" w:eastAsia="zh-CN"/>
        </w:rPr>
        <w:t>2.</w:t>
      </w:r>
      <w:r>
        <w:rPr>
          <w:rFonts w:hint="eastAsia" w:ascii="仿宋_GB2312" w:hAnsi="仿宋_GB2312" w:eastAsia="仿宋_GB2312" w:cs="仿宋_GB2312"/>
          <w:color w:val="auto"/>
          <w:spacing w:val="-20"/>
          <w:sz w:val="32"/>
          <w:szCs w:val="32"/>
          <w:highlight w:val="none"/>
        </w:rPr>
        <w:t>关于XX产品不良事件风险信号调查报告</w:t>
      </w:r>
      <w:r>
        <w:rPr>
          <w:rFonts w:hint="eastAsia" w:ascii="仿宋_GB2312" w:hAnsi="仿宋_GB2312" w:eastAsia="仿宋_GB2312" w:cs="仿宋_GB2312"/>
          <w:color w:val="auto"/>
          <w:spacing w:val="-20"/>
          <w:sz w:val="32"/>
          <w:szCs w:val="32"/>
          <w:highlight w:val="none"/>
          <w:lang w:eastAsia="zh-CN"/>
        </w:rPr>
        <w:t>（模板）</w:t>
      </w:r>
    </w:p>
    <w:p>
      <w:pPr>
        <w:keepNext w:val="0"/>
        <w:keepLines w:val="0"/>
        <w:pageBreakBefore w:val="0"/>
        <w:widowControl w:val="0"/>
        <w:kinsoku/>
        <w:wordWrap/>
        <w:overflowPunct/>
        <w:topLinePunct w:val="0"/>
        <w:autoSpaceDE/>
        <w:autoSpaceDN/>
        <w:bidi w:val="0"/>
        <w:spacing w:line="556"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3.</w:t>
      </w:r>
      <w:r>
        <w:rPr>
          <w:rFonts w:hint="eastAsia" w:ascii="仿宋_GB2312" w:hAnsi="仿宋_GB2312" w:eastAsia="仿宋_GB2312" w:cs="仿宋_GB2312"/>
          <w:color w:val="auto"/>
          <w:sz w:val="32"/>
          <w:szCs w:val="32"/>
          <w:highlight w:val="none"/>
        </w:rPr>
        <w:t>医疗器械风险信号记录表</w:t>
      </w:r>
    </w:p>
    <w:p>
      <w:pPr>
        <w:keepNext w:val="0"/>
        <w:keepLines w:val="0"/>
        <w:pageBreakBefore w:val="0"/>
        <w:widowControl w:val="0"/>
        <w:kinsoku/>
        <w:wordWrap/>
        <w:overflowPunct/>
        <w:topLinePunct w:val="0"/>
        <w:autoSpaceDE/>
        <w:autoSpaceDN/>
        <w:bidi w:val="0"/>
        <w:spacing w:line="556"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spacing w:line="556" w:lineRule="exact"/>
        <w:ind w:right="0" w:rightChars="0"/>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56" w:lineRule="exact"/>
        <w:ind w:right="0" w:rightChars="0"/>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56" w:lineRule="exact"/>
        <w:ind w:right="0" w:rightChars="0"/>
        <w:textAlignment w:val="auto"/>
        <w:outlineLvl w:val="0"/>
        <w:rPr>
          <w:rFonts w:hint="eastAsia" w:ascii="黑体" w:hAnsi="黑体" w:eastAsia="黑体" w:cs="黑体"/>
          <w:color w:val="auto"/>
          <w:sz w:val="32"/>
          <w:szCs w:val="32"/>
          <w:highlight w:val="none"/>
        </w:rPr>
      </w:pPr>
    </w:p>
    <w:p>
      <w:pPr>
        <w:outlineLvl w:val="0"/>
        <w:rPr>
          <w:rFonts w:hint="eastAsia" w:ascii="黑体" w:hAnsi="黑体" w:eastAsia="黑体" w:cs="黑体"/>
          <w:color w:val="auto"/>
          <w:sz w:val="32"/>
          <w:szCs w:val="32"/>
          <w:highlight w:val="none"/>
        </w:rPr>
      </w:pPr>
    </w:p>
    <w:p>
      <w:pPr>
        <w:outlineLvl w:val="0"/>
        <w:rPr>
          <w:rFonts w:hint="eastAsia" w:ascii="黑体" w:hAnsi="黑体" w:eastAsia="黑体" w:cs="黑体"/>
          <w:color w:val="auto"/>
          <w:sz w:val="32"/>
          <w:szCs w:val="32"/>
          <w:highlight w:val="none"/>
        </w:rPr>
      </w:pPr>
    </w:p>
    <w:p>
      <w:pPr>
        <w:outlineLvl w:val="0"/>
        <w:rPr>
          <w:rFonts w:hint="eastAsia" w:ascii="黑体" w:hAnsi="黑体" w:eastAsia="黑体" w:cs="黑体"/>
          <w:color w:val="auto"/>
          <w:sz w:val="32"/>
          <w:szCs w:val="32"/>
          <w:highlight w:val="none"/>
        </w:rPr>
      </w:pPr>
    </w:p>
    <w:p>
      <w:pPr>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outlineLvl w:val="0"/>
        <w:rPr>
          <w:rFonts w:hint="eastAsia" w:ascii="黑体" w:hAnsi="黑体" w:eastAsia="黑体" w:cs="黑体"/>
          <w:color w:val="auto"/>
          <w:sz w:val="32"/>
          <w:szCs w:val="32"/>
          <w:highlight w:val="none"/>
          <w:lang w:val="en-US" w:eastAsia="zh-CN"/>
        </w:rPr>
      </w:pPr>
    </w:p>
    <w:tbl>
      <w:tblPr>
        <w:tblStyle w:val="6"/>
        <w:tblW w:w="8591" w:type="dxa"/>
        <w:jc w:val="center"/>
        <w:tblInd w:w="0" w:type="dxa"/>
        <w:tblLayout w:type="fixed"/>
        <w:tblCellMar>
          <w:top w:w="0" w:type="dxa"/>
          <w:left w:w="108" w:type="dxa"/>
          <w:bottom w:w="0" w:type="dxa"/>
          <w:right w:w="108" w:type="dxa"/>
        </w:tblCellMar>
      </w:tblPr>
      <w:tblGrid>
        <w:gridCol w:w="1440"/>
        <w:gridCol w:w="3606"/>
        <w:gridCol w:w="1812"/>
        <w:gridCol w:w="1733"/>
      </w:tblGrid>
      <w:tr>
        <w:tblPrEx>
          <w:tblLayout w:type="fixed"/>
          <w:tblCellMar>
            <w:top w:w="0" w:type="dxa"/>
            <w:left w:w="108" w:type="dxa"/>
            <w:bottom w:w="0" w:type="dxa"/>
            <w:right w:w="108" w:type="dxa"/>
          </w:tblCellMar>
        </w:tblPrEx>
        <w:trPr>
          <w:trHeight w:val="650" w:hRule="atLeast"/>
          <w:jc w:val="center"/>
        </w:trPr>
        <w:tc>
          <w:tcPr>
            <w:tcW w:w="8591" w:type="dxa"/>
            <w:gridSpan w:val="4"/>
            <w:tcBorders>
              <w:top w:val="nil"/>
              <w:left w:val="nil"/>
              <w:bottom w:val="single" w:color="auto" w:sz="4" w:space="0"/>
              <w:right w:val="nil"/>
            </w:tcBorders>
            <w:vAlign w:val="center"/>
          </w:tcPr>
          <w:p>
            <w:pPr>
              <w:jc w:val="center"/>
              <w:rPr>
                <w:rFonts w:hint="eastAsia" w:ascii="方正小标宋简体" w:hAnsi="方正小标宋简体" w:eastAsia="方正小标宋简体" w:cs="方正小标宋简体"/>
                <w:b w:val="0"/>
                <w:bCs w:val="0"/>
                <w:color w:val="auto"/>
                <w:sz w:val="8"/>
                <w:szCs w:val="8"/>
                <w:highlight w:val="none"/>
              </w:rPr>
            </w:pPr>
            <w:r>
              <w:rPr>
                <w:rFonts w:hint="eastAsia" w:ascii="方正小标宋简体" w:hAnsi="方正小标宋简体" w:eastAsia="方正小标宋简体" w:cs="方正小标宋简体"/>
                <w:b w:val="0"/>
                <w:bCs w:val="0"/>
                <w:color w:val="auto"/>
                <w:sz w:val="36"/>
                <w:szCs w:val="36"/>
                <w:highlight w:val="none"/>
              </w:rPr>
              <w:t>医疗器械不良事件监测风险信号调查表</w:t>
            </w:r>
          </w:p>
        </w:tc>
      </w:tr>
      <w:tr>
        <w:tblPrEx>
          <w:tblLayout w:type="fixed"/>
          <w:tblCellMar>
            <w:top w:w="0" w:type="dxa"/>
            <w:left w:w="108" w:type="dxa"/>
            <w:bottom w:w="0" w:type="dxa"/>
            <w:right w:w="108" w:type="dxa"/>
          </w:tblCellMar>
        </w:tblPrEx>
        <w:trPr>
          <w:trHeight w:val="62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使用单位</w:t>
            </w:r>
          </w:p>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名称</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color w:val="auto"/>
                <w:kern w:val="0"/>
                <w:sz w:val="28"/>
                <w:szCs w:val="28"/>
                <w:highlight w:val="none"/>
              </w:rPr>
            </w:pPr>
          </w:p>
        </w:tc>
      </w:tr>
      <w:tr>
        <w:tblPrEx>
          <w:tblLayout w:type="fixed"/>
          <w:tblCellMar>
            <w:top w:w="0" w:type="dxa"/>
            <w:left w:w="108" w:type="dxa"/>
            <w:bottom w:w="0" w:type="dxa"/>
            <w:right w:w="108" w:type="dxa"/>
          </w:tblCellMar>
        </w:tblPrEx>
        <w:trPr>
          <w:trHeight w:val="9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联系人</w:t>
            </w:r>
          </w:p>
        </w:tc>
        <w:tc>
          <w:tcPr>
            <w:tcW w:w="3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color w:val="auto"/>
                <w:kern w:val="0"/>
                <w:sz w:val="28"/>
                <w:szCs w:val="28"/>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color w:val="auto"/>
                <w:kern w:val="0"/>
                <w:sz w:val="28"/>
                <w:szCs w:val="28"/>
                <w:highlight w:val="none"/>
              </w:rPr>
            </w:pPr>
            <w:r>
              <w:rPr>
                <w:rFonts w:hint="eastAsia" w:ascii="黑体" w:hAnsi="黑体" w:eastAsia="黑体" w:cs="黑体"/>
                <w:b w:val="0"/>
                <w:bCs w:val="0"/>
                <w:color w:val="auto"/>
                <w:kern w:val="0"/>
                <w:sz w:val="24"/>
                <w:szCs w:val="24"/>
                <w:highlight w:val="none"/>
              </w:rPr>
              <w:t>联系方式</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color w:val="auto"/>
                <w:kern w:val="0"/>
                <w:sz w:val="28"/>
                <w:szCs w:val="28"/>
                <w:highlight w:val="none"/>
              </w:rPr>
            </w:pPr>
          </w:p>
        </w:tc>
      </w:tr>
      <w:tr>
        <w:tblPrEx>
          <w:tblLayout w:type="fixed"/>
          <w:tblCellMar>
            <w:top w:w="0" w:type="dxa"/>
            <w:left w:w="108" w:type="dxa"/>
            <w:bottom w:w="0" w:type="dxa"/>
            <w:right w:w="108" w:type="dxa"/>
          </w:tblCellMar>
        </w:tblPrEx>
        <w:trPr>
          <w:trHeight w:val="86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调查日期</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color w:val="auto"/>
                <w:kern w:val="0"/>
                <w:sz w:val="28"/>
                <w:szCs w:val="28"/>
                <w:highlight w:val="none"/>
              </w:rPr>
            </w:pPr>
          </w:p>
        </w:tc>
      </w:tr>
      <w:tr>
        <w:tblPrEx>
          <w:tblLayout w:type="fixed"/>
          <w:tblCellMar>
            <w:top w:w="0" w:type="dxa"/>
            <w:left w:w="108" w:type="dxa"/>
            <w:bottom w:w="0" w:type="dxa"/>
            <w:right w:w="108" w:type="dxa"/>
          </w:tblCellMar>
        </w:tblPrEx>
        <w:trPr>
          <w:trHeight w:val="67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调查依据</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《医疗器械不良事件监测和再评价管理办法》（总局令第1号）</w:t>
            </w:r>
          </w:p>
        </w:tc>
      </w:tr>
      <w:tr>
        <w:tblPrEx>
          <w:tblLayout w:type="fixed"/>
          <w:tblCellMar>
            <w:top w:w="0" w:type="dxa"/>
            <w:left w:w="108" w:type="dxa"/>
            <w:bottom w:w="0" w:type="dxa"/>
            <w:right w:w="108" w:type="dxa"/>
          </w:tblCellMar>
        </w:tblPrEx>
        <w:trPr>
          <w:trHeight w:val="89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调查背景</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仿宋_GB2312"/>
                <w:color w:val="auto"/>
                <w:kern w:val="0"/>
                <w:sz w:val="24"/>
                <w:szCs w:val="24"/>
                <w:highlight w:val="none"/>
              </w:rPr>
            </w:pPr>
          </w:p>
          <w:p>
            <w:pPr>
              <w:widowControl/>
              <w:spacing w:line="360" w:lineRule="exact"/>
              <w:rPr>
                <w:rFonts w:eastAsia="仿宋_GB2312"/>
                <w:color w:val="auto"/>
                <w:kern w:val="0"/>
                <w:sz w:val="24"/>
                <w:szCs w:val="24"/>
                <w:highlight w:val="none"/>
              </w:rPr>
            </w:pPr>
          </w:p>
        </w:tc>
      </w:tr>
      <w:tr>
        <w:tblPrEx>
          <w:tblLayout w:type="fixed"/>
          <w:tblCellMar>
            <w:top w:w="0" w:type="dxa"/>
            <w:left w:w="108" w:type="dxa"/>
            <w:bottom w:w="0" w:type="dxa"/>
            <w:right w:w="108" w:type="dxa"/>
          </w:tblCellMar>
        </w:tblPrEx>
        <w:trPr>
          <w:trHeight w:val="3333" w:hRule="atLeast"/>
          <w:jc w:val="center"/>
        </w:trPr>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调查项目</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仿宋_GB2312"/>
                <w:b/>
                <w:bCs/>
                <w:color w:val="auto"/>
                <w:kern w:val="0"/>
                <w:sz w:val="24"/>
                <w:szCs w:val="24"/>
                <w:highlight w:val="none"/>
              </w:rPr>
            </w:pPr>
            <w:r>
              <w:rPr>
                <w:rFonts w:hint="eastAsia" w:eastAsia="仿宋_GB2312"/>
                <w:b/>
                <w:bCs/>
                <w:color w:val="auto"/>
                <w:kern w:val="0"/>
                <w:sz w:val="24"/>
                <w:szCs w:val="24"/>
                <w:highlight w:val="none"/>
              </w:rPr>
              <w:t>一、不良事件情况</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1. 不良事件发生时间、伤害/故障表现、不良事件后果、已采取的风险控制措施等。</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2. 不良事件涉及患者伤害的，应当调查核实患者的诊治信息，主要包括年龄、性别、原患疾病、用药史、相关体征及各种检查数据、救治措施、转归情况等。</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3. 使用操作人员资质、具体操作过程（是否按说明或规范操作）、合并用药/械情况、既往使用同类医疗器械的情况等。</w:t>
            </w:r>
          </w:p>
        </w:tc>
      </w:tr>
      <w:tr>
        <w:tblPrEx>
          <w:tblLayout w:type="fixed"/>
          <w:tblCellMar>
            <w:top w:w="0" w:type="dxa"/>
            <w:left w:w="108" w:type="dxa"/>
            <w:bottom w:w="0" w:type="dxa"/>
            <w:right w:w="108" w:type="dxa"/>
          </w:tblCellMar>
        </w:tblPrEx>
        <w:trPr>
          <w:trHeight w:val="2278"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仿宋_GB2312"/>
                <w:b/>
                <w:bCs/>
                <w:color w:val="auto"/>
                <w:kern w:val="0"/>
                <w:sz w:val="24"/>
                <w:szCs w:val="24"/>
                <w:highlight w:val="none"/>
              </w:rPr>
            </w:pPr>
            <w:r>
              <w:rPr>
                <w:rFonts w:hint="eastAsia" w:eastAsia="仿宋_GB2312"/>
                <w:b/>
                <w:bCs/>
                <w:color w:val="auto"/>
                <w:kern w:val="0"/>
                <w:sz w:val="24"/>
                <w:szCs w:val="24"/>
                <w:highlight w:val="none"/>
              </w:rPr>
              <w:t>二、所涉医疗器械信息</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1. 所涉产品信息。</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2. 所涉医疗器械在使用单位的采购、使用情况。</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3. 医疗器械存储/维护保养情况。</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4. 医疗器械使用说明书。</w:t>
            </w:r>
          </w:p>
        </w:tc>
      </w:tr>
      <w:tr>
        <w:tblPrEx>
          <w:tblLayout w:type="fixed"/>
          <w:tblCellMar>
            <w:top w:w="0" w:type="dxa"/>
            <w:left w:w="108" w:type="dxa"/>
            <w:bottom w:w="0" w:type="dxa"/>
            <w:right w:w="108" w:type="dxa"/>
          </w:tblCellMar>
        </w:tblPrEx>
        <w:trPr>
          <w:trHeight w:val="148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调查人员</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黑体" w:hAnsi="黑体" w:eastAsia="黑体" w:cs="黑体"/>
                <w:b w:val="0"/>
                <w:bCs w:val="0"/>
                <w:i w:val="0"/>
                <w:iCs w:val="0"/>
                <w:color w:val="auto"/>
                <w:kern w:val="0"/>
                <w:sz w:val="24"/>
                <w:szCs w:val="24"/>
                <w:highlight w:val="none"/>
              </w:rPr>
            </w:pPr>
          </w:p>
        </w:tc>
      </w:tr>
    </w:tbl>
    <w:p>
      <w:pPr>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bookmarkEnd w:id="2"/>
      <w:r>
        <w:rPr>
          <w:rFonts w:hint="eastAsia" w:ascii="黑体" w:hAnsi="黑体" w:eastAsia="黑体" w:cs="黑体"/>
          <w:color w:val="auto"/>
          <w:sz w:val="32"/>
          <w:szCs w:val="32"/>
          <w:highlight w:val="none"/>
          <w:lang w:val="en-US" w:eastAsia="zh-CN"/>
        </w:rPr>
        <w:t>2</w:t>
      </w:r>
    </w:p>
    <w:p>
      <w:pPr>
        <w:rPr>
          <w:rFonts w:hint="eastAsia" w:ascii="黑体" w:hAnsi="黑体" w:eastAsia="黑体" w:cs="黑体"/>
          <w:color w:val="auto"/>
          <w:sz w:val="32"/>
          <w:szCs w:val="32"/>
          <w:highlight w:val="none"/>
          <w:lang w:val="en-US" w:eastAsia="zh-CN"/>
        </w:rPr>
      </w:pPr>
    </w:p>
    <w:p>
      <w:pPr>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关于XX产品不良事件风险信号调查报告</w:t>
      </w:r>
      <w:r>
        <w:rPr>
          <w:rFonts w:hint="eastAsia" w:ascii="方正小标宋简体" w:hAnsi="方正小标宋简体" w:eastAsia="方正小标宋简体" w:cs="方正小标宋简体"/>
          <w:color w:val="auto"/>
          <w:sz w:val="36"/>
          <w:szCs w:val="36"/>
          <w:highlight w:val="none"/>
          <w:lang w:eastAsia="zh-CN"/>
        </w:rPr>
        <w:t>（模板）</w:t>
      </w:r>
    </w:p>
    <w:p>
      <w:pPr>
        <w:rPr>
          <w:rFonts w:ascii="仿宋" w:hAnsi="仿宋" w:eastAsia="仿宋" w:cs="仿宋"/>
          <w:color w:val="auto"/>
          <w:sz w:val="22"/>
          <w:szCs w:val="22"/>
          <w:highlight w:val="none"/>
        </w:rPr>
      </w:pP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x年x月x日，XX市级监测机构陆续收到xx（</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rPr>
        <w:t>单位）报告的xx例涉及xx（注册人）的xx产品（注册证号、批号型号）的疑似不良事件报告。不良事件主要表现为：xxxx。收到不良事件信息后，我中心立即组织（如有专家可说明单位和专家名字）赴该使用单位开展现场调查，现将风险信号调查情况汇报如下：</w:t>
      </w:r>
    </w:p>
    <w:p>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一、不良事件情况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1.不良事件发生时间、伤害/故障表现、不良事件后果、已采取的风险控制措施等。</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2.不良事件涉及患者伤害的，应当调查核实患者的诊治信息，主要包括年龄、性别、原患疾病、用药史、相关体征及各种检查数据、救治措施、转归情况等。</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3.使用操作人员资质、具体操作过程（是否按说明或规范操作）、合并用药/械情况、既往使用同类医疗器械的情况等。</w:t>
      </w:r>
    </w:p>
    <w:p>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、所涉医疗器械情况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1.医疗器械产品基本信息。</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2.医疗器械在使用单位的采购、使用情况。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3.医疗器械存储/维护保养情况。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4.医疗器械使用说明书。</w:t>
      </w:r>
    </w:p>
    <w:p>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、监测数据和文献资料检索情况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检索国家医疗器械不良事件监测信息系统中的相关数据及文献资料并进行分析。</w:t>
      </w:r>
    </w:p>
    <w:p>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、不良事件原因和关联性分析</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根据不良事件情况、所涉医疗器械情况、数据和文献资料检索情况，综合分析不良事件发生的原因。重点分析产品可能存在的缺陷、使用者或患者的影响因素、并用医疗器械的影响因素、使用说明书是否有相关情况的说明或警示等。</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2.产品与不良事件的关联性</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、不良事件控制建议</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经过调查分析，根据产品的风险和存在的问题，提出相应的控制建议，如：修改产品说明书、产品召回、修改产品的技术要求、增加警示等。</w:t>
      </w:r>
    </w:p>
    <w:p>
      <w:pPr>
        <w:ind w:firstLine="640" w:firstLineChars="200"/>
        <w:rPr>
          <w:rFonts w:ascii="仿宋" w:hAnsi="仿宋" w:eastAsia="仿宋" w:cs="仿宋"/>
          <w:color w:val="auto"/>
          <w:sz w:val="32"/>
          <w:szCs w:val="32"/>
          <w:highlight w:val="none"/>
        </w:rPr>
      </w:pPr>
    </w:p>
    <w:p>
      <w:pPr>
        <w:ind w:firstLine="640" w:firstLineChars="200"/>
        <w:rPr>
          <w:rFonts w:ascii="仿宋" w:hAnsi="仿宋" w:eastAsia="仿宋" w:cs="仿宋"/>
          <w:color w:val="auto"/>
          <w:sz w:val="32"/>
          <w:szCs w:val="32"/>
          <w:highlight w:val="none"/>
        </w:rPr>
      </w:pPr>
    </w:p>
    <w:p>
      <w:pPr>
        <w:ind w:left="1598" w:leftChars="304" w:hanging="960" w:hangingChars="3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附件：产品的使用说明书、技术资料、故障或者伤害照片、文献资料等。</w:t>
      </w:r>
    </w:p>
    <w:p>
      <w:pPr>
        <w:rPr>
          <w:rFonts w:hint="eastAsia" w:ascii="黑体" w:hAnsi="黑体" w:eastAsia="黑体" w:cs="黑体"/>
          <w:color w:val="auto"/>
          <w:sz w:val="32"/>
          <w:szCs w:val="32"/>
          <w:highlight w:val="none"/>
        </w:rPr>
        <w:sectPr>
          <w:footerReference r:id="rId3" w:type="default"/>
          <w:pgSz w:w="11906" w:h="16838"/>
          <w:pgMar w:top="1440" w:right="1800" w:bottom="1440" w:left="1800" w:header="851" w:footer="992" w:gutter="0"/>
          <w:pgNumType w:fmt="numberInDash"/>
          <w:cols w:space="425" w:num="1"/>
          <w:docGrid w:type="lines" w:linePitch="312" w:charSpace="0"/>
        </w:sectPr>
      </w:pPr>
      <w:bookmarkStart w:id="3" w:name="_Toc11954"/>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bookmarkEnd w:id="3"/>
      <w:r>
        <w:rPr>
          <w:rFonts w:hint="eastAsia" w:ascii="黑体" w:hAnsi="黑体" w:eastAsia="黑体" w:cs="黑体"/>
          <w:color w:val="auto"/>
          <w:sz w:val="32"/>
          <w:szCs w:val="32"/>
          <w:highlight w:val="none"/>
          <w:lang w:val="en-US" w:eastAsia="zh-CN"/>
        </w:rPr>
        <w:t>3</w:t>
      </w:r>
    </w:p>
    <w:p>
      <w:pPr>
        <w:jc w:val="center"/>
        <w:rPr>
          <w:rFonts w:hint="eastAsia" w:ascii="方正小标宋简体" w:hAnsi="方正小标宋简体" w:eastAsia="方正小标宋简体" w:cs="方正小标宋简体"/>
          <w:b w:val="0"/>
          <w:bCs w:val="0"/>
          <w:color w:val="auto"/>
          <w:sz w:val="40"/>
          <w:szCs w:val="40"/>
          <w:highlight w:val="none"/>
        </w:rPr>
      </w:pPr>
      <w:r>
        <w:rPr>
          <w:rFonts w:hint="eastAsia" w:ascii="方正小标宋简体" w:hAnsi="方正小标宋简体" w:eastAsia="方正小标宋简体" w:cs="方正小标宋简体"/>
          <w:b w:val="0"/>
          <w:bCs w:val="0"/>
          <w:color w:val="auto"/>
          <w:sz w:val="36"/>
          <w:szCs w:val="36"/>
          <w:highlight w:val="none"/>
        </w:rPr>
        <w:t>医疗器械风险信号记录表</w:t>
      </w:r>
    </w:p>
    <w:p>
      <w:pPr>
        <w:jc w:val="center"/>
        <w:rPr>
          <w:rFonts w:hint="eastAsia" w:ascii="方正小标宋简体" w:hAnsi="方正小标宋简体" w:eastAsia="方正小标宋简体" w:cs="方正小标宋简体"/>
          <w:b w:val="0"/>
          <w:bCs w:val="0"/>
          <w:color w:val="auto"/>
          <w:sz w:val="18"/>
          <w:szCs w:val="18"/>
          <w:highlight w:val="none"/>
        </w:rPr>
      </w:pPr>
    </w:p>
    <w:tbl>
      <w:tblPr>
        <w:tblStyle w:val="7"/>
        <w:tblW w:w="14118"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375"/>
        <w:gridCol w:w="1425"/>
        <w:gridCol w:w="1463"/>
        <w:gridCol w:w="1250"/>
        <w:gridCol w:w="1706"/>
        <w:gridCol w:w="2064"/>
        <w:gridCol w:w="1944"/>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信号编号</w:t>
            </w:r>
          </w:p>
        </w:tc>
        <w:tc>
          <w:tcPr>
            <w:tcW w:w="13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报告时间</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报告单位</w:t>
            </w:r>
          </w:p>
        </w:tc>
        <w:tc>
          <w:tcPr>
            <w:tcW w:w="1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事发单位</w:t>
            </w:r>
          </w:p>
        </w:tc>
        <w:tc>
          <w:tcPr>
            <w:tcW w:w="1250" w:type="dxa"/>
            <w:vAlign w:val="center"/>
          </w:tcPr>
          <w:p>
            <w:pPr>
              <w:pStyle w:val="2"/>
              <w:bidi w:val="0"/>
              <w:jc w:val="center"/>
              <w:rPr>
                <w:rFonts w:hint="eastAsia" w:eastAsia="黑体"/>
                <w:b w:val="0"/>
                <w:bCs/>
                <w:color w:val="auto"/>
                <w:sz w:val="28"/>
                <w:szCs w:val="28"/>
                <w:highlight w:val="none"/>
                <w:lang w:eastAsia="zh-CN"/>
              </w:rPr>
            </w:pPr>
            <w:r>
              <w:rPr>
                <w:rFonts w:hint="eastAsia"/>
                <w:b w:val="0"/>
                <w:bCs/>
                <w:color w:val="auto"/>
                <w:sz w:val="28"/>
                <w:szCs w:val="28"/>
                <w:highlight w:val="none"/>
                <w:lang w:eastAsia="zh-CN"/>
              </w:rPr>
              <w:t>注册人</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产品名称</w:t>
            </w:r>
          </w:p>
        </w:tc>
        <w:tc>
          <w:tcPr>
            <w:tcW w:w="20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产品注册证号</w:t>
            </w: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信号基本情况</w:t>
            </w:r>
          </w:p>
        </w:tc>
        <w:tc>
          <w:tcPr>
            <w:tcW w:w="14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bl>
    <w:p/>
    <w:p>
      <w:bookmarkStart w:id="4" w:name="_GoBack"/>
      <w:bookmarkEnd w:id="4"/>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54420"/>
    <w:multiLevelType w:val="singleLevel"/>
    <w:tmpl w:val="64054420"/>
    <w:lvl w:ilvl="0" w:tentative="0">
      <w:start w:val="3"/>
      <w:numFmt w:val="chineseCounting"/>
      <w:suff w:val="nothing"/>
      <w:lvlText w:val="%1、"/>
      <w:lvlJc w:val="left"/>
    </w:lvl>
  </w:abstractNum>
  <w:abstractNum w:abstractNumId="1">
    <w:nsid w:val="64196785"/>
    <w:multiLevelType w:val="singleLevel"/>
    <w:tmpl w:val="64196785"/>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D40AF"/>
    <w:rsid w:val="02CD4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2025-03-24T07:54:00Z</dcterms:created>
  <dc:creator>Administrator</dc:creator>
  <cp:lastModifiedBy>Administrator</cp:lastModifiedBy>
  <dcterms:modified xsi:type="dcterms:W3CDTF">2025-03-24T07:54:30Z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